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26872">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eastAsia" w:ascii="方正小标宋简体" w:hAnsi="方正小标宋简体" w:eastAsia="方正小标宋简体" w:cs="方正小标宋简体"/>
          <w:spacing w:val="0"/>
          <w:sz w:val="44"/>
          <w:szCs w:val="44"/>
        </w:rPr>
      </w:pPr>
    </w:p>
    <w:p w14:paraId="23680F0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滕州市商务和投资促进局</w:t>
      </w:r>
    </w:p>
    <w:p w14:paraId="0BD97AF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202</w:t>
      </w:r>
      <w:r>
        <w:rPr>
          <w:rFonts w:hint="eastAsia" w:ascii="方正小标宋简体" w:hAnsi="方正小标宋简体" w:eastAsia="方正小标宋简体" w:cs="方正小标宋简体"/>
          <w:spacing w:val="0"/>
          <w:sz w:val="44"/>
          <w:szCs w:val="44"/>
          <w:lang w:val="en-US" w:eastAsia="zh-CN"/>
        </w:rPr>
        <w:t>4</w:t>
      </w:r>
      <w:r>
        <w:rPr>
          <w:rFonts w:hint="eastAsia" w:ascii="方正小标宋简体" w:hAnsi="方正小标宋简体" w:eastAsia="方正小标宋简体" w:cs="方正小标宋简体"/>
          <w:spacing w:val="0"/>
          <w:sz w:val="44"/>
          <w:szCs w:val="44"/>
        </w:rPr>
        <w:t>年政府信息公开年度报告</w:t>
      </w:r>
    </w:p>
    <w:p w14:paraId="2DC4646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516"/>
        <w:textAlignment w:val="auto"/>
        <w:rPr>
          <w:rFonts w:ascii="仿宋_GB2312" w:eastAsia="仿宋_GB2312" w:cs="仿宋_GB2312"/>
          <w:spacing w:val="0"/>
          <w:sz w:val="25"/>
          <w:szCs w:val="25"/>
        </w:rPr>
      </w:pPr>
    </w:p>
    <w:p w14:paraId="48D82FC5">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根据《中华人民共和国政府信息公开条例》</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以下简称“条例”</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和省政府办公厅、枣庄市政府办公室、滕州市政府办公室通知要求，特编制滕州市商务和投资促进局</w:t>
      </w:r>
      <w:r>
        <w:rPr>
          <w:rFonts w:hint="eastAsia" w:ascii="仿宋_GB2312" w:hAnsi="仿宋_GB2312" w:eastAsia="仿宋_GB2312" w:cs="仿宋_GB2312"/>
          <w:spacing w:val="0"/>
          <w:sz w:val="32"/>
          <w:szCs w:val="32"/>
          <w:lang w:eastAsia="zh-CN"/>
        </w:rPr>
        <w:t>2024年</w:t>
      </w:r>
      <w:r>
        <w:rPr>
          <w:rFonts w:hint="eastAsia" w:ascii="仿宋_GB2312" w:hAnsi="仿宋_GB2312" w:eastAsia="仿宋_GB2312" w:cs="仿宋_GB2312"/>
          <w:spacing w:val="0"/>
          <w:sz w:val="32"/>
          <w:szCs w:val="32"/>
        </w:rPr>
        <w:t>政府信息公开年度报告并向社会公布。本报告中所列数据的统计期限自</w:t>
      </w:r>
      <w:r>
        <w:rPr>
          <w:rFonts w:hint="eastAsia" w:ascii="仿宋_GB2312" w:hAnsi="仿宋_GB2312" w:eastAsia="仿宋_GB2312" w:cs="仿宋_GB2312"/>
          <w:spacing w:val="0"/>
          <w:sz w:val="32"/>
          <w:szCs w:val="32"/>
          <w:lang w:eastAsia="zh-CN"/>
        </w:rPr>
        <w:t>2024年</w:t>
      </w:r>
      <w:r>
        <w:rPr>
          <w:rFonts w:hint="eastAsia" w:ascii="仿宋_GB2312" w:hAnsi="仿宋_GB2312" w:eastAsia="仿宋_GB2312" w:cs="仿宋_GB2312"/>
          <w:spacing w:val="0"/>
          <w:sz w:val="32"/>
          <w:szCs w:val="32"/>
        </w:rPr>
        <w:t>1月1日起至</w:t>
      </w:r>
      <w:r>
        <w:rPr>
          <w:rFonts w:hint="eastAsia" w:ascii="仿宋_GB2312" w:hAnsi="仿宋_GB2312" w:eastAsia="仿宋_GB2312" w:cs="仿宋_GB2312"/>
          <w:spacing w:val="0"/>
          <w:sz w:val="32"/>
          <w:szCs w:val="32"/>
          <w:lang w:eastAsia="zh-CN"/>
        </w:rPr>
        <w:t>2024年</w:t>
      </w:r>
      <w:r>
        <w:rPr>
          <w:rFonts w:hint="eastAsia" w:ascii="仿宋_GB2312" w:hAnsi="仿宋_GB2312" w:eastAsia="仿宋_GB2312" w:cs="仿宋_GB2312"/>
          <w:spacing w:val="0"/>
          <w:sz w:val="32"/>
          <w:szCs w:val="32"/>
        </w:rPr>
        <w:t>12月31日止。</w:t>
      </w:r>
    </w:p>
    <w:p w14:paraId="2C947255">
      <w:pPr>
        <w:pStyle w:val="5"/>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600" w:lineRule="exact"/>
        <w:ind w:left="0" w:firstLine="640" w:firstLineChars="200"/>
        <w:jc w:val="both"/>
        <w:textAlignment w:val="auto"/>
        <w:rPr>
          <w:sz w:val="32"/>
          <w:szCs w:val="32"/>
        </w:rPr>
      </w:pPr>
      <w:r>
        <w:rPr>
          <w:rFonts w:ascii="黑体" w:hAnsi="宋体" w:eastAsia="黑体" w:cs="黑体"/>
          <w:sz w:val="32"/>
          <w:szCs w:val="32"/>
        </w:rPr>
        <w:t>一、总体情况</w:t>
      </w:r>
    </w:p>
    <w:p w14:paraId="0EB1B82C">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0"/>
          <w:sz w:val="32"/>
          <w:szCs w:val="32"/>
          <w:lang w:eastAsia="zh-CN"/>
        </w:rPr>
        <w:t>2024年</w:t>
      </w:r>
      <w:r>
        <w:rPr>
          <w:rFonts w:hint="eastAsia" w:ascii="仿宋_GB2312" w:hAnsi="仿宋_GB2312" w:eastAsia="仿宋_GB2312" w:cs="仿宋_GB2312"/>
          <w:spacing w:val="0"/>
          <w:sz w:val="32"/>
          <w:szCs w:val="32"/>
        </w:rPr>
        <w:t>以来，滕州市商务和投资促进局深入贯彻落实《条例》和相关规定，紧紧围绕上级关于全面深化政务公开的有关部署，准确把握新时代政务公开工作的职责定位和面临的新形势，加强组织领导，明确责任分工，细化分解任务，加大督导力度，坚持“以公开为常态、不公开为例外”原则，全面提升政务公开质量和实效，力促让公开成为自觉，让透明成为常态。全局上下政</w:t>
      </w:r>
      <w:r>
        <w:rPr>
          <w:rFonts w:hint="eastAsia" w:ascii="仿宋_GB2312" w:hAnsi="仿宋_GB2312" w:eastAsia="仿宋_GB2312" w:cs="仿宋_GB2312"/>
          <w:spacing w:val="0"/>
          <w:sz w:val="32"/>
          <w:szCs w:val="32"/>
          <w:highlight w:val="none"/>
        </w:rPr>
        <w:t>府信息公开工作的积极性、主动性不断提高，政府工作透明度进一步增强，有效地保障了公民的知情权，努力打造法治政府、创新政府、廉洁政府和服务型政府。</w:t>
      </w:r>
    </w:p>
    <w:p w14:paraId="5CDB2829">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right="0"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pacing w:val="0"/>
          <w:sz w:val="32"/>
          <w:szCs w:val="32"/>
          <w:highlight w:val="none"/>
        </w:rPr>
        <w:t>1.主动公开。</w:t>
      </w:r>
      <w:r>
        <w:rPr>
          <w:rFonts w:hint="eastAsia" w:ascii="仿宋_GB2312" w:hAnsi="仿宋_GB2312" w:eastAsia="仿宋_GB2312" w:cs="仿宋_GB2312"/>
          <w:spacing w:val="0"/>
          <w:sz w:val="32"/>
          <w:szCs w:val="32"/>
          <w:highlight w:val="none"/>
        </w:rPr>
        <w:t>通过滕州市政府信息公开主动公开信息</w:t>
      </w:r>
      <w:r>
        <w:rPr>
          <w:rFonts w:hint="eastAsia" w:ascii="仿宋_GB2312" w:hAnsi="仿宋_GB2312" w:eastAsia="仿宋_GB2312" w:cs="仿宋_GB2312"/>
          <w:spacing w:val="0"/>
          <w:sz w:val="32"/>
          <w:szCs w:val="32"/>
          <w:highlight w:val="none"/>
          <w:lang w:val="en-US" w:eastAsia="zh-CN"/>
        </w:rPr>
        <w:t>75</w:t>
      </w:r>
      <w:r>
        <w:rPr>
          <w:rFonts w:hint="eastAsia" w:ascii="仿宋_GB2312" w:hAnsi="仿宋_GB2312" w:eastAsia="仿宋_GB2312" w:cs="仿宋_GB2312"/>
          <w:spacing w:val="0"/>
          <w:sz w:val="32"/>
          <w:szCs w:val="32"/>
          <w:highlight w:val="none"/>
        </w:rPr>
        <w:t>条，其中通知公告</w:t>
      </w:r>
      <w:r>
        <w:rPr>
          <w:rFonts w:hint="eastAsia" w:ascii="仿宋_GB2312" w:hAnsi="仿宋_GB2312" w:eastAsia="仿宋_GB2312" w:cs="仿宋_GB2312"/>
          <w:spacing w:val="0"/>
          <w:sz w:val="32"/>
          <w:szCs w:val="32"/>
          <w:highlight w:val="none"/>
          <w:lang w:val="en-US" w:eastAsia="zh-CN"/>
        </w:rPr>
        <w:t>7</w:t>
      </w:r>
      <w:r>
        <w:rPr>
          <w:rFonts w:hint="eastAsia" w:ascii="仿宋_GB2312" w:hAnsi="仿宋_GB2312" w:eastAsia="仿宋_GB2312" w:cs="仿宋_GB2312"/>
          <w:spacing w:val="0"/>
          <w:sz w:val="32"/>
          <w:szCs w:val="32"/>
          <w:highlight w:val="none"/>
        </w:rPr>
        <w:t>条，占总数的</w:t>
      </w:r>
      <w:r>
        <w:rPr>
          <w:rFonts w:hint="eastAsia" w:ascii="仿宋_GB2312" w:hAnsi="仿宋_GB2312" w:eastAsia="仿宋_GB2312" w:cs="仿宋_GB2312"/>
          <w:spacing w:val="0"/>
          <w:sz w:val="32"/>
          <w:szCs w:val="32"/>
          <w:highlight w:val="none"/>
          <w:lang w:val="en-US" w:eastAsia="zh-CN"/>
        </w:rPr>
        <w:t>10</w:t>
      </w:r>
      <w:r>
        <w:rPr>
          <w:rFonts w:hint="eastAsia" w:ascii="仿宋_GB2312" w:hAnsi="仿宋_GB2312" w:eastAsia="仿宋_GB2312" w:cs="仿宋_GB2312"/>
          <w:spacing w:val="0"/>
          <w:sz w:val="32"/>
          <w:szCs w:val="32"/>
          <w:highlight w:val="none"/>
        </w:rPr>
        <w:t>%；规划计划信息1条，占总数的</w:t>
      </w:r>
      <w:r>
        <w:rPr>
          <w:rFonts w:hint="eastAsia" w:ascii="仿宋_GB2312" w:hAnsi="仿宋_GB2312" w:eastAsia="仿宋_GB2312" w:cs="仿宋_GB2312"/>
          <w:spacing w:val="0"/>
          <w:sz w:val="32"/>
          <w:szCs w:val="32"/>
          <w:highlight w:val="none"/>
          <w:lang w:val="en-US" w:eastAsia="zh-CN"/>
        </w:rPr>
        <w:t>1</w:t>
      </w:r>
      <w:r>
        <w:rPr>
          <w:rFonts w:hint="eastAsia" w:ascii="仿宋_GB2312" w:hAnsi="仿宋_GB2312" w:eastAsia="仿宋_GB2312" w:cs="仿宋_GB2312"/>
          <w:spacing w:val="0"/>
          <w:sz w:val="32"/>
          <w:szCs w:val="32"/>
          <w:highlight w:val="none"/>
        </w:rPr>
        <w:t>%；财政信息4条，占总数的</w:t>
      </w:r>
      <w:r>
        <w:rPr>
          <w:rFonts w:hint="eastAsia" w:ascii="仿宋_GB2312" w:hAnsi="仿宋_GB2312" w:eastAsia="仿宋_GB2312" w:cs="仿宋_GB2312"/>
          <w:spacing w:val="0"/>
          <w:sz w:val="32"/>
          <w:szCs w:val="32"/>
          <w:highlight w:val="none"/>
          <w:lang w:val="en-US" w:eastAsia="zh-CN"/>
        </w:rPr>
        <w:t>5</w:t>
      </w:r>
      <w:r>
        <w:rPr>
          <w:rFonts w:hint="eastAsia" w:ascii="仿宋_GB2312" w:hAnsi="仿宋_GB2312" w:eastAsia="仿宋_GB2312" w:cs="仿宋_GB2312"/>
          <w:spacing w:val="0"/>
          <w:sz w:val="32"/>
          <w:szCs w:val="32"/>
          <w:highlight w:val="none"/>
        </w:rPr>
        <w:t>%；行政权力信息2条，占总数的</w:t>
      </w:r>
      <w:r>
        <w:rPr>
          <w:rFonts w:hint="eastAsia" w:ascii="仿宋_GB2312" w:hAnsi="仿宋_GB2312" w:eastAsia="仿宋_GB2312" w:cs="仿宋_GB2312"/>
          <w:spacing w:val="0"/>
          <w:sz w:val="32"/>
          <w:szCs w:val="32"/>
          <w:highlight w:val="none"/>
          <w:lang w:val="en-US" w:eastAsia="zh-CN"/>
        </w:rPr>
        <w:t>3</w:t>
      </w:r>
      <w:r>
        <w:rPr>
          <w:rFonts w:hint="eastAsia" w:ascii="仿宋_GB2312" w:hAnsi="仿宋_GB2312" w:eastAsia="仿宋_GB2312" w:cs="仿宋_GB2312"/>
          <w:spacing w:val="0"/>
          <w:sz w:val="32"/>
          <w:szCs w:val="32"/>
          <w:highlight w:val="none"/>
        </w:rPr>
        <w:t>%；建议提案信息</w:t>
      </w:r>
      <w:r>
        <w:rPr>
          <w:rFonts w:hint="eastAsia" w:ascii="仿宋_GB2312" w:hAnsi="仿宋_GB2312" w:eastAsia="仿宋_GB2312" w:cs="仿宋_GB2312"/>
          <w:spacing w:val="0"/>
          <w:sz w:val="32"/>
          <w:szCs w:val="32"/>
          <w:highlight w:val="none"/>
          <w:lang w:val="en-US" w:eastAsia="zh-CN"/>
        </w:rPr>
        <w:t>36</w:t>
      </w:r>
      <w:r>
        <w:rPr>
          <w:rFonts w:hint="eastAsia" w:ascii="仿宋_GB2312" w:hAnsi="仿宋_GB2312" w:eastAsia="仿宋_GB2312" w:cs="仿宋_GB2312"/>
          <w:spacing w:val="0"/>
          <w:sz w:val="32"/>
          <w:szCs w:val="32"/>
          <w:highlight w:val="none"/>
        </w:rPr>
        <w:t>条，占总数的</w:t>
      </w:r>
      <w:r>
        <w:rPr>
          <w:rFonts w:hint="eastAsia" w:ascii="仿宋_GB2312" w:hAnsi="仿宋_GB2312" w:eastAsia="仿宋_GB2312" w:cs="仿宋_GB2312"/>
          <w:spacing w:val="0"/>
          <w:sz w:val="32"/>
          <w:szCs w:val="32"/>
          <w:highlight w:val="none"/>
          <w:lang w:val="en-US" w:eastAsia="zh-CN"/>
        </w:rPr>
        <w:t>49</w:t>
      </w:r>
      <w:r>
        <w:rPr>
          <w:rFonts w:hint="eastAsia" w:ascii="仿宋_GB2312" w:hAnsi="仿宋_GB2312" w:eastAsia="仿宋_GB2312" w:cs="仿宋_GB2312"/>
          <w:spacing w:val="0"/>
          <w:sz w:val="32"/>
          <w:szCs w:val="32"/>
          <w:highlight w:val="none"/>
        </w:rPr>
        <w:t>%；重</w:t>
      </w:r>
      <w:r>
        <w:rPr>
          <w:rFonts w:hint="eastAsia" w:ascii="仿宋_GB2312" w:hAnsi="仿宋_GB2312" w:eastAsia="仿宋_GB2312" w:cs="仿宋_GB2312"/>
          <w:spacing w:val="0"/>
          <w:sz w:val="32"/>
          <w:szCs w:val="32"/>
          <w:highlight w:val="none"/>
          <w:lang w:val="en-US" w:eastAsia="zh-CN"/>
        </w:rPr>
        <w:t>大民生</w:t>
      </w:r>
      <w:r>
        <w:rPr>
          <w:rFonts w:hint="eastAsia" w:ascii="仿宋_GB2312" w:hAnsi="仿宋_GB2312" w:eastAsia="仿宋_GB2312" w:cs="仿宋_GB2312"/>
          <w:spacing w:val="0"/>
          <w:sz w:val="32"/>
          <w:szCs w:val="32"/>
          <w:highlight w:val="none"/>
        </w:rPr>
        <w:t>信息</w:t>
      </w:r>
      <w:r>
        <w:rPr>
          <w:rFonts w:hint="eastAsia" w:ascii="仿宋_GB2312" w:hAnsi="仿宋_GB2312" w:eastAsia="仿宋_GB2312" w:cs="仿宋_GB2312"/>
          <w:spacing w:val="0"/>
          <w:sz w:val="32"/>
          <w:szCs w:val="32"/>
          <w:highlight w:val="none"/>
          <w:lang w:val="en-US" w:eastAsia="zh-CN"/>
        </w:rPr>
        <w:t>18</w:t>
      </w:r>
      <w:r>
        <w:rPr>
          <w:rFonts w:hint="eastAsia" w:ascii="仿宋_GB2312" w:hAnsi="仿宋_GB2312" w:eastAsia="仿宋_GB2312" w:cs="仿宋_GB2312"/>
          <w:spacing w:val="0"/>
          <w:sz w:val="32"/>
          <w:szCs w:val="32"/>
          <w:highlight w:val="none"/>
        </w:rPr>
        <w:t>条，占总数的</w:t>
      </w:r>
      <w:r>
        <w:rPr>
          <w:rFonts w:hint="eastAsia" w:ascii="仿宋_GB2312" w:hAnsi="仿宋_GB2312" w:eastAsia="仿宋_GB2312" w:cs="仿宋_GB2312"/>
          <w:spacing w:val="0"/>
          <w:sz w:val="32"/>
          <w:szCs w:val="32"/>
          <w:highlight w:val="none"/>
          <w:lang w:val="en-US" w:eastAsia="zh-CN"/>
        </w:rPr>
        <w:t>24</w:t>
      </w:r>
      <w:r>
        <w:rPr>
          <w:rFonts w:hint="eastAsia" w:ascii="仿宋_GB2312" w:hAnsi="仿宋_GB2312" w:eastAsia="仿宋_GB2312" w:cs="仿宋_GB2312"/>
          <w:spacing w:val="0"/>
          <w:sz w:val="32"/>
          <w:szCs w:val="32"/>
          <w:highlight w:val="none"/>
        </w:rPr>
        <w:t>%；组织管理信息</w:t>
      </w:r>
      <w:r>
        <w:rPr>
          <w:rFonts w:hint="eastAsia" w:ascii="仿宋_GB2312" w:hAnsi="仿宋_GB2312" w:eastAsia="仿宋_GB2312" w:cs="仿宋_GB2312"/>
          <w:spacing w:val="0"/>
          <w:sz w:val="32"/>
          <w:szCs w:val="32"/>
          <w:highlight w:val="none"/>
          <w:lang w:val="en-US" w:eastAsia="zh-CN"/>
        </w:rPr>
        <w:t>7</w:t>
      </w:r>
      <w:r>
        <w:rPr>
          <w:rFonts w:hint="eastAsia" w:ascii="仿宋_GB2312" w:hAnsi="仿宋_GB2312" w:eastAsia="仿宋_GB2312" w:cs="仿宋_GB2312"/>
          <w:spacing w:val="0"/>
          <w:sz w:val="32"/>
          <w:szCs w:val="32"/>
          <w:highlight w:val="none"/>
        </w:rPr>
        <w:t>条，占总数的</w:t>
      </w:r>
      <w:r>
        <w:rPr>
          <w:rFonts w:hint="eastAsia" w:ascii="仿宋_GB2312" w:hAnsi="仿宋_GB2312" w:eastAsia="仿宋_GB2312" w:cs="仿宋_GB2312"/>
          <w:spacing w:val="0"/>
          <w:sz w:val="32"/>
          <w:szCs w:val="32"/>
          <w:highlight w:val="none"/>
          <w:lang w:val="en-US" w:eastAsia="zh-CN"/>
        </w:rPr>
        <w:t>9</w:t>
      </w:r>
      <w:r>
        <w:rPr>
          <w:rFonts w:hint="eastAsia" w:ascii="仿宋_GB2312" w:hAnsi="仿宋_GB2312" w:eastAsia="仿宋_GB2312" w:cs="仿宋_GB2312"/>
          <w:spacing w:val="0"/>
          <w:sz w:val="32"/>
          <w:szCs w:val="32"/>
          <w:highlight w:val="none"/>
        </w:rPr>
        <w:t>%，此外，还通过微信公众号发布</w:t>
      </w:r>
      <w:r>
        <w:rPr>
          <w:rFonts w:hint="eastAsia" w:ascii="仿宋_GB2312" w:hAnsi="仿宋_GB2312" w:eastAsia="仿宋_GB2312" w:cs="仿宋_GB2312"/>
          <w:spacing w:val="0"/>
          <w:sz w:val="32"/>
          <w:szCs w:val="32"/>
          <w:highlight w:val="none"/>
          <w:lang w:val="en-US" w:eastAsia="zh-CN"/>
        </w:rPr>
        <w:t>各类信息600余</w:t>
      </w:r>
      <w:r>
        <w:rPr>
          <w:rFonts w:hint="eastAsia" w:ascii="仿宋_GB2312" w:hAnsi="仿宋_GB2312" w:eastAsia="仿宋_GB2312" w:cs="仿宋_GB2312"/>
          <w:spacing w:val="0"/>
          <w:sz w:val="32"/>
          <w:szCs w:val="32"/>
          <w:highlight w:val="none"/>
        </w:rPr>
        <w:t>条</w:t>
      </w:r>
      <w:r>
        <w:rPr>
          <w:rFonts w:hint="eastAsia" w:ascii="仿宋_GB2312" w:hAnsi="仿宋_GB2312" w:eastAsia="仿宋_GB2312" w:cs="仿宋_GB2312"/>
          <w:spacing w:val="0"/>
          <w:sz w:val="32"/>
          <w:szCs w:val="32"/>
          <w:highlight w:val="none"/>
          <w:lang w:eastAsia="zh-CN"/>
        </w:rPr>
        <w:t>。</w:t>
      </w:r>
    </w:p>
    <w:p w14:paraId="14E8CE7F">
      <w:pPr>
        <w:pStyle w:val="5"/>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600" w:lineRule="exact"/>
        <w:ind w:firstLine="643" w:firstLineChars="200"/>
        <w:jc w:val="both"/>
        <w:textAlignment w:val="auto"/>
        <w:rPr>
          <w:rFonts w:hint="default" w:ascii="仿宋_GB2312" w:eastAsia="仿宋_GB2312" w:cs="仿宋_GB2312" w:hAnsiTheme="minorHAnsi"/>
          <w:spacing w:val="0"/>
          <w:kern w:val="2"/>
          <w:sz w:val="32"/>
          <w:szCs w:val="28"/>
          <w:lang w:val="en-US" w:eastAsia="zh-CN" w:bidi="ar-SA"/>
        </w:rPr>
      </w:pPr>
      <w:r>
        <w:rPr>
          <w:rFonts w:hint="eastAsia" w:ascii="仿宋_GB2312" w:hAnsi="仿宋_GB2312" w:eastAsia="仿宋_GB2312" w:cs="仿宋_GB2312"/>
          <w:b/>
          <w:bCs/>
          <w:spacing w:val="0"/>
          <w:sz w:val="32"/>
          <w:szCs w:val="32"/>
          <w:highlight w:val="none"/>
        </w:rPr>
        <w:drawing>
          <wp:anchor distT="0" distB="0" distL="114300" distR="114300" simplePos="0" relativeHeight="251660288" behindDoc="0" locked="0" layoutInCell="1" allowOverlap="1">
            <wp:simplePos x="0" y="0"/>
            <wp:positionH relativeFrom="column">
              <wp:posOffset>247650</wp:posOffset>
            </wp:positionH>
            <wp:positionV relativeFrom="paragraph">
              <wp:posOffset>139700</wp:posOffset>
            </wp:positionV>
            <wp:extent cx="4893945" cy="3684905"/>
            <wp:effectExtent l="4445" t="4445" r="8890" b="13970"/>
            <wp:wrapTopAndBottom/>
            <wp:docPr id="1" name="图表 2"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仿宋_GB2312" w:hAnsi="仿宋_GB2312" w:eastAsia="仿宋_GB2312" w:cs="仿宋_GB2312"/>
          <w:b/>
          <w:bCs/>
          <w:spacing w:val="0"/>
          <w:sz w:val="32"/>
          <w:szCs w:val="32"/>
          <w:highlight w:val="none"/>
        </w:rPr>
        <w:t>2.</w:t>
      </w:r>
      <w:r>
        <w:rPr>
          <w:rFonts w:hint="eastAsia" w:ascii="仿宋_GB2312" w:hAnsi="仿宋_GB2312" w:eastAsia="仿宋_GB2312" w:cs="仿宋_GB2312"/>
          <w:b/>
          <w:bCs/>
          <w:spacing w:val="0"/>
          <w:sz w:val="32"/>
          <w:szCs w:val="32"/>
          <w:highlight w:val="none"/>
          <w:lang w:val="en-US" w:eastAsia="zh-CN"/>
        </w:rPr>
        <w:t>依申请公开。</w:t>
      </w:r>
      <w:r>
        <w:rPr>
          <w:rFonts w:hint="eastAsia" w:ascii="仿宋_GB2312" w:eastAsia="仿宋_GB2312" w:cs="仿宋_GB2312"/>
          <w:spacing w:val="0"/>
          <w:kern w:val="2"/>
          <w:sz w:val="32"/>
          <w:szCs w:val="28"/>
          <w:lang w:val="en-US" w:eastAsia="zh-CN" w:bidi="ar-SA"/>
        </w:rPr>
        <w:t>2024年</w:t>
      </w:r>
      <w:r>
        <w:rPr>
          <w:rFonts w:hint="eastAsia" w:ascii="仿宋_GB2312" w:eastAsia="仿宋_GB2312" w:cs="仿宋_GB2312" w:hAnsiTheme="minorHAnsi"/>
          <w:spacing w:val="0"/>
          <w:kern w:val="2"/>
          <w:sz w:val="32"/>
          <w:szCs w:val="28"/>
          <w:lang w:val="en-US" w:eastAsia="zh-CN" w:bidi="ar-SA"/>
        </w:rPr>
        <w:t>，滕州市商务和投资促进局未收到和处理政府信息公开依申请事项。没有因政府信息公开产生的行政复议和行政诉讼。</w:t>
      </w:r>
    </w:p>
    <w:p w14:paraId="10B259C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jc w:val="both"/>
        <w:textAlignment w:val="auto"/>
        <w:rPr>
          <w:rFonts w:hint="eastAsia" w:ascii="仿宋_GB2312" w:eastAsia="仿宋_GB2312" w:cs="仿宋_GB2312"/>
          <w:spacing w:val="0"/>
          <w:sz w:val="32"/>
          <w:szCs w:val="28"/>
        </w:rPr>
      </w:pPr>
      <w:r>
        <w:rPr>
          <w:rFonts w:hint="eastAsia" w:ascii="仿宋_GB2312" w:hAnsi="仿宋_GB2312" w:eastAsia="仿宋_GB2312" w:cs="仿宋_GB2312"/>
          <w:b/>
          <w:bCs/>
          <w:spacing w:val="0"/>
          <w:kern w:val="0"/>
          <w:sz w:val="32"/>
          <w:szCs w:val="32"/>
          <w:highlight w:val="none"/>
          <w:lang w:val="en-US" w:eastAsia="zh-CN" w:bidi="ar"/>
        </w:rPr>
        <w:t>3.政府信息管理。</w:t>
      </w:r>
      <w:r>
        <w:rPr>
          <w:rFonts w:hint="eastAsia" w:ascii="仿宋_GB2312" w:eastAsia="仿宋_GB2312" w:cs="仿宋_GB2312" w:hAnsiTheme="minorHAnsi"/>
          <w:spacing w:val="0"/>
          <w:kern w:val="2"/>
          <w:sz w:val="32"/>
          <w:szCs w:val="28"/>
          <w:lang w:val="en-US" w:eastAsia="zh-CN" w:bidi="ar-SA"/>
        </w:rPr>
        <w:t>滕州市商务和投资促进局</w:t>
      </w:r>
      <w:r>
        <w:rPr>
          <w:rFonts w:hint="eastAsia" w:ascii="仿宋_GB2312" w:eastAsia="仿宋_GB2312" w:cs="仿宋_GB2312"/>
          <w:spacing w:val="0"/>
          <w:sz w:val="32"/>
          <w:szCs w:val="28"/>
        </w:rPr>
        <w:t>主要领导为主要负责人，分管领导为分管负责人。各科室依据科室职能，积极主动收集、提报各自业务范围内应公开的政务信息，调研室负责本单位政务公开网站信息的更新与维护。形成“主要领导亲自抓、分管领导具体抓、机关科室合力抓、专人负责抓落实”的工作机制</w:t>
      </w:r>
      <w:r>
        <w:rPr>
          <w:rFonts w:hint="eastAsia" w:ascii="仿宋_GB2312" w:eastAsia="仿宋_GB2312" w:cs="仿宋_GB2312"/>
          <w:spacing w:val="0"/>
          <w:sz w:val="32"/>
          <w:szCs w:val="28"/>
          <w:lang w:eastAsia="zh-CN"/>
        </w:rPr>
        <w:t>。</w:t>
      </w:r>
      <w:r>
        <w:rPr>
          <w:rFonts w:hint="eastAsia" w:ascii="仿宋_GB2312" w:eastAsia="仿宋_GB2312" w:cs="仿宋_GB2312"/>
          <w:spacing w:val="0"/>
          <w:sz w:val="32"/>
          <w:szCs w:val="28"/>
        </w:rPr>
        <w:t>严格执行“谁公开、谁审查、谁负责”“先审查、后公开”“一事一审”等保密审查规定，对拟公开的政府信息，由承办单位提出具体意见，经信息公开操作人员审查后，报信息公开负责领导审批，从源头上落实了保密审查，确保了涉密信息不公开，使政府信息公开工作进一步朝规范化、制度化方向发展，逐步形成长效管理机制。</w:t>
      </w:r>
    </w:p>
    <w:p w14:paraId="4695D6C1">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right="0" w:firstLine="643" w:firstLineChars="200"/>
        <w:jc w:val="both"/>
        <w:textAlignment w:val="auto"/>
        <w:rPr>
          <w:rFonts w:eastAsia="仿宋_GB2312"/>
          <w:sz w:val="32"/>
          <w:szCs w:val="28"/>
        </w:rPr>
      </w:pPr>
      <w:r>
        <w:rPr>
          <w:rFonts w:hint="eastAsia" w:ascii="仿宋_GB2312" w:hAnsi="仿宋_GB2312" w:eastAsia="仿宋_GB2312" w:cs="仿宋_GB2312"/>
          <w:b/>
          <w:bCs/>
          <w:spacing w:val="0"/>
          <w:sz w:val="32"/>
          <w:szCs w:val="32"/>
          <w:highlight w:val="none"/>
        </w:rPr>
        <w:t>4.政府信息公开平台建设。</w:t>
      </w:r>
      <w:r>
        <w:rPr>
          <w:rFonts w:hint="eastAsia" w:ascii="仿宋_GB2312" w:eastAsia="仿宋_GB2312" w:cs="仿宋_GB2312"/>
          <w:spacing w:val="0"/>
          <w:sz w:val="32"/>
          <w:szCs w:val="28"/>
        </w:rPr>
        <w:t>按照上级对政府信息平台建设工作的要求，完善政府信息公开制度，明确政府信息公开专区，公开政府信息查阅范围、方式和流程。安排专人负责信息公开的编辑、审核与发布。</w:t>
      </w:r>
    </w:p>
    <w:p w14:paraId="66667A74">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right="0" w:firstLine="643" w:firstLineChars="200"/>
        <w:jc w:val="both"/>
        <w:textAlignment w:val="auto"/>
        <w:rPr>
          <w:rFonts w:hint="default" w:ascii="仿宋_GB2312" w:eastAsia="仿宋_GB2312"/>
          <w:sz w:val="32"/>
          <w:szCs w:val="32"/>
        </w:rPr>
      </w:pPr>
      <w:r>
        <w:rPr>
          <w:rFonts w:hint="eastAsia" w:ascii="仿宋_GB2312" w:hAnsi="仿宋_GB2312" w:eastAsia="仿宋_GB2312" w:cs="仿宋_GB2312"/>
          <w:b/>
          <w:bCs/>
          <w:spacing w:val="0"/>
          <w:sz w:val="32"/>
          <w:szCs w:val="32"/>
          <w:highlight w:val="none"/>
        </w:rPr>
        <w:t>5.监督保障。</w:t>
      </w:r>
      <w:r>
        <w:rPr>
          <w:rFonts w:hint="eastAsia" w:ascii="仿宋_GB2312" w:eastAsia="仿宋_GB2312" w:cs="仿宋_GB2312"/>
          <w:spacing w:val="0"/>
          <w:sz w:val="32"/>
          <w:szCs w:val="28"/>
        </w:rPr>
        <w:t>按照滕州市政府办公室工作部署要求，滕州市商务和投资促进局积极做好相关政务公开保障工作。同时按照滕州市政务公开绩效考核指标体系和考核标准细则，参加</w:t>
      </w:r>
      <w:r>
        <w:rPr>
          <w:rFonts w:hint="eastAsia" w:ascii="仿宋_GB2312" w:eastAsia="仿宋_GB2312" w:cs="仿宋_GB2312"/>
          <w:spacing w:val="0"/>
          <w:sz w:val="32"/>
          <w:szCs w:val="28"/>
          <w:lang w:eastAsia="zh-CN"/>
        </w:rPr>
        <w:t>2024年</w:t>
      </w:r>
      <w:r>
        <w:rPr>
          <w:rFonts w:hint="eastAsia" w:ascii="仿宋_GB2312" w:eastAsia="仿宋_GB2312" w:cs="仿宋_GB2312"/>
          <w:spacing w:val="0"/>
          <w:sz w:val="32"/>
          <w:szCs w:val="28"/>
        </w:rPr>
        <w:t>滕州市政务公开考核工作。</w:t>
      </w:r>
      <w:r>
        <w:rPr>
          <w:rFonts w:hint="eastAsia" w:ascii="仿宋_GB2312" w:eastAsia="仿宋_GB2312" w:cs="仿宋_GB2312"/>
          <w:spacing w:val="0"/>
          <w:sz w:val="32"/>
          <w:szCs w:val="28"/>
          <w:lang w:eastAsia="zh-CN"/>
        </w:rPr>
        <w:t>2024年</w:t>
      </w:r>
      <w:r>
        <w:rPr>
          <w:rFonts w:hint="eastAsia" w:ascii="仿宋_GB2312" w:eastAsia="仿宋_GB2312" w:cs="仿宋_GB2312"/>
          <w:spacing w:val="0"/>
          <w:sz w:val="32"/>
          <w:szCs w:val="28"/>
        </w:rPr>
        <w:t>，</w:t>
      </w:r>
      <w:r>
        <w:rPr>
          <w:rFonts w:hint="eastAsia" w:ascii="仿宋_GB2312" w:eastAsia="仿宋_GB2312" w:cs="仿宋_GB2312"/>
          <w:spacing w:val="0"/>
          <w:sz w:val="32"/>
          <w:szCs w:val="28"/>
          <w:lang w:val="en-US" w:eastAsia="zh-CN"/>
        </w:rPr>
        <w:t>本单位</w:t>
      </w:r>
      <w:r>
        <w:rPr>
          <w:rFonts w:hint="eastAsia" w:ascii="仿宋_GB2312" w:eastAsia="仿宋_GB2312" w:cs="仿宋_GB2312"/>
          <w:spacing w:val="0"/>
          <w:sz w:val="32"/>
          <w:szCs w:val="28"/>
        </w:rPr>
        <w:t>未发生因信息公开审查不当或保密审查机构未履行保密审查职责而引起的失泄密情况。</w:t>
      </w:r>
      <w:r>
        <w:rPr>
          <w:rFonts w:hint="eastAsia" w:ascii="仿宋_GB2312" w:eastAsia="仿宋_GB2312" w:cs="仿宋_GB2312"/>
          <w:spacing w:val="0"/>
          <w:sz w:val="32"/>
          <w:szCs w:val="28"/>
          <w:lang w:eastAsia="zh-CN"/>
        </w:rPr>
        <w:t>2024年</w:t>
      </w:r>
      <w:r>
        <w:rPr>
          <w:rFonts w:hint="eastAsia" w:ascii="仿宋_GB2312" w:eastAsia="仿宋_GB2312" w:cs="仿宋_GB2312"/>
          <w:spacing w:val="0"/>
          <w:sz w:val="32"/>
          <w:szCs w:val="28"/>
        </w:rPr>
        <w:t>度未进行社会评议，未发生责任追究情况。</w:t>
      </w:r>
    </w:p>
    <w:p w14:paraId="0FF55503">
      <w:pPr>
        <w:pStyle w:val="5"/>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left="0" w:firstLine="420"/>
        <w:textAlignment w:val="auto"/>
        <w:rPr>
          <w:sz w:val="32"/>
          <w:szCs w:val="32"/>
        </w:rPr>
      </w:pPr>
      <w:r>
        <w:rPr>
          <w:rFonts w:hint="eastAsia" w:ascii="黑体" w:hAnsi="宋体" w:eastAsia="黑体" w:cs="黑体"/>
          <w:sz w:val="32"/>
          <w:szCs w:val="32"/>
        </w:rPr>
        <w:t> 二、主动公开政府信息情况</w:t>
      </w:r>
    </w:p>
    <w:tbl>
      <w:tblPr>
        <w:tblStyle w:val="6"/>
        <w:tblW w:w="8824" w:type="dxa"/>
        <w:tblInd w:w="0" w:type="dxa"/>
        <w:tblLayout w:type="fixed"/>
        <w:tblCellMar>
          <w:top w:w="0" w:type="dxa"/>
          <w:left w:w="108" w:type="dxa"/>
          <w:bottom w:w="0" w:type="dxa"/>
          <w:right w:w="108" w:type="dxa"/>
        </w:tblCellMar>
      </w:tblPr>
      <w:tblGrid>
        <w:gridCol w:w="2206"/>
        <w:gridCol w:w="2206"/>
        <w:gridCol w:w="2206"/>
        <w:gridCol w:w="2206"/>
      </w:tblGrid>
      <w:tr w14:paraId="3A3DE307">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3C715B77">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72590B1C">
        <w:tblPrEx>
          <w:tblCellMar>
            <w:top w:w="0" w:type="dxa"/>
            <w:left w:w="108" w:type="dxa"/>
            <w:bottom w:w="0" w:type="dxa"/>
            <w:right w:w="108" w:type="dxa"/>
          </w:tblCellMar>
        </w:tblPrEx>
        <w:trPr>
          <w:trHeight w:val="340" w:hRule="exact"/>
        </w:trPr>
        <w:tc>
          <w:tcPr>
            <w:tcW w:w="2206" w:type="dxa"/>
            <w:tcBorders>
              <w:top w:val="nil"/>
              <w:left w:val="single" w:color="auto" w:sz="8" w:space="0"/>
              <w:bottom w:val="single" w:color="auto" w:sz="8" w:space="0"/>
              <w:right w:val="single" w:color="auto" w:sz="8" w:space="0"/>
            </w:tcBorders>
            <w:noWrap w:val="0"/>
            <w:vAlign w:val="center"/>
          </w:tcPr>
          <w:p w14:paraId="4C016C1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14:paraId="2C26442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14:paraId="075761E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14:paraId="5721892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601BE5CB">
        <w:tblPrEx>
          <w:tblCellMar>
            <w:top w:w="0" w:type="dxa"/>
            <w:left w:w="108" w:type="dxa"/>
            <w:bottom w:w="0" w:type="dxa"/>
            <w:right w:w="108" w:type="dxa"/>
          </w:tblCellMar>
        </w:tblPrEx>
        <w:trPr>
          <w:trHeight w:val="340" w:hRule="exact"/>
        </w:trPr>
        <w:tc>
          <w:tcPr>
            <w:tcW w:w="2206" w:type="dxa"/>
            <w:tcBorders>
              <w:top w:val="nil"/>
              <w:left w:val="single" w:color="auto" w:sz="8" w:space="0"/>
              <w:bottom w:val="single" w:color="auto" w:sz="8" w:space="0"/>
              <w:right w:val="single" w:color="auto" w:sz="8" w:space="0"/>
            </w:tcBorders>
            <w:noWrap w:val="0"/>
            <w:vAlign w:val="center"/>
          </w:tcPr>
          <w:p w14:paraId="7FE944F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14:paraId="1F1961C5">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2F1E0B33">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72EAC014">
            <w:pPr>
              <w:widowControl/>
              <w:jc w:val="center"/>
              <w:rPr>
                <w:rFonts w:ascii="仿宋_GB2312" w:hAnsi="Calibri" w:eastAsia="仿宋_GB2312" w:cs="Calibri"/>
                <w:color w:val="auto"/>
                <w:kern w:val="0"/>
                <w:szCs w:val="21"/>
              </w:rPr>
            </w:pPr>
            <w:r>
              <w:rPr>
                <w:rFonts w:hint="eastAsia" w:ascii="仿宋_GB2312" w:hAnsi="宋体" w:eastAsia="仿宋_GB2312" w:cs="宋体"/>
                <w:color w:val="auto"/>
                <w:kern w:val="0"/>
                <w:szCs w:val="21"/>
                <w:lang w:val="en-US" w:eastAsia="zh-CN"/>
              </w:rPr>
              <w:t>0</w:t>
            </w:r>
          </w:p>
        </w:tc>
      </w:tr>
      <w:tr w14:paraId="418D8FE8">
        <w:tblPrEx>
          <w:tblCellMar>
            <w:top w:w="0" w:type="dxa"/>
            <w:left w:w="108" w:type="dxa"/>
            <w:bottom w:w="0" w:type="dxa"/>
            <w:right w:w="108" w:type="dxa"/>
          </w:tblCellMar>
        </w:tblPrEx>
        <w:trPr>
          <w:trHeight w:val="340" w:hRule="exact"/>
        </w:trPr>
        <w:tc>
          <w:tcPr>
            <w:tcW w:w="2206" w:type="dxa"/>
            <w:tcBorders>
              <w:top w:val="nil"/>
              <w:left w:val="single" w:color="auto" w:sz="8" w:space="0"/>
              <w:bottom w:val="single" w:color="auto" w:sz="8" w:space="0"/>
              <w:right w:val="single" w:color="auto" w:sz="8" w:space="0"/>
            </w:tcBorders>
            <w:noWrap w:val="0"/>
            <w:vAlign w:val="center"/>
          </w:tcPr>
          <w:p w14:paraId="6511D9CF">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14:paraId="7D4E88A1">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16EFC8D1">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66187DDE">
            <w:pPr>
              <w:widowControl/>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0</w:t>
            </w:r>
          </w:p>
        </w:tc>
      </w:tr>
      <w:tr w14:paraId="35DA98EC">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7217633B">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2F1C1A93">
        <w:tblPrEx>
          <w:tblCellMar>
            <w:top w:w="0" w:type="dxa"/>
            <w:left w:w="108" w:type="dxa"/>
            <w:bottom w:w="0" w:type="dxa"/>
            <w:right w:w="108" w:type="dxa"/>
          </w:tblCellMar>
        </w:tblPrEx>
        <w:trPr>
          <w:trHeight w:val="340" w:hRule="exact"/>
        </w:trPr>
        <w:tc>
          <w:tcPr>
            <w:tcW w:w="2206" w:type="dxa"/>
            <w:tcBorders>
              <w:top w:val="nil"/>
              <w:left w:val="single" w:color="auto" w:sz="8" w:space="0"/>
              <w:bottom w:val="single" w:color="auto" w:sz="8" w:space="0"/>
              <w:right w:val="single" w:color="auto" w:sz="8" w:space="0"/>
            </w:tcBorders>
            <w:noWrap w:val="0"/>
            <w:vAlign w:val="center"/>
          </w:tcPr>
          <w:p w14:paraId="7DD8017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685D1D0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296F75C9">
        <w:tblPrEx>
          <w:tblCellMar>
            <w:top w:w="0" w:type="dxa"/>
            <w:left w:w="108" w:type="dxa"/>
            <w:bottom w:w="0" w:type="dxa"/>
            <w:right w:w="108" w:type="dxa"/>
          </w:tblCellMar>
        </w:tblPrEx>
        <w:trPr>
          <w:trHeight w:val="340" w:hRule="exact"/>
        </w:trPr>
        <w:tc>
          <w:tcPr>
            <w:tcW w:w="2206" w:type="dxa"/>
            <w:tcBorders>
              <w:top w:val="nil"/>
              <w:left w:val="single" w:color="auto" w:sz="8" w:space="0"/>
              <w:bottom w:val="single" w:color="auto" w:sz="8" w:space="0"/>
              <w:right w:val="single" w:color="auto" w:sz="8" w:space="0"/>
            </w:tcBorders>
            <w:noWrap w:val="0"/>
            <w:vAlign w:val="center"/>
          </w:tcPr>
          <w:p w14:paraId="3CE87FA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14:paraId="3963C2ED">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14:paraId="1053D5CA">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16902231">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5D9E1CF3">
        <w:tblPrEx>
          <w:tblCellMar>
            <w:top w:w="0" w:type="dxa"/>
            <w:left w:w="108" w:type="dxa"/>
            <w:bottom w:w="0" w:type="dxa"/>
            <w:right w:w="108" w:type="dxa"/>
          </w:tblCellMar>
        </w:tblPrEx>
        <w:trPr>
          <w:trHeight w:val="397" w:hRule="exact"/>
        </w:trPr>
        <w:tc>
          <w:tcPr>
            <w:tcW w:w="2206" w:type="dxa"/>
            <w:tcBorders>
              <w:top w:val="nil"/>
              <w:left w:val="single" w:color="auto" w:sz="8" w:space="0"/>
              <w:bottom w:val="single" w:color="auto" w:sz="8" w:space="0"/>
              <w:right w:val="single" w:color="auto" w:sz="8" w:space="0"/>
            </w:tcBorders>
            <w:noWrap w:val="0"/>
            <w:vAlign w:val="center"/>
          </w:tcPr>
          <w:p w14:paraId="61DFFAF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1336BFB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5CA89E82">
        <w:tblPrEx>
          <w:tblCellMar>
            <w:top w:w="0" w:type="dxa"/>
            <w:left w:w="108" w:type="dxa"/>
            <w:bottom w:w="0" w:type="dxa"/>
            <w:right w:w="108" w:type="dxa"/>
          </w:tblCellMar>
        </w:tblPrEx>
        <w:trPr>
          <w:trHeight w:val="397" w:hRule="exact"/>
        </w:trPr>
        <w:tc>
          <w:tcPr>
            <w:tcW w:w="2206" w:type="dxa"/>
            <w:tcBorders>
              <w:top w:val="nil"/>
              <w:left w:val="single" w:color="auto" w:sz="8" w:space="0"/>
              <w:bottom w:val="single" w:color="auto" w:sz="8" w:space="0"/>
              <w:right w:val="single" w:color="auto" w:sz="8" w:space="0"/>
            </w:tcBorders>
            <w:noWrap w:val="0"/>
            <w:vAlign w:val="center"/>
          </w:tcPr>
          <w:p w14:paraId="18795EF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14:paraId="7906D6ED">
            <w:pPr>
              <w:widowControl/>
              <w:jc w:val="center"/>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0</w:t>
            </w:r>
          </w:p>
        </w:tc>
      </w:tr>
      <w:tr w14:paraId="6A8C5FD3">
        <w:tblPrEx>
          <w:tblCellMar>
            <w:top w:w="0" w:type="dxa"/>
            <w:left w:w="108" w:type="dxa"/>
            <w:bottom w:w="0" w:type="dxa"/>
            <w:right w:w="108" w:type="dxa"/>
          </w:tblCellMar>
        </w:tblPrEx>
        <w:trPr>
          <w:trHeight w:val="397" w:hRule="exact"/>
        </w:trPr>
        <w:tc>
          <w:tcPr>
            <w:tcW w:w="2206" w:type="dxa"/>
            <w:tcBorders>
              <w:top w:val="nil"/>
              <w:left w:val="single" w:color="auto" w:sz="8" w:space="0"/>
              <w:bottom w:val="single" w:color="auto" w:sz="8" w:space="0"/>
              <w:right w:val="single" w:color="auto" w:sz="8" w:space="0"/>
            </w:tcBorders>
            <w:noWrap w:val="0"/>
            <w:vAlign w:val="center"/>
          </w:tcPr>
          <w:p w14:paraId="7052AE1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14:paraId="35EB64AF">
            <w:pPr>
              <w:widowControl/>
              <w:jc w:val="center"/>
              <w:rPr>
                <w:rFonts w:hint="default"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14:paraId="60E2113E">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505EDE65">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0C49E078">
        <w:tblPrEx>
          <w:tblCellMar>
            <w:top w:w="0" w:type="dxa"/>
            <w:left w:w="108" w:type="dxa"/>
            <w:bottom w:w="0" w:type="dxa"/>
            <w:right w:w="108" w:type="dxa"/>
          </w:tblCellMar>
        </w:tblPrEx>
        <w:trPr>
          <w:trHeight w:val="397" w:hRule="exact"/>
        </w:trPr>
        <w:tc>
          <w:tcPr>
            <w:tcW w:w="2206" w:type="dxa"/>
            <w:tcBorders>
              <w:top w:val="nil"/>
              <w:left w:val="single" w:color="auto" w:sz="8" w:space="0"/>
              <w:bottom w:val="single" w:color="auto" w:sz="8" w:space="0"/>
              <w:right w:val="single" w:color="auto" w:sz="8" w:space="0"/>
            </w:tcBorders>
            <w:noWrap w:val="0"/>
            <w:vAlign w:val="center"/>
          </w:tcPr>
          <w:p w14:paraId="39A99A8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57F12C4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30AB4DD8">
        <w:tblPrEx>
          <w:tblCellMar>
            <w:top w:w="0" w:type="dxa"/>
            <w:left w:w="108" w:type="dxa"/>
            <w:bottom w:w="0" w:type="dxa"/>
            <w:right w:w="108" w:type="dxa"/>
          </w:tblCellMar>
        </w:tblPrEx>
        <w:trPr>
          <w:trHeight w:val="397" w:hRule="exact"/>
        </w:trPr>
        <w:tc>
          <w:tcPr>
            <w:tcW w:w="2206" w:type="dxa"/>
            <w:tcBorders>
              <w:top w:val="nil"/>
              <w:left w:val="single" w:color="auto" w:sz="8" w:space="0"/>
              <w:bottom w:val="single" w:color="auto" w:sz="8" w:space="0"/>
              <w:right w:val="single" w:color="auto" w:sz="8" w:space="0"/>
            </w:tcBorders>
            <w:noWrap w:val="0"/>
            <w:vAlign w:val="center"/>
          </w:tcPr>
          <w:p w14:paraId="3716E4A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14:paraId="1C0F3E45">
            <w:pPr>
              <w:widowControl/>
              <w:jc w:val="center"/>
              <w:rPr>
                <w:rFonts w:hint="eastAsia" w:ascii="仿宋_GB2312" w:hAnsi="Calibri" w:eastAsia="仿宋_GB2312" w:cs="Calibri"/>
                <w:color w:val="000000"/>
                <w:kern w:val="0"/>
                <w:szCs w:val="21"/>
                <w:lang w:eastAsia="zh-CN"/>
              </w:rPr>
            </w:pPr>
            <w:r>
              <w:rPr>
                <w:rFonts w:hint="eastAsia" w:ascii="仿宋_GB2312" w:hAnsi="Calibri" w:eastAsia="仿宋_GB2312" w:cs="Calibri"/>
                <w:color w:val="auto"/>
                <w:kern w:val="0"/>
                <w:szCs w:val="21"/>
                <w:lang w:val="en-US" w:eastAsia="zh-CN"/>
              </w:rPr>
              <w:t>0</w:t>
            </w:r>
          </w:p>
        </w:tc>
      </w:tr>
    </w:tbl>
    <w:p w14:paraId="23199E99">
      <w:pPr>
        <w:pStyle w:val="5"/>
        <w:keepNext w:val="0"/>
        <w:keepLines w:val="0"/>
        <w:widowControl/>
        <w:numPr>
          <w:ilvl w:val="0"/>
          <w:numId w:val="1"/>
        </w:numPr>
        <w:suppressLineNumbers w:val="0"/>
        <w:spacing w:after="0" w:afterAutospacing="0" w:line="317" w:lineRule="atLeast"/>
        <w:ind w:left="0" w:firstLine="420"/>
        <w:rPr>
          <w:rFonts w:hint="eastAsia" w:ascii="黑体" w:hAnsi="宋体" w:eastAsia="黑体" w:cs="黑体"/>
          <w:spacing w:val="0"/>
          <w:sz w:val="32"/>
          <w:szCs w:val="32"/>
        </w:rPr>
      </w:pPr>
      <w:r>
        <w:rPr>
          <w:rFonts w:hint="eastAsia" w:ascii="黑体" w:hAnsi="宋体" w:eastAsia="黑体" w:cs="黑体"/>
          <w:spacing w:val="0"/>
          <w:sz w:val="32"/>
          <w:szCs w:val="32"/>
        </w:rPr>
        <w:t>收到和处理政府信息公开申请情况</w:t>
      </w:r>
    </w:p>
    <w:tbl>
      <w:tblPr>
        <w:tblStyle w:val="6"/>
        <w:tblW w:w="9502"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20" w:type="dxa"/>
          <w:bottom w:w="60" w:type="dxa"/>
          <w:right w:w="120" w:type="dxa"/>
        </w:tblCellMar>
      </w:tblPr>
      <w:tblGrid>
        <w:gridCol w:w="480"/>
        <w:gridCol w:w="1212"/>
        <w:gridCol w:w="2626"/>
        <w:gridCol w:w="852"/>
        <w:gridCol w:w="900"/>
        <w:gridCol w:w="840"/>
        <w:gridCol w:w="780"/>
        <w:gridCol w:w="756"/>
        <w:gridCol w:w="576"/>
        <w:gridCol w:w="480"/>
      </w:tblGrid>
      <w:tr w14:paraId="4AB2CAE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jc w:val="center"/>
        </w:trPr>
        <w:tc>
          <w:tcPr>
            <w:tcW w:w="4318"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60" w:type="dxa"/>
              <w:left w:w="60" w:type="dxa"/>
              <w:right w:w="60" w:type="dxa"/>
            </w:tcMar>
            <w:vAlign w:val="center"/>
          </w:tcPr>
          <w:p w14:paraId="4A2CF36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420"/>
              <w:jc w:val="center"/>
              <w:textAlignment w:val="auto"/>
              <w:rPr>
                <w:sz w:val="28"/>
                <w:szCs w:val="28"/>
              </w:rPr>
            </w:pPr>
            <w:r>
              <w:rPr>
                <w:rFonts w:hint="eastAsia" w:ascii="宋体" w:hAnsi="宋体" w:eastAsia="宋体" w:cs="宋体"/>
                <w:spacing w:val="0"/>
                <w:sz w:val="18"/>
                <w:szCs w:val="18"/>
              </w:rPr>
              <w:t>（本列数据的勾稽关系为：第一项加第二项之和，等于第三项加第四项之和）</w:t>
            </w:r>
          </w:p>
        </w:tc>
        <w:tc>
          <w:tcPr>
            <w:tcW w:w="5184" w:type="dxa"/>
            <w:gridSpan w:val="7"/>
            <w:tcBorders>
              <w:top w:val="single" w:color="auto" w:sz="4" w:space="0"/>
              <w:left w:val="nil"/>
              <w:bottom w:val="single" w:color="auto" w:sz="4" w:space="0"/>
              <w:right w:val="single" w:color="auto" w:sz="4" w:space="0"/>
            </w:tcBorders>
            <w:shd w:val="clear" w:color="auto" w:fill="auto"/>
            <w:tcMar>
              <w:top w:w="60" w:type="dxa"/>
              <w:left w:w="60" w:type="dxa"/>
              <w:right w:w="60" w:type="dxa"/>
            </w:tcMar>
            <w:vAlign w:val="center"/>
          </w:tcPr>
          <w:p w14:paraId="27CC4A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420"/>
              <w:jc w:val="center"/>
              <w:textAlignment w:val="auto"/>
              <w:rPr>
                <w:sz w:val="28"/>
                <w:szCs w:val="28"/>
              </w:rPr>
            </w:pPr>
            <w:r>
              <w:rPr>
                <w:rFonts w:hint="eastAsia" w:ascii="宋体" w:hAnsi="宋体" w:eastAsia="宋体" w:cs="宋体"/>
                <w:spacing w:val="0"/>
                <w:sz w:val="18"/>
                <w:szCs w:val="18"/>
              </w:rPr>
              <w:t>申请人情况</w:t>
            </w:r>
          </w:p>
        </w:tc>
      </w:tr>
      <w:tr w14:paraId="143637E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trHeight w:val="132" w:hRule="atLeast"/>
          <w:jc w:val="center"/>
        </w:trPr>
        <w:tc>
          <w:tcPr>
            <w:tcW w:w="4318"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60" w:type="dxa"/>
              <w:left w:w="60" w:type="dxa"/>
              <w:right w:w="60" w:type="dxa"/>
            </w:tcMar>
            <w:vAlign w:val="center"/>
          </w:tcPr>
          <w:p w14:paraId="2FC9F829">
            <w:pPr>
              <w:keepNext w:val="0"/>
              <w:keepLines w:val="0"/>
              <w:pageBreakBefore w:val="0"/>
              <w:kinsoku/>
              <w:overflowPunct/>
              <w:topLinePunct w:val="0"/>
              <w:autoSpaceDE/>
              <w:autoSpaceDN/>
              <w:bidi w:val="0"/>
              <w:adjustRightInd/>
              <w:snapToGrid/>
              <w:spacing w:line="240" w:lineRule="exact"/>
              <w:jc w:val="center"/>
              <w:textAlignment w:val="auto"/>
              <w:rPr>
                <w:rFonts w:hint="eastAsia" w:ascii="宋体"/>
                <w:sz w:val="28"/>
                <w:szCs w:val="28"/>
              </w:rPr>
            </w:pPr>
          </w:p>
        </w:tc>
        <w:tc>
          <w:tcPr>
            <w:tcW w:w="852" w:type="dxa"/>
            <w:vMerge w:val="restart"/>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4E3CA9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sz w:val="28"/>
                <w:szCs w:val="28"/>
              </w:rPr>
            </w:pPr>
            <w:r>
              <w:rPr>
                <w:rFonts w:hint="eastAsia" w:ascii="宋体" w:hAnsi="宋体" w:eastAsia="宋体" w:cs="宋体"/>
                <w:spacing w:val="0"/>
                <w:sz w:val="18"/>
                <w:szCs w:val="18"/>
              </w:rPr>
              <w:t>自然人</w:t>
            </w:r>
          </w:p>
        </w:tc>
        <w:tc>
          <w:tcPr>
            <w:tcW w:w="3852" w:type="dxa"/>
            <w:gridSpan w:val="5"/>
            <w:tcBorders>
              <w:top w:val="single" w:color="auto" w:sz="4" w:space="0"/>
              <w:left w:val="nil"/>
              <w:bottom w:val="single" w:color="auto" w:sz="4" w:space="0"/>
              <w:right w:val="single" w:color="auto" w:sz="4" w:space="0"/>
            </w:tcBorders>
            <w:shd w:val="clear" w:color="auto" w:fill="auto"/>
            <w:tcMar>
              <w:top w:w="60" w:type="dxa"/>
              <w:left w:w="60" w:type="dxa"/>
              <w:right w:w="60" w:type="dxa"/>
            </w:tcMar>
            <w:vAlign w:val="center"/>
          </w:tcPr>
          <w:p w14:paraId="009C9A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420"/>
              <w:jc w:val="center"/>
              <w:textAlignment w:val="auto"/>
              <w:rPr>
                <w:sz w:val="28"/>
                <w:szCs w:val="28"/>
              </w:rPr>
            </w:pPr>
            <w:r>
              <w:rPr>
                <w:rFonts w:hint="eastAsia" w:ascii="宋体" w:hAnsi="宋体" w:eastAsia="宋体" w:cs="宋体"/>
                <w:spacing w:val="0"/>
                <w:sz w:val="18"/>
                <w:szCs w:val="18"/>
              </w:rPr>
              <w:t>法人或其他组织</w:t>
            </w:r>
          </w:p>
        </w:tc>
        <w:tc>
          <w:tcPr>
            <w:tcW w:w="480" w:type="dxa"/>
            <w:vMerge w:val="restart"/>
            <w:tcBorders>
              <w:top w:val="single" w:color="auto" w:sz="4" w:space="0"/>
              <w:left w:val="nil"/>
              <w:bottom w:val="single" w:color="auto" w:sz="4" w:space="0"/>
              <w:right w:val="single" w:color="auto" w:sz="4" w:space="0"/>
            </w:tcBorders>
            <w:shd w:val="clear" w:color="auto" w:fill="auto"/>
            <w:tcMar>
              <w:top w:w="60" w:type="dxa"/>
              <w:left w:w="60" w:type="dxa"/>
              <w:right w:w="60" w:type="dxa"/>
            </w:tcMar>
            <w:vAlign w:val="center"/>
          </w:tcPr>
          <w:p w14:paraId="318305F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both"/>
              <w:textAlignment w:val="auto"/>
              <w:rPr>
                <w:sz w:val="28"/>
                <w:szCs w:val="28"/>
              </w:rPr>
            </w:pPr>
            <w:r>
              <w:rPr>
                <w:rFonts w:hint="eastAsia" w:ascii="宋体" w:hAnsi="宋体" w:eastAsia="宋体" w:cs="宋体"/>
                <w:spacing w:val="0"/>
                <w:sz w:val="18"/>
                <w:szCs w:val="18"/>
              </w:rPr>
              <w:t>总计</w:t>
            </w:r>
          </w:p>
        </w:tc>
      </w:tr>
      <w:tr w14:paraId="4FBD78D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trHeight w:val="636" w:hRule="atLeast"/>
          <w:jc w:val="center"/>
        </w:trPr>
        <w:tc>
          <w:tcPr>
            <w:tcW w:w="4318"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60" w:type="dxa"/>
              <w:left w:w="60" w:type="dxa"/>
              <w:right w:w="60" w:type="dxa"/>
            </w:tcMar>
            <w:vAlign w:val="center"/>
          </w:tcPr>
          <w:p w14:paraId="1731C462">
            <w:pPr>
              <w:keepNext w:val="0"/>
              <w:keepLines w:val="0"/>
              <w:pageBreakBefore w:val="0"/>
              <w:kinsoku/>
              <w:overflowPunct/>
              <w:topLinePunct w:val="0"/>
              <w:autoSpaceDE/>
              <w:autoSpaceDN/>
              <w:bidi w:val="0"/>
              <w:adjustRightInd/>
              <w:snapToGrid/>
              <w:spacing w:line="240" w:lineRule="exact"/>
              <w:jc w:val="center"/>
              <w:textAlignment w:val="auto"/>
              <w:rPr>
                <w:rFonts w:hint="eastAsia" w:ascii="宋体"/>
                <w:sz w:val="28"/>
                <w:szCs w:val="28"/>
              </w:rPr>
            </w:pPr>
          </w:p>
        </w:tc>
        <w:tc>
          <w:tcPr>
            <w:tcW w:w="852" w:type="dxa"/>
            <w:vMerge w:val="continue"/>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08B5CE63">
            <w:pPr>
              <w:keepNext w:val="0"/>
              <w:keepLines w:val="0"/>
              <w:pageBreakBefore w:val="0"/>
              <w:kinsoku/>
              <w:overflowPunct/>
              <w:topLinePunct w:val="0"/>
              <w:autoSpaceDE/>
              <w:autoSpaceDN/>
              <w:bidi w:val="0"/>
              <w:adjustRightInd/>
              <w:snapToGrid/>
              <w:spacing w:line="240" w:lineRule="exact"/>
              <w:jc w:val="center"/>
              <w:textAlignment w:val="auto"/>
              <w:rPr>
                <w:rFonts w:hint="eastAsia" w:ascii="宋体"/>
                <w:sz w:val="28"/>
                <w:szCs w:val="28"/>
              </w:rPr>
            </w:pPr>
          </w:p>
        </w:tc>
        <w:tc>
          <w:tcPr>
            <w:tcW w:w="90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4B148D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sz w:val="28"/>
                <w:szCs w:val="28"/>
              </w:rPr>
            </w:pPr>
            <w:r>
              <w:rPr>
                <w:rFonts w:hint="eastAsia" w:ascii="宋体" w:hAnsi="宋体" w:eastAsia="宋体" w:cs="宋体"/>
                <w:spacing w:val="0"/>
                <w:sz w:val="18"/>
                <w:szCs w:val="18"/>
              </w:rPr>
              <w:t>商业企业</w:t>
            </w:r>
          </w:p>
        </w:tc>
        <w:tc>
          <w:tcPr>
            <w:tcW w:w="84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3C32BD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sz w:val="28"/>
                <w:szCs w:val="28"/>
              </w:rPr>
            </w:pPr>
            <w:r>
              <w:rPr>
                <w:rFonts w:hint="eastAsia" w:ascii="宋体" w:hAnsi="宋体" w:eastAsia="宋体" w:cs="宋体"/>
                <w:spacing w:val="0"/>
                <w:sz w:val="18"/>
                <w:szCs w:val="18"/>
              </w:rPr>
              <w:t>科研机构</w:t>
            </w:r>
          </w:p>
        </w:tc>
        <w:tc>
          <w:tcPr>
            <w:tcW w:w="780" w:type="dxa"/>
            <w:tcBorders>
              <w:top w:val="single" w:color="auto" w:sz="4" w:space="0"/>
              <w:left w:val="nil"/>
              <w:bottom w:val="single" w:color="auto" w:sz="4" w:space="0"/>
              <w:right w:val="single" w:color="auto" w:sz="4" w:space="0"/>
            </w:tcBorders>
            <w:shd w:val="clear" w:color="auto" w:fill="auto"/>
            <w:tcMar>
              <w:top w:w="60" w:type="dxa"/>
              <w:left w:w="60" w:type="dxa"/>
              <w:right w:w="60" w:type="dxa"/>
            </w:tcMar>
            <w:vAlign w:val="center"/>
          </w:tcPr>
          <w:p w14:paraId="511F61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sz w:val="28"/>
                <w:szCs w:val="28"/>
              </w:rPr>
            </w:pPr>
            <w:r>
              <w:rPr>
                <w:rFonts w:hint="eastAsia" w:ascii="宋体" w:hAnsi="宋体" w:eastAsia="宋体" w:cs="宋体"/>
                <w:spacing w:val="0"/>
                <w:sz w:val="18"/>
                <w:szCs w:val="18"/>
              </w:rPr>
              <w:t>社会公益组织</w:t>
            </w:r>
          </w:p>
        </w:tc>
        <w:tc>
          <w:tcPr>
            <w:tcW w:w="756" w:type="dxa"/>
            <w:tcBorders>
              <w:top w:val="single" w:color="auto" w:sz="4" w:space="0"/>
              <w:left w:val="nil"/>
              <w:bottom w:val="single" w:color="auto" w:sz="4" w:space="0"/>
              <w:right w:val="single" w:color="auto" w:sz="4" w:space="0"/>
            </w:tcBorders>
            <w:shd w:val="clear" w:color="auto" w:fill="auto"/>
            <w:tcMar>
              <w:top w:w="60" w:type="dxa"/>
              <w:left w:w="60" w:type="dxa"/>
              <w:right w:w="60" w:type="dxa"/>
            </w:tcMar>
            <w:vAlign w:val="center"/>
          </w:tcPr>
          <w:p w14:paraId="27D82FB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sz w:val="28"/>
                <w:szCs w:val="28"/>
              </w:rPr>
            </w:pPr>
            <w:r>
              <w:rPr>
                <w:rFonts w:hint="eastAsia" w:ascii="宋体" w:hAnsi="宋体" w:eastAsia="宋体" w:cs="宋体"/>
                <w:spacing w:val="0"/>
                <w:sz w:val="18"/>
                <w:szCs w:val="18"/>
              </w:rPr>
              <w:t>法律服务机构</w:t>
            </w:r>
          </w:p>
        </w:tc>
        <w:tc>
          <w:tcPr>
            <w:tcW w:w="576" w:type="dxa"/>
            <w:tcBorders>
              <w:top w:val="single" w:color="auto" w:sz="4" w:space="0"/>
              <w:left w:val="nil"/>
              <w:bottom w:val="single" w:color="auto" w:sz="4" w:space="0"/>
              <w:right w:val="single" w:color="auto" w:sz="4" w:space="0"/>
            </w:tcBorders>
            <w:shd w:val="clear" w:color="auto" w:fill="auto"/>
            <w:tcMar>
              <w:top w:w="60" w:type="dxa"/>
              <w:left w:w="60" w:type="dxa"/>
              <w:right w:w="60" w:type="dxa"/>
            </w:tcMar>
            <w:vAlign w:val="center"/>
          </w:tcPr>
          <w:p w14:paraId="6947D9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sz w:val="28"/>
                <w:szCs w:val="28"/>
              </w:rPr>
            </w:pPr>
            <w:r>
              <w:rPr>
                <w:rFonts w:hint="eastAsia" w:ascii="宋体" w:hAnsi="宋体" w:eastAsia="宋体" w:cs="宋体"/>
                <w:spacing w:val="0"/>
                <w:sz w:val="18"/>
                <w:szCs w:val="18"/>
              </w:rPr>
              <w:t>其他</w:t>
            </w:r>
          </w:p>
        </w:tc>
        <w:tc>
          <w:tcPr>
            <w:tcW w:w="480" w:type="dxa"/>
            <w:vMerge w:val="continue"/>
            <w:tcBorders>
              <w:top w:val="single" w:color="auto" w:sz="4" w:space="0"/>
              <w:left w:val="nil"/>
              <w:bottom w:val="single" w:color="auto" w:sz="4" w:space="0"/>
              <w:right w:val="single" w:color="auto" w:sz="4" w:space="0"/>
            </w:tcBorders>
            <w:shd w:val="clear" w:color="auto" w:fill="auto"/>
            <w:tcMar>
              <w:top w:w="60" w:type="dxa"/>
              <w:left w:w="60" w:type="dxa"/>
              <w:right w:w="60" w:type="dxa"/>
            </w:tcMar>
            <w:vAlign w:val="center"/>
          </w:tcPr>
          <w:p w14:paraId="173337DB">
            <w:pPr>
              <w:keepNext w:val="0"/>
              <w:keepLines w:val="0"/>
              <w:pageBreakBefore w:val="0"/>
              <w:kinsoku/>
              <w:overflowPunct/>
              <w:topLinePunct w:val="0"/>
              <w:autoSpaceDE/>
              <w:autoSpaceDN/>
              <w:bidi w:val="0"/>
              <w:adjustRightInd/>
              <w:snapToGrid/>
              <w:spacing w:line="240" w:lineRule="exact"/>
              <w:textAlignment w:val="auto"/>
              <w:rPr>
                <w:rFonts w:hint="eastAsia" w:ascii="宋体"/>
                <w:sz w:val="28"/>
                <w:szCs w:val="28"/>
              </w:rPr>
            </w:pPr>
          </w:p>
        </w:tc>
      </w:tr>
      <w:tr w14:paraId="6C8C85A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jc w:val="center"/>
        </w:trPr>
        <w:tc>
          <w:tcPr>
            <w:tcW w:w="4318" w:type="dxa"/>
            <w:gridSpan w:val="3"/>
            <w:tcBorders>
              <w:top w:val="nil"/>
              <w:left w:val="single" w:color="auto" w:sz="4" w:space="0"/>
              <w:bottom w:val="single" w:color="auto" w:sz="4" w:space="0"/>
              <w:right w:val="single" w:color="auto" w:sz="4" w:space="0"/>
            </w:tcBorders>
            <w:shd w:val="clear" w:color="auto" w:fill="auto"/>
            <w:tcMar>
              <w:top w:w="60" w:type="dxa"/>
              <w:left w:w="60" w:type="dxa"/>
              <w:right w:w="60" w:type="dxa"/>
            </w:tcMar>
            <w:vAlign w:val="center"/>
          </w:tcPr>
          <w:p w14:paraId="485ED3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420"/>
              <w:textAlignment w:val="auto"/>
              <w:rPr>
                <w:sz w:val="28"/>
                <w:szCs w:val="28"/>
              </w:rPr>
            </w:pPr>
            <w:r>
              <w:rPr>
                <w:rFonts w:hint="eastAsia" w:ascii="宋体" w:hAnsi="宋体" w:eastAsia="宋体" w:cs="宋体"/>
                <w:spacing w:val="0"/>
                <w:sz w:val="18"/>
                <w:szCs w:val="18"/>
              </w:rPr>
              <w:t>一、本年新收政府信息公开申请数量</w:t>
            </w:r>
          </w:p>
        </w:tc>
        <w:tc>
          <w:tcPr>
            <w:tcW w:w="852"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2F072F2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ascii="Calibri" w:hAnsi="Calibri" w:cs="Calibri"/>
                <w:spacing w:val="0"/>
                <w:sz w:val="20"/>
                <w:szCs w:val="20"/>
              </w:rPr>
              <w:t>0</w:t>
            </w:r>
          </w:p>
        </w:tc>
        <w:tc>
          <w:tcPr>
            <w:tcW w:w="90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68DC588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84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5DCABB4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54EA3B0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5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7FAD069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57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630823F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4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67A43D3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default" w:ascii="Calibri" w:hAnsi="Calibri" w:cs="Calibri"/>
                <w:spacing w:val="0"/>
                <w:sz w:val="20"/>
                <w:szCs w:val="20"/>
              </w:rPr>
              <w:t>0</w:t>
            </w:r>
          </w:p>
        </w:tc>
      </w:tr>
      <w:tr w14:paraId="78A715D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jc w:val="center"/>
        </w:trPr>
        <w:tc>
          <w:tcPr>
            <w:tcW w:w="4318" w:type="dxa"/>
            <w:gridSpan w:val="3"/>
            <w:tcBorders>
              <w:top w:val="nil"/>
              <w:left w:val="single" w:color="auto" w:sz="4" w:space="0"/>
              <w:bottom w:val="single" w:color="auto" w:sz="4" w:space="0"/>
              <w:right w:val="single" w:color="auto" w:sz="4" w:space="0"/>
            </w:tcBorders>
            <w:shd w:val="clear" w:color="auto" w:fill="auto"/>
            <w:tcMar>
              <w:top w:w="60" w:type="dxa"/>
              <w:left w:w="60" w:type="dxa"/>
              <w:right w:w="60" w:type="dxa"/>
            </w:tcMar>
            <w:vAlign w:val="center"/>
          </w:tcPr>
          <w:p w14:paraId="2ADC83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right="0" w:firstLine="420"/>
              <w:textAlignment w:val="auto"/>
              <w:rPr>
                <w:sz w:val="28"/>
                <w:szCs w:val="28"/>
              </w:rPr>
            </w:pPr>
            <w:r>
              <w:rPr>
                <w:rFonts w:hint="eastAsia" w:ascii="宋体" w:hAnsi="宋体" w:eastAsia="宋体" w:cs="宋体"/>
                <w:spacing w:val="0"/>
                <w:sz w:val="18"/>
                <w:szCs w:val="18"/>
              </w:rPr>
              <w:t>二、上年结转政府信息公开申请数量</w:t>
            </w:r>
          </w:p>
        </w:tc>
        <w:tc>
          <w:tcPr>
            <w:tcW w:w="852"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0424D66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90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69010B3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84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773A686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64B871A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5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7F64686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57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3D92C54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4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7F7E0D9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r>
      <w:tr w14:paraId="1D96E23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jc w:val="center"/>
        </w:trPr>
        <w:tc>
          <w:tcPr>
            <w:tcW w:w="480" w:type="dxa"/>
            <w:vMerge w:val="restart"/>
            <w:tcBorders>
              <w:top w:val="nil"/>
              <w:left w:val="single" w:color="auto" w:sz="4" w:space="0"/>
              <w:bottom w:val="single" w:color="auto" w:sz="4" w:space="0"/>
              <w:right w:val="single" w:color="auto" w:sz="4" w:space="0"/>
            </w:tcBorders>
            <w:shd w:val="clear" w:color="auto" w:fill="auto"/>
            <w:tcMar>
              <w:top w:w="60" w:type="dxa"/>
              <w:left w:w="60" w:type="dxa"/>
              <w:right w:w="60" w:type="dxa"/>
            </w:tcMar>
            <w:vAlign w:val="center"/>
          </w:tcPr>
          <w:p w14:paraId="0C95695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both"/>
              <w:textAlignment w:val="auto"/>
              <w:rPr>
                <w:rFonts w:hint="eastAsia" w:ascii="宋体" w:hAnsi="宋体" w:eastAsia="宋体" w:cs="宋体"/>
                <w:spacing w:val="0"/>
                <w:sz w:val="18"/>
                <w:szCs w:val="18"/>
              </w:rPr>
            </w:pPr>
          </w:p>
          <w:p w14:paraId="5D6AB3D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both"/>
              <w:textAlignment w:val="auto"/>
              <w:rPr>
                <w:sz w:val="28"/>
                <w:szCs w:val="28"/>
              </w:rPr>
            </w:pPr>
            <w:r>
              <w:rPr>
                <w:rFonts w:hint="eastAsia" w:ascii="宋体" w:hAnsi="宋体" w:eastAsia="宋体" w:cs="宋体"/>
                <w:spacing w:val="0"/>
                <w:sz w:val="18"/>
                <w:szCs w:val="18"/>
              </w:rPr>
              <w:t>三、本年度办理结果</w:t>
            </w:r>
          </w:p>
        </w:tc>
        <w:tc>
          <w:tcPr>
            <w:tcW w:w="3838" w:type="dxa"/>
            <w:gridSpan w:val="2"/>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54839AA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textAlignment w:val="auto"/>
              <w:rPr>
                <w:sz w:val="28"/>
                <w:szCs w:val="28"/>
              </w:rPr>
            </w:pPr>
            <w:r>
              <w:rPr>
                <w:rFonts w:hint="eastAsia" w:ascii="宋体" w:hAnsi="宋体" w:eastAsia="宋体" w:cs="宋体"/>
                <w:spacing w:val="0"/>
                <w:sz w:val="18"/>
                <w:szCs w:val="18"/>
              </w:rPr>
              <w:t>（一）予以公开</w:t>
            </w:r>
          </w:p>
        </w:tc>
        <w:tc>
          <w:tcPr>
            <w:tcW w:w="852"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718A700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90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4170C50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84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020E9B3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6D5A4D1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5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616C538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57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076A26E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480" w:type="dxa"/>
            <w:tcBorders>
              <w:top w:val="single" w:color="auto" w:sz="4" w:space="0"/>
              <w:left w:val="nil"/>
              <w:bottom w:val="single" w:color="auto" w:sz="4" w:space="0"/>
              <w:right w:val="single" w:color="auto" w:sz="4" w:space="0"/>
            </w:tcBorders>
            <w:shd w:val="clear" w:color="auto" w:fill="auto"/>
            <w:tcMar>
              <w:top w:w="60" w:type="dxa"/>
              <w:left w:w="60" w:type="dxa"/>
              <w:right w:w="60" w:type="dxa"/>
            </w:tcMar>
            <w:vAlign w:val="center"/>
          </w:tcPr>
          <w:p w14:paraId="6846CFE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r>
      <w:tr w14:paraId="373158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jc w:val="center"/>
        </w:trPr>
        <w:tc>
          <w:tcPr>
            <w:tcW w:w="480" w:type="dxa"/>
            <w:vMerge w:val="continue"/>
            <w:tcBorders>
              <w:top w:val="nil"/>
              <w:left w:val="single" w:color="auto" w:sz="4" w:space="0"/>
              <w:bottom w:val="single" w:color="auto" w:sz="4" w:space="0"/>
              <w:right w:val="single" w:color="auto" w:sz="4" w:space="0"/>
            </w:tcBorders>
            <w:shd w:val="clear" w:color="auto" w:fill="auto"/>
            <w:tcMar>
              <w:top w:w="60" w:type="dxa"/>
              <w:left w:w="60" w:type="dxa"/>
              <w:right w:w="60" w:type="dxa"/>
            </w:tcMar>
            <w:vAlign w:val="center"/>
          </w:tcPr>
          <w:p w14:paraId="07B1B0DE">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3838" w:type="dxa"/>
            <w:gridSpan w:val="2"/>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050C08D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textAlignment w:val="auto"/>
              <w:rPr>
                <w:sz w:val="28"/>
                <w:szCs w:val="28"/>
              </w:rPr>
            </w:pPr>
            <w:r>
              <w:rPr>
                <w:rFonts w:hint="eastAsia" w:ascii="宋体" w:hAnsi="宋体" w:eastAsia="宋体" w:cs="宋体"/>
                <w:spacing w:val="0"/>
                <w:sz w:val="18"/>
                <w:szCs w:val="18"/>
              </w:rPr>
              <w:t>（二）部分公开（区分处理的，只计这一情形，不计其他情形）</w:t>
            </w:r>
          </w:p>
        </w:tc>
        <w:tc>
          <w:tcPr>
            <w:tcW w:w="852"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21902DB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default" w:ascii="Calibri" w:hAnsi="Calibri" w:cs="Calibri"/>
                <w:spacing w:val="0"/>
                <w:sz w:val="20"/>
                <w:szCs w:val="20"/>
              </w:rPr>
              <w:t>0</w:t>
            </w:r>
          </w:p>
        </w:tc>
        <w:tc>
          <w:tcPr>
            <w:tcW w:w="90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42812C1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84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16EC945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7CF98DB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5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1A284B7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57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67A6016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4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1FE8F92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default" w:ascii="Calibri" w:hAnsi="Calibri" w:cs="Calibri"/>
                <w:spacing w:val="0"/>
                <w:sz w:val="20"/>
                <w:szCs w:val="20"/>
              </w:rPr>
              <w:t>0</w:t>
            </w:r>
          </w:p>
        </w:tc>
      </w:tr>
      <w:tr w14:paraId="05FD70B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jc w:val="center"/>
        </w:trPr>
        <w:tc>
          <w:tcPr>
            <w:tcW w:w="480" w:type="dxa"/>
            <w:vMerge w:val="continue"/>
            <w:tcBorders>
              <w:top w:val="nil"/>
              <w:left w:val="single" w:color="auto" w:sz="4" w:space="0"/>
              <w:bottom w:val="single" w:color="auto" w:sz="4" w:space="0"/>
              <w:right w:val="single" w:color="auto" w:sz="4" w:space="0"/>
            </w:tcBorders>
            <w:shd w:val="clear" w:color="auto" w:fill="auto"/>
            <w:tcMar>
              <w:top w:w="60" w:type="dxa"/>
              <w:left w:w="60" w:type="dxa"/>
              <w:right w:w="60" w:type="dxa"/>
            </w:tcMar>
            <w:vAlign w:val="center"/>
          </w:tcPr>
          <w:p w14:paraId="64B6D2FB">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1212" w:type="dxa"/>
            <w:vMerge w:val="restart"/>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1A794A3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84" w:right="0" w:firstLine="0"/>
              <w:textAlignment w:val="auto"/>
              <w:rPr>
                <w:sz w:val="28"/>
                <w:szCs w:val="28"/>
              </w:rPr>
            </w:pPr>
            <w:r>
              <w:rPr>
                <w:rFonts w:hint="eastAsia" w:ascii="宋体" w:hAnsi="宋体" w:eastAsia="宋体" w:cs="宋体"/>
                <w:spacing w:val="0"/>
                <w:sz w:val="18"/>
                <w:szCs w:val="18"/>
              </w:rPr>
              <w:t>（三）不予公开</w:t>
            </w:r>
          </w:p>
        </w:tc>
        <w:tc>
          <w:tcPr>
            <w:tcW w:w="262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1692FBF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textAlignment w:val="auto"/>
              <w:rPr>
                <w:sz w:val="28"/>
                <w:szCs w:val="28"/>
              </w:rPr>
            </w:pPr>
            <w:r>
              <w:rPr>
                <w:rFonts w:hint="eastAsia" w:ascii="宋体" w:hAnsi="宋体" w:eastAsia="宋体" w:cs="宋体"/>
                <w:spacing w:val="0"/>
                <w:sz w:val="18"/>
                <w:szCs w:val="18"/>
              </w:rPr>
              <w:t>1.属于国家秘密</w:t>
            </w:r>
          </w:p>
        </w:tc>
        <w:tc>
          <w:tcPr>
            <w:tcW w:w="852"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6E8D172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90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35B4EE3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84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6EB5EF9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519A572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5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6EDE2DB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57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730026C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480" w:type="dxa"/>
            <w:tcBorders>
              <w:top w:val="single" w:color="auto" w:sz="4" w:space="0"/>
              <w:left w:val="nil"/>
              <w:bottom w:val="single" w:color="auto" w:sz="4" w:space="0"/>
              <w:right w:val="single" w:color="auto" w:sz="4" w:space="0"/>
            </w:tcBorders>
            <w:shd w:val="clear" w:color="auto" w:fill="auto"/>
            <w:tcMar>
              <w:top w:w="60" w:type="dxa"/>
              <w:left w:w="60" w:type="dxa"/>
              <w:right w:w="60" w:type="dxa"/>
            </w:tcMar>
            <w:vAlign w:val="center"/>
          </w:tcPr>
          <w:p w14:paraId="49D13AB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r>
      <w:tr w14:paraId="64E84F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jc w:val="center"/>
        </w:trPr>
        <w:tc>
          <w:tcPr>
            <w:tcW w:w="480" w:type="dxa"/>
            <w:vMerge w:val="continue"/>
            <w:tcBorders>
              <w:top w:val="nil"/>
              <w:left w:val="single" w:color="auto" w:sz="4" w:space="0"/>
              <w:bottom w:val="single" w:color="auto" w:sz="4" w:space="0"/>
              <w:right w:val="single" w:color="auto" w:sz="4" w:space="0"/>
            </w:tcBorders>
            <w:shd w:val="clear" w:color="auto" w:fill="auto"/>
            <w:tcMar>
              <w:top w:w="60" w:type="dxa"/>
              <w:left w:w="60" w:type="dxa"/>
              <w:right w:w="60" w:type="dxa"/>
            </w:tcMar>
            <w:vAlign w:val="center"/>
          </w:tcPr>
          <w:p w14:paraId="70A34552">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1212" w:type="dxa"/>
            <w:vMerge w:val="continue"/>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1525A185">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262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5CD7D73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textAlignment w:val="auto"/>
              <w:rPr>
                <w:sz w:val="28"/>
                <w:szCs w:val="28"/>
              </w:rPr>
            </w:pPr>
            <w:r>
              <w:rPr>
                <w:rFonts w:hint="eastAsia" w:ascii="宋体" w:hAnsi="宋体" w:eastAsia="宋体" w:cs="宋体"/>
                <w:spacing w:val="0"/>
                <w:sz w:val="18"/>
                <w:szCs w:val="18"/>
              </w:rPr>
              <w:t>2.其他法律行政法规禁止公开</w:t>
            </w:r>
          </w:p>
        </w:tc>
        <w:tc>
          <w:tcPr>
            <w:tcW w:w="852"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1488AF8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90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7964DA1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84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1249884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5783B4E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5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340B2A2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57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18D78D9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4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127A2A7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r>
      <w:tr w14:paraId="43B020D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jc w:val="center"/>
        </w:trPr>
        <w:tc>
          <w:tcPr>
            <w:tcW w:w="480" w:type="dxa"/>
            <w:vMerge w:val="continue"/>
            <w:tcBorders>
              <w:top w:val="nil"/>
              <w:left w:val="single" w:color="auto" w:sz="4" w:space="0"/>
              <w:bottom w:val="single" w:color="auto" w:sz="4" w:space="0"/>
              <w:right w:val="single" w:color="auto" w:sz="4" w:space="0"/>
            </w:tcBorders>
            <w:shd w:val="clear" w:color="auto" w:fill="auto"/>
            <w:tcMar>
              <w:top w:w="60" w:type="dxa"/>
              <w:left w:w="60" w:type="dxa"/>
              <w:right w:w="60" w:type="dxa"/>
            </w:tcMar>
            <w:vAlign w:val="center"/>
          </w:tcPr>
          <w:p w14:paraId="2BAF0711">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1212" w:type="dxa"/>
            <w:vMerge w:val="continue"/>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1357317A">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262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344D40E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textAlignment w:val="auto"/>
              <w:rPr>
                <w:sz w:val="28"/>
                <w:szCs w:val="28"/>
              </w:rPr>
            </w:pPr>
            <w:r>
              <w:rPr>
                <w:rFonts w:hint="eastAsia" w:ascii="宋体" w:hAnsi="宋体" w:eastAsia="宋体" w:cs="宋体"/>
                <w:spacing w:val="0"/>
                <w:sz w:val="18"/>
                <w:szCs w:val="18"/>
              </w:rPr>
              <w:t>3.危及“三安全一稳定”</w:t>
            </w:r>
          </w:p>
        </w:tc>
        <w:tc>
          <w:tcPr>
            <w:tcW w:w="852"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640DF50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90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60538BF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84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38C414D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7213CEA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5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4B8FFA3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57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7D54A17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4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5B57CD4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r>
      <w:tr w14:paraId="4CB710B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jc w:val="center"/>
        </w:trPr>
        <w:tc>
          <w:tcPr>
            <w:tcW w:w="480" w:type="dxa"/>
            <w:vMerge w:val="continue"/>
            <w:tcBorders>
              <w:top w:val="nil"/>
              <w:left w:val="single" w:color="auto" w:sz="4" w:space="0"/>
              <w:bottom w:val="single" w:color="auto" w:sz="4" w:space="0"/>
              <w:right w:val="single" w:color="auto" w:sz="4" w:space="0"/>
            </w:tcBorders>
            <w:shd w:val="clear" w:color="auto" w:fill="auto"/>
            <w:tcMar>
              <w:top w:w="60" w:type="dxa"/>
              <w:left w:w="60" w:type="dxa"/>
              <w:right w:w="60" w:type="dxa"/>
            </w:tcMar>
            <w:vAlign w:val="center"/>
          </w:tcPr>
          <w:p w14:paraId="79543D52">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1212" w:type="dxa"/>
            <w:vMerge w:val="continue"/>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555D22F1">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262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27DE140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textAlignment w:val="auto"/>
              <w:rPr>
                <w:sz w:val="28"/>
                <w:szCs w:val="28"/>
              </w:rPr>
            </w:pPr>
            <w:r>
              <w:rPr>
                <w:rFonts w:hint="eastAsia" w:ascii="宋体" w:hAnsi="宋体" w:eastAsia="宋体" w:cs="宋体"/>
                <w:spacing w:val="0"/>
                <w:sz w:val="18"/>
                <w:szCs w:val="18"/>
              </w:rPr>
              <w:t>4.保护第三方合法权益</w:t>
            </w:r>
          </w:p>
        </w:tc>
        <w:tc>
          <w:tcPr>
            <w:tcW w:w="852"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1B6AE26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90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36D4D7E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84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39E5D32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0A03636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5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6B6AA21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57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177B23A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4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79787C0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r>
      <w:tr w14:paraId="2D705A7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jc w:val="center"/>
        </w:trPr>
        <w:tc>
          <w:tcPr>
            <w:tcW w:w="480" w:type="dxa"/>
            <w:vMerge w:val="continue"/>
            <w:tcBorders>
              <w:top w:val="nil"/>
              <w:left w:val="single" w:color="auto" w:sz="4" w:space="0"/>
              <w:bottom w:val="single" w:color="auto" w:sz="4" w:space="0"/>
              <w:right w:val="single" w:color="auto" w:sz="4" w:space="0"/>
            </w:tcBorders>
            <w:shd w:val="clear" w:color="auto" w:fill="auto"/>
            <w:tcMar>
              <w:top w:w="60" w:type="dxa"/>
              <w:left w:w="60" w:type="dxa"/>
              <w:right w:w="60" w:type="dxa"/>
            </w:tcMar>
            <w:vAlign w:val="center"/>
          </w:tcPr>
          <w:p w14:paraId="3DAFE5AA">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1212" w:type="dxa"/>
            <w:vMerge w:val="continue"/>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681B967B">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262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74E09BA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textAlignment w:val="auto"/>
              <w:rPr>
                <w:sz w:val="28"/>
                <w:szCs w:val="28"/>
              </w:rPr>
            </w:pPr>
            <w:r>
              <w:rPr>
                <w:rFonts w:hint="eastAsia" w:ascii="宋体" w:hAnsi="宋体" w:eastAsia="宋体" w:cs="宋体"/>
                <w:spacing w:val="0"/>
                <w:sz w:val="18"/>
                <w:szCs w:val="18"/>
              </w:rPr>
              <w:t>5.属于三类内部事务信息</w:t>
            </w:r>
          </w:p>
        </w:tc>
        <w:tc>
          <w:tcPr>
            <w:tcW w:w="852"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15E36BF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90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3A1B2B2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84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57EE035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004998E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5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5534478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57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61679DE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4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31724FE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r>
      <w:tr w14:paraId="4F83D54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jc w:val="center"/>
        </w:trPr>
        <w:tc>
          <w:tcPr>
            <w:tcW w:w="480" w:type="dxa"/>
            <w:vMerge w:val="continue"/>
            <w:tcBorders>
              <w:top w:val="nil"/>
              <w:left w:val="single" w:color="auto" w:sz="4" w:space="0"/>
              <w:bottom w:val="single" w:color="auto" w:sz="4" w:space="0"/>
              <w:right w:val="single" w:color="auto" w:sz="4" w:space="0"/>
            </w:tcBorders>
            <w:shd w:val="clear" w:color="auto" w:fill="auto"/>
            <w:tcMar>
              <w:top w:w="60" w:type="dxa"/>
              <w:left w:w="60" w:type="dxa"/>
              <w:right w:w="60" w:type="dxa"/>
            </w:tcMar>
            <w:vAlign w:val="center"/>
          </w:tcPr>
          <w:p w14:paraId="212DA51C">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1212" w:type="dxa"/>
            <w:vMerge w:val="continue"/>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002AE121">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262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0A5147F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textAlignment w:val="auto"/>
              <w:rPr>
                <w:sz w:val="28"/>
                <w:szCs w:val="28"/>
              </w:rPr>
            </w:pPr>
            <w:r>
              <w:rPr>
                <w:rFonts w:hint="eastAsia" w:ascii="宋体" w:hAnsi="宋体" w:eastAsia="宋体" w:cs="宋体"/>
                <w:spacing w:val="0"/>
                <w:sz w:val="18"/>
                <w:szCs w:val="18"/>
              </w:rPr>
              <w:t>6.属于四类过程性信息</w:t>
            </w:r>
          </w:p>
        </w:tc>
        <w:tc>
          <w:tcPr>
            <w:tcW w:w="852"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10573E5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90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3FFEE50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84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44B7466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47B8115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5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7336E6F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57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62E9893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4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0895D0C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r>
      <w:tr w14:paraId="2EE5A71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jc w:val="center"/>
        </w:trPr>
        <w:tc>
          <w:tcPr>
            <w:tcW w:w="480" w:type="dxa"/>
            <w:vMerge w:val="continue"/>
            <w:tcBorders>
              <w:top w:val="nil"/>
              <w:left w:val="single" w:color="auto" w:sz="4" w:space="0"/>
              <w:bottom w:val="single" w:color="auto" w:sz="4" w:space="0"/>
              <w:right w:val="single" w:color="auto" w:sz="4" w:space="0"/>
            </w:tcBorders>
            <w:shd w:val="clear" w:color="auto" w:fill="auto"/>
            <w:tcMar>
              <w:top w:w="60" w:type="dxa"/>
              <w:left w:w="60" w:type="dxa"/>
              <w:right w:w="60" w:type="dxa"/>
            </w:tcMar>
            <w:vAlign w:val="center"/>
          </w:tcPr>
          <w:p w14:paraId="6EC07C0E">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1212" w:type="dxa"/>
            <w:vMerge w:val="continue"/>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0FF80E94">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262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1178E76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textAlignment w:val="auto"/>
              <w:rPr>
                <w:sz w:val="28"/>
                <w:szCs w:val="28"/>
              </w:rPr>
            </w:pPr>
            <w:r>
              <w:rPr>
                <w:rFonts w:hint="eastAsia" w:ascii="宋体" w:hAnsi="宋体" w:eastAsia="宋体" w:cs="宋体"/>
                <w:spacing w:val="0"/>
                <w:sz w:val="18"/>
                <w:szCs w:val="18"/>
              </w:rPr>
              <w:t>7.属于行政执法案卷</w:t>
            </w:r>
          </w:p>
        </w:tc>
        <w:tc>
          <w:tcPr>
            <w:tcW w:w="852"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4354013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90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731E04B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84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5235760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2AF7807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5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21F8E63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57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2CA8097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4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72DD4DC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r>
      <w:tr w14:paraId="3A3BF75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jc w:val="center"/>
        </w:trPr>
        <w:tc>
          <w:tcPr>
            <w:tcW w:w="480" w:type="dxa"/>
            <w:vMerge w:val="continue"/>
            <w:tcBorders>
              <w:top w:val="nil"/>
              <w:left w:val="single" w:color="auto" w:sz="4" w:space="0"/>
              <w:bottom w:val="single" w:color="auto" w:sz="4" w:space="0"/>
              <w:right w:val="single" w:color="auto" w:sz="4" w:space="0"/>
            </w:tcBorders>
            <w:shd w:val="clear" w:color="auto" w:fill="auto"/>
            <w:tcMar>
              <w:top w:w="60" w:type="dxa"/>
              <w:left w:w="60" w:type="dxa"/>
              <w:right w:w="60" w:type="dxa"/>
            </w:tcMar>
            <w:vAlign w:val="center"/>
          </w:tcPr>
          <w:p w14:paraId="26530F72">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1212" w:type="dxa"/>
            <w:vMerge w:val="continue"/>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7743773B">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262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5493D5E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textAlignment w:val="auto"/>
              <w:rPr>
                <w:sz w:val="28"/>
                <w:szCs w:val="28"/>
              </w:rPr>
            </w:pPr>
            <w:r>
              <w:rPr>
                <w:rFonts w:hint="eastAsia" w:ascii="宋体" w:hAnsi="宋体" w:eastAsia="宋体" w:cs="宋体"/>
                <w:spacing w:val="0"/>
                <w:sz w:val="18"/>
                <w:szCs w:val="18"/>
              </w:rPr>
              <w:t>8.属于行政查询事项</w:t>
            </w:r>
          </w:p>
        </w:tc>
        <w:tc>
          <w:tcPr>
            <w:tcW w:w="852"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322F425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90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6D67686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84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5CA15A5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32727D6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5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42A1B55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57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0B90EC3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4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396F669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r>
      <w:tr w14:paraId="10A6E5C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jc w:val="center"/>
        </w:trPr>
        <w:tc>
          <w:tcPr>
            <w:tcW w:w="480" w:type="dxa"/>
            <w:vMerge w:val="continue"/>
            <w:tcBorders>
              <w:top w:val="nil"/>
              <w:left w:val="single" w:color="auto" w:sz="4" w:space="0"/>
              <w:bottom w:val="single" w:color="auto" w:sz="4" w:space="0"/>
              <w:right w:val="single" w:color="auto" w:sz="4" w:space="0"/>
            </w:tcBorders>
            <w:shd w:val="clear" w:color="auto" w:fill="auto"/>
            <w:tcMar>
              <w:top w:w="60" w:type="dxa"/>
              <w:left w:w="60" w:type="dxa"/>
              <w:right w:w="60" w:type="dxa"/>
            </w:tcMar>
            <w:vAlign w:val="center"/>
          </w:tcPr>
          <w:p w14:paraId="193FD32E">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1212" w:type="dxa"/>
            <w:vMerge w:val="restart"/>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3E9442B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84" w:right="0" w:firstLine="0"/>
              <w:textAlignment w:val="auto"/>
              <w:rPr>
                <w:sz w:val="28"/>
                <w:szCs w:val="28"/>
              </w:rPr>
            </w:pPr>
            <w:r>
              <w:rPr>
                <w:rFonts w:hint="eastAsia" w:ascii="宋体" w:hAnsi="宋体" w:eastAsia="宋体" w:cs="宋体"/>
                <w:spacing w:val="0"/>
                <w:sz w:val="18"/>
                <w:szCs w:val="18"/>
              </w:rPr>
              <w:t>（四）无法提供</w:t>
            </w:r>
          </w:p>
        </w:tc>
        <w:tc>
          <w:tcPr>
            <w:tcW w:w="262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17E21DE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textAlignment w:val="auto"/>
              <w:rPr>
                <w:sz w:val="28"/>
                <w:szCs w:val="28"/>
              </w:rPr>
            </w:pPr>
            <w:r>
              <w:rPr>
                <w:rFonts w:hint="eastAsia" w:ascii="宋体" w:hAnsi="宋体" w:eastAsia="宋体" w:cs="宋体"/>
                <w:spacing w:val="0"/>
                <w:sz w:val="18"/>
                <w:szCs w:val="18"/>
              </w:rPr>
              <w:t>1.本机关不掌握相关政府信息</w:t>
            </w:r>
          </w:p>
        </w:tc>
        <w:tc>
          <w:tcPr>
            <w:tcW w:w="852"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1572AD4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90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034BB15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84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6FFFD46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0F60CB8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5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1552345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57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423095A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4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7E38493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r>
      <w:tr w14:paraId="419C9AF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jc w:val="center"/>
        </w:trPr>
        <w:tc>
          <w:tcPr>
            <w:tcW w:w="480" w:type="dxa"/>
            <w:vMerge w:val="continue"/>
            <w:tcBorders>
              <w:top w:val="nil"/>
              <w:left w:val="single" w:color="auto" w:sz="4" w:space="0"/>
              <w:bottom w:val="single" w:color="auto" w:sz="4" w:space="0"/>
              <w:right w:val="single" w:color="auto" w:sz="4" w:space="0"/>
            </w:tcBorders>
            <w:shd w:val="clear" w:color="auto" w:fill="auto"/>
            <w:tcMar>
              <w:top w:w="60" w:type="dxa"/>
              <w:left w:w="60" w:type="dxa"/>
              <w:right w:w="60" w:type="dxa"/>
            </w:tcMar>
            <w:vAlign w:val="center"/>
          </w:tcPr>
          <w:p w14:paraId="5DB4778F">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1212" w:type="dxa"/>
            <w:vMerge w:val="continue"/>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5BD2E3C2">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262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079A166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textAlignment w:val="auto"/>
              <w:rPr>
                <w:sz w:val="28"/>
                <w:szCs w:val="28"/>
              </w:rPr>
            </w:pPr>
            <w:r>
              <w:rPr>
                <w:rFonts w:hint="eastAsia" w:ascii="宋体" w:hAnsi="宋体" w:eastAsia="宋体" w:cs="宋体"/>
                <w:spacing w:val="0"/>
                <w:sz w:val="18"/>
                <w:szCs w:val="18"/>
              </w:rPr>
              <w:t>2.没有现成信息需要另行制作</w:t>
            </w:r>
          </w:p>
        </w:tc>
        <w:tc>
          <w:tcPr>
            <w:tcW w:w="852"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58F7CA5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90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168BF25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84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57079D7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4373621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5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1E89BF3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57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1DBF637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4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7CFC3C9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r>
      <w:tr w14:paraId="6193D7E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jc w:val="center"/>
        </w:trPr>
        <w:tc>
          <w:tcPr>
            <w:tcW w:w="480" w:type="dxa"/>
            <w:vMerge w:val="continue"/>
            <w:tcBorders>
              <w:top w:val="nil"/>
              <w:left w:val="single" w:color="auto" w:sz="4" w:space="0"/>
              <w:bottom w:val="single" w:color="auto" w:sz="4" w:space="0"/>
              <w:right w:val="single" w:color="auto" w:sz="4" w:space="0"/>
            </w:tcBorders>
            <w:shd w:val="clear" w:color="auto" w:fill="auto"/>
            <w:tcMar>
              <w:top w:w="60" w:type="dxa"/>
              <w:left w:w="60" w:type="dxa"/>
              <w:right w:w="60" w:type="dxa"/>
            </w:tcMar>
            <w:vAlign w:val="center"/>
          </w:tcPr>
          <w:p w14:paraId="4EBFFECA">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1212" w:type="dxa"/>
            <w:vMerge w:val="continue"/>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3E791F95">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262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58A3528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textAlignment w:val="auto"/>
              <w:rPr>
                <w:sz w:val="28"/>
                <w:szCs w:val="28"/>
              </w:rPr>
            </w:pPr>
            <w:r>
              <w:rPr>
                <w:rFonts w:hint="eastAsia" w:ascii="宋体" w:hAnsi="宋体" w:eastAsia="宋体" w:cs="宋体"/>
                <w:spacing w:val="0"/>
                <w:sz w:val="18"/>
                <w:szCs w:val="18"/>
              </w:rPr>
              <w:t>3.补正后申请内容仍不明确</w:t>
            </w:r>
          </w:p>
        </w:tc>
        <w:tc>
          <w:tcPr>
            <w:tcW w:w="852"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0910446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90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219312C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84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2670007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3284D5C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5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595FA09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57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60B0CA8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4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32C7B1F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r>
      <w:tr w14:paraId="28AB25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jc w:val="center"/>
        </w:trPr>
        <w:tc>
          <w:tcPr>
            <w:tcW w:w="480" w:type="dxa"/>
            <w:vMerge w:val="continue"/>
            <w:tcBorders>
              <w:top w:val="nil"/>
              <w:left w:val="single" w:color="auto" w:sz="4" w:space="0"/>
              <w:bottom w:val="single" w:color="auto" w:sz="4" w:space="0"/>
              <w:right w:val="single" w:color="auto" w:sz="4" w:space="0"/>
            </w:tcBorders>
            <w:shd w:val="clear" w:color="auto" w:fill="auto"/>
            <w:tcMar>
              <w:top w:w="60" w:type="dxa"/>
              <w:left w:w="60" w:type="dxa"/>
              <w:right w:w="60" w:type="dxa"/>
            </w:tcMar>
            <w:vAlign w:val="center"/>
          </w:tcPr>
          <w:p w14:paraId="0CBFFA55">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1212" w:type="dxa"/>
            <w:vMerge w:val="restart"/>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47DD12C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84" w:right="0" w:firstLine="0"/>
              <w:textAlignment w:val="auto"/>
              <w:rPr>
                <w:sz w:val="28"/>
                <w:szCs w:val="28"/>
              </w:rPr>
            </w:pPr>
            <w:r>
              <w:rPr>
                <w:rFonts w:hint="eastAsia" w:ascii="宋体" w:hAnsi="宋体" w:eastAsia="宋体" w:cs="宋体"/>
                <w:spacing w:val="0"/>
                <w:sz w:val="18"/>
                <w:szCs w:val="18"/>
              </w:rPr>
              <w:t>（五）不予处理</w:t>
            </w:r>
          </w:p>
        </w:tc>
        <w:tc>
          <w:tcPr>
            <w:tcW w:w="262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567739E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textAlignment w:val="auto"/>
              <w:rPr>
                <w:sz w:val="28"/>
                <w:szCs w:val="28"/>
              </w:rPr>
            </w:pPr>
            <w:r>
              <w:rPr>
                <w:rFonts w:hint="eastAsia" w:ascii="宋体" w:hAnsi="宋体" w:eastAsia="宋体" w:cs="宋体"/>
                <w:spacing w:val="0"/>
                <w:sz w:val="18"/>
                <w:szCs w:val="18"/>
              </w:rPr>
              <w:t>1.信访举报投诉类申请</w:t>
            </w:r>
          </w:p>
        </w:tc>
        <w:tc>
          <w:tcPr>
            <w:tcW w:w="852"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5D6DA07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90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4B1C36D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84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583F5A9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24D6EBB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5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528BE23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57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793E071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4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45D64B8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r>
      <w:tr w14:paraId="3A25DCF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jc w:val="center"/>
        </w:trPr>
        <w:tc>
          <w:tcPr>
            <w:tcW w:w="480" w:type="dxa"/>
            <w:vMerge w:val="continue"/>
            <w:tcBorders>
              <w:top w:val="nil"/>
              <w:left w:val="single" w:color="auto" w:sz="4" w:space="0"/>
              <w:bottom w:val="single" w:color="auto" w:sz="4" w:space="0"/>
              <w:right w:val="single" w:color="auto" w:sz="4" w:space="0"/>
            </w:tcBorders>
            <w:shd w:val="clear" w:color="auto" w:fill="auto"/>
            <w:tcMar>
              <w:top w:w="60" w:type="dxa"/>
              <w:left w:w="60" w:type="dxa"/>
              <w:right w:w="60" w:type="dxa"/>
            </w:tcMar>
            <w:vAlign w:val="center"/>
          </w:tcPr>
          <w:p w14:paraId="12987C67">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1212" w:type="dxa"/>
            <w:vMerge w:val="continue"/>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2FEAC156">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262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5EE61C6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textAlignment w:val="auto"/>
              <w:rPr>
                <w:sz w:val="28"/>
                <w:szCs w:val="28"/>
              </w:rPr>
            </w:pPr>
            <w:r>
              <w:rPr>
                <w:rFonts w:hint="eastAsia" w:ascii="宋体" w:hAnsi="宋体" w:eastAsia="宋体" w:cs="宋体"/>
                <w:spacing w:val="0"/>
                <w:sz w:val="18"/>
                <w:szCs w:val="18"/>
              </w:rPr>
              <w:t>2.重复申请</w:t>
            </w:r>
          </w:p>
        </w:tc>
        <w:tc>
          <w:tcPr>
            <w:tcW w:w="852"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4D64362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90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404E195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84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298D2BC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0B61E4A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5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6B72B91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57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5DCECB0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4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4D30A1D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r>
      <w:tr w14:paraId="2E42085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jc w:val="center"/>
        </w:trPr>
        <w:tc>
          <w:tcPr>
            <w:tcW w:w="480" w:type="dxa"/>
            <w:vMerge w:val="continue"/>
            <w:tcBorders>
              <w:top w:val="nil"/>
              <w:left w:val="single" w:color="auto" w:sz="4" w:space="0"/>
              <w:bottom w:val="single" w:color="auto" w:sz="4" w:space="0"/>
              <w:right w:val="single" w:color="auto" w:sz="4" w:space="0"/>
            </w:tcBorders>
            <w:shd w:val="clear" w:color="auto" w:fill="auto"/>
            <w:tcMar>
              <w:top w:w="60" w:type="dxa"/>
              <w:left w:w="60" w:type="dxa"/>
              <w:right w:w="60" w:type="dxa"/>
            </w:tcMar>
            <w:vAlign w:val="center"/>
          </w:tcPr>
          <w:p w14:paraId="114362EA">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1212" w:type="dxa"/>
            <w:vMerge w:val="continue"/>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024A9379">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262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2E012B6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textAlignment w:val="auto"/>
              <w:rPr>
                <w:sz w:val="28"/>
                <w:szCs w:val="28"/>
              </w:rPr>
            </w:pPr>
            <w:r>
              <w:rPr>
                <w:rFonts w:hint="eastAsia" w:ascii="宋体" w:hAnsi="宋体" w:eastAsia="宋体" w:cs="宋体"/>
                <w:spacing w:val="0"/>
                <w:sz w:val="18"/>
                <w:szCs w:val="18"/>
              </w:rPr>
              <w:t>3.要求提供公开出版物</w:t>
            </w:r>
          </w:p>
        </w:tc>
        <w:tc>
          <w:tcPr>
            <w:tcW w:w="852"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450D93B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90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7075FF1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84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68566BE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00AED54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5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17E55B1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57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230F27F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4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65E8E93C">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r>
      <w:tr w14:paraId="62377CC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jc w:val="center"/>
        </w:trPr>
        <w:tc>
          <w:tcPr>
            <w:tcW w:w="480" w:type="dxa"/>
            <w:vMerge w:val="continue"/>
            <w:tcBorders>
              <w:top w:val="nil"/>
              <w:left w:val="single" w:color="auto" w:sz="4" w:space="0"/>
              <w:bottom w:val="single" w:color="auto" w:sz="4" w:space="0"/>
              <w:right w:val="single" w:color="auto" w:sz="4" w:space="0"/>
            </w:tcBorders>
            <w:shd w:val="clear" w:color="auto" w:fill="auto"/>
            <w:tcMar>
              <w:top w:w="60" w:type="dxa"/>
              <w:left w:w="60" w:type="dxa"/>
              <w:right w:w="60" w:type="dxa"/>
            </w:tcMar>
            <w:vAlign w:val="center"/>
          </w:tcPr>
          <w:p w14:paraId="2664D4F4">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1212" w:type="dxa"/>
            <w:vMerge w:val="continue"/>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76C0C075">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262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1AF630D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textAlignment w:val="auto"/>
              <w:rPr>
                <w:sz w:val="28"/>
                <w:szCs w:val="28"/>
              </w:rPr>
            </w:pPr>
            <w:r>
              <w:rPr>
                <w:rFonts w:hint="eastAsia" w:ascii="宋体" w:hAnsi="宋体" w:eastAsia="宋体" w:cs="宋体"/>
                <w:spacing w:val="0"/>
                <w:sz w:val="18"/>
                <w:szCs w:val="18"/>
              </w:rPr>
              <w:t>4.无正当理由大量反复申请</w:t>
            </w:r>
          </w:p>
        </w:tc>
        <w:tc>
          <w:tcPr>
            <w:tcW w:w="852"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691F36D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90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0B11418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84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464374F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29A4FF9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5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22C407D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57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3BF9201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4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47F7149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r>
      <w:tr w14:paraId="53079FB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jc w:val="center"/>
        </w:trPr>
        <w:tc>
          <w:tcPr>
            <w:tcW w:w="480" w:type="dxa"/>
            <w:vMerge w:val="continue"/>
            <w:tcBorders>
              <w:top w:val="nil"/>
              <w:left w:val="single" w:color="auto" w:sz="4" w:space="0"/>
              <w:bottom w:val="single" w:color="auto" w:sz="4" w:space="0"/>
              <w:right w:val="single" w:color="auto" w:sz="4" w:space="0"/>
            </w:tcBorders>
            <w:shd w:val="clear" w:color="auto" w:fill="auto"/>
            <w:tcMar>
              <w:top w:w="60" w:type="dxa"/>
              <w:left w:w="60" w:type="dxa"/>
              <w:right w:w="60" w:type="dxa"/>
            </w:tcMar>
            <w:vAlign w:val="center"/>
          </w:tcPr>
          <w:p w14:paraId="1451A12A">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1212" w:type="dxa"/>
            <w:vMerge w:val="continue"/>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21365AF8">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262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60FE2B8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textAlignment w:val="auto"/>
              <w:rPr>
                <w:sz w:val="28"/>
                <w:szCs w:val="28"/>
              </w:rPr>
            </w:pPr>
            <w:r>
              <w:rPr>
                <w:rFonts w:hint="eastAsia" w:ascii="宋体" w:hAnsi="宋体" w:eastAsia="宋体" w:cs="宋体"/>
                <w:spacing w:val="0"/>
                <w:sz w:val="18"/>
                <w:szCs w:val="18"/>
              </w:rPr>
              <w:t>5.要求行政机关确认或重新出具已获取信息</w:t>
            </w:r>
          </w:p>
        </w:tc>
        <w:tc>
          <w:tcPr>
            <w:tcW w:w="852"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5CB662B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90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064BAE1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84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3234944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0BA3EEB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5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495FF43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57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2AFC2E3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4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127FF52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r>
      <w:tr w14:paraId="2DF133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trHeight w:val="132" w:hRule="atLeast"/>
          <w:jc w:val="center"/>
        </w:trPr>
        <w:tc>
          <w:tcPr>
            <w:tcW w:w="480" w:type="dxa"/>
            <w:vMerge w:val="continue"/>
            <w:tcBorders>
              <w:top w:val="nil"/>
              <w:left w:val="single" w:color="auto" w:sz="4" w:space="0"/>
              <w:bottom w:val="single" w:color="auto" w:sz="4" w:space="0"/>
              <w:right w:val="single" w:color="auto" w:sz="4" w:space="0"/>
            </w:tcBorders>
            <w:shd w:val="clear" w:color="auto" w:fill="auto"/>
            <w:tcMar>
              <w:top w:w="60" w:type="dxa"/>
              <w:left w:w="60" w:type="dxa"/>
              <w:right w:w="60" w:type="dxa"/>
            </w:tcMar>
            <w:vAlign w:val="center"/>
          </w:tcPr>
          <w:p w14:paraId="107A7019">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1212" w:type="dxa"/>
            <w:vMerge w:val="restart"/>
            <w:tcBorders>
              <w:top w:val="nil"/>
              <w:left w:val="nil"/>
              <w:bottom w:val="outset" w:color="auto" w:sz="4" w:space="0"/>
              <w:right w:val="single" w:color="auto" w:sz="4" w:space="0"/>
            </w:tcBorders>
            <w:shd w:val="clear" w:color="auto" w:fill="auto"/>
            <w:tcMar>
              <w:top w:w="60" w:type="dxa"/>
              <w:left w:w="60" w:type="dxa"/>
              <w:right w:w="60" w:type="dxa"/>
            </w:tcMar>
            <w:vAlign w:val="center"/>
          </w:tcPr>
          <w:p w14:paraId="048606A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textAlignment w:val="auto"/>
              <w:rPr>
                <w:sz w:val="28"/>
                <w:szCs w:val="28"/>
              </w:rPr>
            </w:pPr>
            <w:r>
              <w:rPr>
                <w:rFonts w:hint="eastAsia" w:ascii="宋体" w:hAnsi="宋体" w:eastAsia="宋体" w:cs="宋体"/>
                <w:spacing w:val="0"/>
                <w:sz w:val="18"/>
                <w:szCs w:val="18"/>
              </w:rPr>
              <w:t>（六）其他处理</w:t>
            </w:r>
          </w:p>
        </w:tc>
        <w:tc>
          <w:tcPr>
            <w:tcW w:w="262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2CB4D6B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textAlignment w:val="auto"/>
              <w:rPr>
                <w:sz w:val="28"/>
                <w:szCs w:val="28"/>
              </w:rPr>
            </w:pPr>
            <w:r>
              <w:rPr>
                <w:rFonts w:hint="eastAsia" w:ascii="宋体" w:hAnsi="宋体" w:eastAsia="宋体" w:cs="宋体"/>
                <w:spacing w:val="0"/>
                <w:sz w:val="18"/>
                <w:szCs w:val="18"/>
              </w:rPr>
              <w:t>1.申请人无正当理由逾期不补正、行政机关不再处理其政府信息公开申请</w:t>
            </w:r>
          </w:p>
        </w:tc>
        <w:tc>
          <w:tcPr>
            <w:tcW w:w="852" w:type="dxa"/>
            <w:vMerge w:val="restart"/>
            <w:tcBorders>
              <w:top w:val="nil"/>
              <w:left w:val="nil"/>
              <w:bottom w:val="outset" w:color="auto" w:sz="4" w:space="0"/>
              <w:right w:val="single" w:color="auto" w:sz="4" w:space="0"/>
            </w:tcBorders>
            <w:shd w:val="clear" w:color="auto" w:fill="auto"/>
            <w:tcMar>
              <w:top w:w="60" w:type="dxa"/>
              <w:left w:w="60" w:type="dxa"/>
              <w:right w:w="60" w:type="dxa"/>
            </w:tcMar>
            <w:vAlign w:val="center"/>
          </w:tcPr>
          <w:p w14:paraId="67E36FC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900" w:type="dxa"/>
            <w:vMerge w:val="restart"/>
            <w:tcBorders>
              <w:top w:val="nil"/>
              <w:left w:val="nil"/>
              <w:bottom w:val="outset" w:color="auto" w:sz="4" w:space="0"/>
              <w:right w:val="single" w:color="auto" w:sz="4" w:space="0"/>
            </w:tcBorders>
            <w:shd w:val="clear" w:color="auto" w:fill="auto"/>
            <w:tcMar>
              <w:top w:w="60" w:type="dxa"/>
              <w:left w:w="60" w:type="dxa"/>
              <w:right w:w="60" w:type="dxa"/>
            </w:tcMar>
            <w:vAlign w:val="center"/>
          </w:tcPr>
          <w:p w14:paraId="7EBA6B9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840" w:type="dxa"/>
            <w:vMerge w:val="restart"/>
            <w:tcBorders>
              <w:top w:val="nil"/>
              <w:left w:val="nil"/>
              <w:bottom w:val="outset" w:color="auto" w:sz="4" w:space="0"/>
              <w:right w:val="single" w:color="auto" w:sz="4" w:space="0"/>
            </w:tcBorders>
            <w:shd w:val="clear" w:color="auto" w:fill="auto"/>
            <w:tcMar>
              <w:top w:w="60" w:type="dxa"/>
              <w:left w:w="60" w:type="dxa"/>
              <w:right w:w="60" w:type="dxa"/>
            </w:tcMar>
            <w:vAlign w:val="center"/>
          </w:tcPr>
          <w:p w14:paraId="2C8191A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80" w:type="dxa"/>
            <w:vMerge w:val="restart"/>
            <w:tcBorders>
              <w:top w:val="nil"/>
              <w:left w:val="nil"/>
              <w:bottom w:val="outset" w:color="auto" w:sz="4" w:space="0"/>
              <w:right w:val="single" w:color="auto" w:sz="4" w:space="0"/>
            </w:tcBorders>
            <w:shd w:val="clear" w:color="auto" w:fill="auto"/>
            <w:tcMar>
              <w:top w:w="60" w:type="dxa"/>
              <w:left w:w="60" w:type="dxa"/>
              <w:right w:w="60" w:type="dxa"/>
            </w:tcMar>
            <w:vAlign w:val="center"/>
          </w:tcPr>
          <w:p w14:paraId="0DDA4D6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56" w:type="dxa"/>
            <w:vMerge w:val="restart"/>
            <w:tcBorders>
              <w:top w:val="nil"/>
              <w:left w:val="nil"/>
              <w:bottom w:val="outset" w:color="auto" w:sz="4" w:space="0"/>
              <w:right w:val="single" w:color="auto" w:sz="4" w:space="0"/>
            </w:tcBorders>
            <w:shd w:val="clear" w:color="auto" w:fill="auto"/>
            <w:tcMar>
              <w:top w:w="60" w:type="dxa"/>
              <w:left w:w="60" w:type="dxa"/>
              <w:right w:w="60" w:type="dxa"/>
            </w:tcMar>
            <w:vAlign w:val="center"/>
          </w:tcPr>
          <w:p w14:paraId="32ADB72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576" w:type="dxa"/>
            <w:vMerge w:val="restart"/>
            <w:tcBorders>
              <w:top w:val="nil"/>
              <w:left w:val="nil"/>
              <w:bottom w:val="outset" w:color="auto" w:sz="4" w:space="0"/>
              <w:right w:val="single" w:color="auto" w:sz="4" w:space="0"/>
            </w:tcBorders>
            <w:shd w:val="clear" w:color="auto" w:fill="auto"/>
            <w:tcMar>
              <w:top w:w="60" w:type="dxa"/>
              <w:left w:w="60" w:type="dxa"/>
              <w:right w:w="60" w:type="dxa"/>
            </w:tcMar>
            <w:vAlign w:val="center"/>
          </w:tcPr>
          <w:p w14:paraId="6B19AFE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480" w:type="dxa"/>
            <w:vMerge w:val="restart"/>
            <w:tcBorders>
              <w:top w:val="nil"/>
              <w:left w:val="nil"/>
              <w:bottom w:val="outset" w:color="auto" w:sz="4" w:space="0"/>
              <w:right w:val="single" w:color="auto" w:sz="4" w:space="0"/>
            </w:tcBorders>
            <w:shd w:val="clear" w:color="auto" w:fill="auto"/>
            <w:tcMar>
              <w:top w:w="60" w:type="dxa"/>
              <w:left w:w="60" w:type="dxa"/>
              <w:right w:w="60" w:type="dxa"/>
            </w:tcMar>
            <w:vAlign w:val="center"/>
          </w:tcPr>
          <w:p w14:paraId="27C36DA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r>
      <w:tr w14:paraId="33484E6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trHeight w:val="132" w:hRule="atLeast"/>
          <w:jc w:val="center"/>
        </w:trPr>
        <w:tc>
          <w:tcPr>
            <w:tcW w:w="480" w:type="dxa"/>
            <w:vMerge w:val="continue"/>
            <w:tcBorders>
              <w:top w:val="nil"/>
              <w:left w:val="single" w:color="auto" w:sz="4" w:space="0"/>
              <w:bottom w:val="single" w:color="auto" w:sz="4" w:space="0"/>
              <w:right w:val="single" w:color="auto" w:sz="4" w:space="0"/>
            </w:tcBorders>
            <w:shd w:val="clear" w:color="auto" w:fill="auto"/>
            <w:tcMar>
              <w:top w:w="60" w:type="dxa"/>
              <w:left w:w="60" w:type="dxa"/>
              <w:right w:w="60" w:type="dxa"/>
            </w:tcMar>
            <w:vAlign w:val="center"/>
          </w:tcPr>
          <w:p w14:paraId="46922A01">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1212" w:type="dxa"/>
            <w:vMerge w:val="continue"/>
            <w:tcBorders>
              <w:top w:val="nil"/>
              <w:left w:val="nil"/>
              <w:bottom w:val="outset" w:color="auto" w:sz="4" w:space="0"/>
              <w:right w:val="single" w:color="auto" w:sz="4" w:space="0"/>
            </w:tcBorders>
            <w:shd w:val="clear" w:color="auto" w:fill="auto"/>
            <w:tcMar>
              <w:top w:w="60" w:type="dxa"/>
              <w:left w:w="60" w:type="dxa"/>
              <w:right w:w="60" w:type="dxa"/>
            </w:tcMar>
            <w:vAlign w:val="center"/>
          </w:tcPr>
          <w:p w14:paraId="3EE4D4DD">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262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4C3274E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textAlignment w:val="auto"/>
              <w:rPr>
                <w:sz w:val="28"/>
                <w:szCs w:val="28"/>
              </w:rPr>
            </w:pPr>
            <w:r>
              <w:rPr>
                <w:rFonts w:hint="eastAsia" w:ascii="宋体" w:hAnsi="宋体" w:eastAsia="宋体" w:cs="宋体"/>
                <w:spacing w:val="0"/>
                <w:sz w:val="18"/>
                <w:szCs w:val="18"/>
              </w:rPr>
              <w:t>2.申请人逾期未按收费通知要求缴纳费用、行政机关不再处理其政府信息公开申请</w:t>
            </w:r>
          </w:p>
        </w:tc>
        <w:tc>
          <w:tcPr>
            <w:tcW w:w="852" w:type="dxa"/>
            <w:vMerge w:val="continue"/>
            <w:tcBorders>
              <w:top w:val="nil"/>
              <w:left w:val="nil"/>
              <w:bottom w:val="outset" w:color="auto" w:sz="4" w:space="0"/>
              <w:right w:val="single" w:color="auto" w:sz="4" w:space="0"/>
            </w:tcBorders>
            <w:shd w:val="clear" w:color="auto" w:fill="auto"/>
            <w:tcMar>
              <w:top w:w="60" w:type="dxa"/>
              <w:left w:w="60" w:type="dxa"/>
              <w:right w:w="60" w:type="dxa"/>
            </w:tcMar>
            <w:vAlign w:val="center"/>
          </w:tcPr>
          <w:p w14:paraId="5152B975">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hint="eastAsia" w:ascii="宋体"/>
                <w:sz w:val="28"/>
                <w:szCs w:val="28"/>
              </w:rPr>
            </w:pPr>
          </w:p>
        </w:tc>
        <w:tc>
          <w:tcPr>
            <w:tcW w:w="900" w:type="dxa"/>
            <w:vMerge w:val="continue"/>
            <w:tcBorders>
              <w:top w:val="nil"/>
              <w:left w:val="nil"/>
              <w:bottom w:val="outset" w:color="auto" w:sz="4" w:space="0"/>
              <w:right w:val="single" w:color="auto" w:sz="4" w:space="0"/>
            </w:tcBorders>
            <w:shd w:val="clear" w:color="auto" w:fill="auto"/>
            <w:tcMar>
              <w:top w:w="60" w:type="dxa"/>
              <w:left w:w="60" w:type="dxa"/>
              <w:right w:w="60" w:type="dxa"/>
            </w:tcMar>
            <w:vAlign w:val="center"/>
          </w:tcPr>
          <w:p w14:paraId="2411941A">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hint="eastAsia" w:ascii="宋体"/>
                <w:sz w:val="28"/>
                <w:szCs w:val="28"/>
              </w:rPr>
            </w:pPr>
          </w:p>
        </w:tc>
        <w:tc>
          <w:tcPr>
            <w:tcW w:w="840" w:type="dxa"/>
            <w:vMerge w:val="continue"/>
            <w:tcBorders>
              <w:top w:val="nil"/>
              <w:left w:val="nil"/>
              <w:bottom w:val="outset" w:color="auto" w:sz="4" w:space="0"/>
              <w:right w:val="single" w:color="auto" w:sz="4" w:space="0"/>
            </w:tcBorders>
            <w:shd w:val="clear" w:color="auto" w:fill="auto"/>
            <w:tcMar>
              <w:top w:w="60" w:type="dxa"/>
              <w:left w:w="60" w:type="dxa"/>
              <w:right w:w="60" w:type="dxa"/>
            </w:tcMar>
            <w:vAlign w:val="center"/>
          </w:tcPr>
          <w:p w14:paraId="791C5D80">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hint="eastAsia" w:ascii="宋体"/>
                <w:sz w:val="28"/>
                <w:szCs w:val="28"/>
              </w:rPr>
            </w:pPr>
          </w:p>
        </w:tc>
        <w:tc>
          <w:tcPr>
            <w:tcW w:w="780" w:type="dxa"/>
            <w:vMerge w:val="continue"/>
            <w:tcBorders>
              <w:top w:val="nil"/>
              <w:left w:val="nil"/>
              <w:bottom w:val="outset" w:color="auto" w:sz="4" w:space="0"/>
              <w:right w:val="single" w:color="auto" w:sz="4" w:space="0"/>
            </w:tcBorders>
            <w:shd w:val="clear" w:color="auto" w:fill="auto"/>
            <w:tcMar>
              <w:top w:w="60" w:type="dxa"/>
              <w:left w:w="60" w:type="dxa"/>
              <w:right w:w="60" w:type="dxa"/>
            </w:tcMar>
            <w:vAlign w:val="center"/>
          </w:tcPr>
          <w:p w14:paraId="126BDCCD">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hint="eastAsia" w:ascii="宋体"/>
                <w:sz w:val="28"/>
                <w:szCs w:val="28"/>
              </w:rPr>
            </w:pPr>
          </w:p>
        </w:tc>
        <w:tc>
          <w:tcPr>
            <w:tcW w:w="756" w:type="dxa"/>
            <w:vMerge w:val="continue"/>
            <w:tcBorders>
              <w:top w:val="nil"/>
              <w:left w:val="nil"/>
              <w:bottom w:val="outset" w:color="auto" w:sz="4" w:space="0"/>
              <w:right w:val="single" w:color="auto" w:sz="4" w:space="0"/>
            </w:tcBorders>
            <w:shd w:val="clear" w:color="auto" w:fill="auto"/>
            <w:tcMar>
              <w:top w:w="60" w:type="dxa"/>
              <w:left w:w="60" w:type="dxa"/>
              <w:right w:w="60" w:type="dxa"/>
            </w:tcMar>
            <w:vAlign w:val="center"/>
          </w:tcPr>
          <w:p w14:paraId="0410B923">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hint="eastAsia" w:ascii="宋体"/>
                <w:sz w:val="28"/>
                <w:szCs w:val="28"/>
              </w:rPr>
            </w:pPr>
          </w:p>
        </w:tc>
        <w:tc>
          <w:tcPr>
            <w:tcW w:w="576" w:type="dxa"/>
            <w:vMerge w:val="continue"/>
            <w:tcBorders>
              <w:top w:val="nil"/>
              <w:left w:val="nil"/>
              <w:bottom w:val="outset" w:color="auto" w:sz="4" w:space="0"/>
              <w:right w:val="single" w:color="auto" w:sz="4" w:space="0"/>
            </w:tcBorders>
            <w:shd w:val="clear" w:color="auto" w:fill="auto"/>
            <w:tcMar>
              <w:top w:w="60" w:type="dxa"/>
              <w:left w:w="60" w:type="dxa"/>
              <w:right w:w="60" w:type="dxa"/>
            </w:tcMar>
            <w:vAlign w:val="center"/>
          </w:tcPr>
          <w:p w14:paraId="04BE64BF">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hint="eastAsia" w:ascii="宋体"/>
                <w:sz w:val="28"/>
                <w:szCs w:val="28"/>
              </w:rPr>
            </w:pPr>
          </w:p>
        </w:tc>
        <w:tc>
          <w:tcPr>
            <w:tcW w:w="480" w:type="dxa"/>
            <w:vMerge w:val="continue"/>
            <w:tcBorders>
              <w:top w:val="nil"/>
              <w:left w:val="nil"/>
              <w:bottom w:val="outset" w:color="auto" w:sz="4" w:space="0"/>
              <w:right w:val="single" w:color="auto" w:sz="4" w:space="0"/>
            </w:tcBorders>
            <w:shd w:val="clear" w:color="auto" w:fill="auto"/>
            <w:tcMar>
              <w:top w:w="60" w:type="dxa"/>
              <w:left w:w="60" w:type="dxa"/>
              <w:right w:w="60" w:type="dxa"/>
            </w:tcMar>
            <w:vAlign w:val="center"/>
          </w:tcPr>
          <w:p w14:paraId="1C6D1B01">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hint="eastAsia" w:ascii="宋体"/>
                <w:sz w:val="28"/>
                <w:szCs w:val="28"/>
              </w:rPr>
            </w:pPr>
          </w:p>
        </w:tc>
      </w:tr>
      <w:tr w14:paraId="1C4429D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trHeight w:val="132" w:hRule="atLeast"/>
          <w:jc w:val="center"/>
        </w:trPr>
        <w:tc>
          <w:tcPr>
            <w:tcW w:w="480" w:type="dxa"/>
            <w:vMerge w:val="continue"/>
            <w:tcBorders>
              <w:top w:val="nil"/>
              <w:left w:val="single" w:color="auto" w:sz="4" w:space="0"/>
              <w:bottom w:val="single" w:color="auto" w:sz="4" w:space="0"/>
              <w:right w:val="single" w:color="auto" w:sz="4" w:space="0"/>
            </w:tcBorders>
            <w:shd w:val="clear" w:color="auto" w:fill="auto"/>
            <w:tcMar>
              <w:top w:w="60" w:type="dxa"/>
              <w:left w:w="60" w:type="dxa"/>
              <w:right w:w="60" w:type="dxa"/>
            </w:tcMar>
            <w:vAlign w:val="center"/>
          </w:tcPr>
          <w:p w14:paraId="1F1094B1">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1212" w:type="dxa"/>
            <w:vMerge w:val="continue"/>
            <w:tcBorders>
              <w:top w:val="nil"/>
              <w:left w:val="nil"/>
              <w:bottom w:val="outset" w:color="auto" w:sz="4" w:space="0"/>
              <w:right w:val="single" w:color="auto" w:sz="4" w:space="0"/>
            </w:tcBorders>
            <w:shd w:val="clear" w:color="auto" w:fill="auto"/>
            <w:tcMar>
              <w:top w:w="60" w:type="dxa"/>
              <w:left w:w="60" w:type="dxa"/>
              <w:right w:w="60" w:type="dxa"/>
            </w:tcMar>
            <w:vAlign w:val="center"/>
          </w:tcPr>
          <w:p w14:paraId="09264EBA">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262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2D218DD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textAlignment w:val="auto"/>
              <w:rPr>
                <w:sz w:val="28"/>
                <w:szCs w:val="28"/>
              </w:rPr>
            </w:pPr>
            <w:r>
              <w:rPr>
                <w:rFonts w:hint="eastAsia" w:ascii="宋体" w:hAnsi="宋体" w:eastAsia="宋体" w:cs="宋体"/>
                <w:spacing w:val="0"/>
                <w:sz w:val="18"/>
                <w:szCs w:val="18"/>
              </w:rPr>
              <w:t>3.其他</w:t>
            </w:r>
          </w:p>
        </w:tc>
        <w:tc>
          <w:tcPr>
            <w:tcW w:w="852" w:type="dxa"/>
            <w:vMerge w:val="continue"/>
            <w:tcBorders>
              <w:top w:val="nil"/>
              <w:left w:val="nil"/>
              <w:bottom w:val="outset" w:color="auto" w:sz="4" w:space="0"/>
              <w:right w:val="single" w:color="auto" w:sz="4" w:space="0"/>
            </w:tcBorders>
            <w:shd w:val="clear" w:color="auto" w:fill="auto"/>
            <w:tcMar>
              <w:top w:w="60" w:type="dxa"/>
              <w:left w:w="60" w:type="dxa"/>
              <w:right w:w="60" w:type="dxa"/>
            </w:tcMar>
            <w:vAlign w:val="center"/>
          </w:tcPr>
          <w:p w14:paraId="2DA3EEBC">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hint="eastAsia" w:ascii="宋体"/>
                <w:sz w:val="28"/>
                <w:szCs w:val="28"/>
              </w:rPr>
            </w:pPr>
          </w:p>
        </w:tc>
        <w:tc>
          <w:tcPr>
            <w:tcW w:w="900" w:type="dxa"/>
            <w:vMerge w:val="continue"/>
            <w:tcBorders>
              <w:top w:val="nil"/>
              <w:left w:val="nil"/>
              <w:bottom w:val="outset" w:color="auto" w:sz="4" w:space="0"/>
              <w:right w:val="single" w:color="auto" w:sz="4" w:space="0"/>
            </w:tcBorders>
            <w:shd w:val="clear" w:color="auto" w:fill="auto"/>
            <w:tcMar>
              <w:top w:w="60" w:type="dxa"/>
              <w:left w:w="60" w:type="dxa"/>
              <w:right w:w="60" w:type="dxa"/>
            </w:tcMar>
            <w:vAlign w:val="center"/>
          </w:tcPr>
          <w:p w14:paraId="16F48CF9">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hint="eastAsia" w:ascii="宋体"/>
                <w:sz w:val="28"/>
                <w:szCs w:val="28"/>
              </w:rPr>
            </w:pPr>
          </w:p>
        </w:tc>
        <w:tc>
          <w:tcPr>
            <w:tcW w:w="840" w:type="dxa"/>
            <w:vMerge w:val="continue"/>
            <w:tcBorders>
              <w:top w:val="nil"/>
              <w:left w:val="nil"/>
              <w:bottom w:val="outset" w:color="auto" w:sz="4" w:space="0"/>
              <w:right w:val="single" w:color="auto" w:sz="4" w:space="0"/>
            </w:tcBorders>
            <w:shd w:val="clear" w:color="auto" w:fill="auto"/>
            <w:tcMar>
              <w:top w:w="60" w:type="dxa"/>
              <w:left w:w="60" w:type="dxa"/>
              <w:right w:w="60" w:type="dxa"/>
            </w:tcMar>
            <w:vAlign w:val="center"/>
          </w:tcPr>
          <w:p w14:paraId="02E11C25">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hint="eastAsia" w:ascii="宋体"/>
                <w:sz w:val="28"/>
                <w:szCs w:val="28"/>
              </w:rPr>
            </w:pPr>
          </w:p>
        </w:tc>
        <w:tc>
          <w:tcPr>
            <w:tcW w:w="780" w:type="dxa"/>
            <w:vMerge w:val="continue"/>
            <w:tcBorders>
              <w:top w:val="nil"/>
              <w:left w:val="nil"/>
              <w:bottom w:val="outset" w:color="auto" w:sz="4" w:space="0"/>
              <w:right w:val="single" w:color="auto" w:sz="4" w:space="0"/>
            </w:tcBorders>
            <w:shd w:val="clear" w:color="auto" w:fill="auto"/>
            <w:tcMar>
              <w:top w:w="60" w:type="dxa"/>
              <w:left w:w="60" w:type="dxa"/>
              <w:right w:w="60" w:type="dxa"/>
            </w:tcMar>
            <w:vAlign w:val="center"/>
          </w:tcPr>
          <w:p w14:paraId="1AAF5543">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hint="eastAsia" w:ascii="宋体"/>
                <w:sz w:val="28"/>
                <w:szCs w:val="28"/>
              </w:rPr>
            </w:pPr>
          </w:p>
        </w:tc>
        <w:tc>
          <w:tcPr>
            <w:tcW w:w="756" w:type="dxa"/>
            <w:vMerge w:val="continue"/>
            <w:tcBorders>
              <w:top w:val="nil"/>
              <w:left w:val="nil"/>
              <w:bottom w:val="outset" w:color="auto" w:sz="4" w:space="0"/>
              <w:right w:val="single" w:color="auto" w:sz="4" w:space="0"/>
            </w:tcBorders>
            <w:shd w:val="clear" w:color="auto" w:fill="auto"/>
            <w:tcMar>
              <w:top w:w="60" w:type="dxa"/>
              <w:left w:w="60" w:type="dxa"/>
              <w:right w:w="60" w:type="dxa"/>
            </w:tcMar>
            <w:vAlign w:val="center"/>
          </w:tcPr>
          <w:p w14:paraId="096B9996">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hint="eastAsia" w:ascii="宋体"/>
                <w:sz w:val="28"/>
                <w:szCs w:val="28"/>
              </w:rPr>
            </w:pPr>
          </w:p>
        </w:tc>
        <w:tc>
          <w:tcPr>
            <w:tcW w:w="576" w:type="dxa"/>
            <w:vMerge w:val="continue"/>
            <w:tcBorders>
              <w:top w:val="nil"/>
              <w:left w:val="nil"/>
              <w:bottom w:val="outset" w:color="auto" w:sz="4" w:space="0"/>
              <w:right w:val="single" w:color="auto" w:sz="4" w:space="0"/>
            </w:tcBorders>
            <w:shd w:val="clear" w:color="auto" w:fill="auto"/>
            <w:tcMar>
              <w:top w:w="60" w:type="dxa"/>
              <w:left w:w="60" w:type="dxa"/>
              <w:right w:w="60" w:type="dxa"/>
            </w:tcMar>
            <w:vAlign w:val="center"/>
          </w:tcPr>
          <w:p w14:paraId="12E38A35">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hint="eastAsia" w:ascii="宋体"/>
                <w:sz w:val="28"/>
                <w:szCs w:val="28"/>
              </w:rPr>
            </w:pPr>
          </w:p>
        </w:tc>
        <w:tc>
          <w:tcPr>
            <w:tcW w:w="480" w:type="dxa"/>
            <w:vMerge w:val="continue"/>
            <w:tcBorders>
              <w:top w:val="nil"/>
              <w:left w:val="nil"/>
              <w:bottom w:val="outset" w:color="auto" w:sz="4" w:space="0"/>
              <w:right w:val="single" w:color="auto" w:sz="4" w:space="0"/>
            </w:tcBorders>
            <w:shd w:val="clear" w:color="auto" w:fill="auto"/>
            <w:tcMar>
              <w:top w:w="60" w:type="dxa"/>
              <w:left w:w="60" w:type="dxa"/>
              <w:right w:w="60" w:type="dxa"/>
            </w:tcMar>
            <w:vAlign w:val="center"/>
          </w:tcPr>
          <w:p w14:paraId="372C5B64">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rPr>
                <w:rFonts w:hint="eastAsia" w:ascii="宋体"/>
                <w:sz w:val="28"/>
                <w:szCs w:val="28"/>
              </w:rPr>
            </w:pPr>
          </w:p>
        </w:tc>
      </w:tr>
      <w:tr w14:paraId="64CE16E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rPr>
          <w:jc w:val="center"/>
        </w:trPr>
        <w:tc>
          <w:tcPr>
            <w:tcW w:w="480" w:type="dxa"/>
            <w:vMerge w:val="continue"/>
            <w:tcBorders>
              <w:top w:val="nil"/>
              <w:left w:val="single" w:color="auto" w:sz="4" w:space="0"/>
              <w:bottom w:val="single" w:color="auto" w:sz="4" w:space="0"/>
              <w:right w:val="single" w:color="auto" w:sz="4" w:space="0"/>
            </w:tcBorders>
            <w:shd w:val="clear" w:color="auto" w:fill="auto"/>
            <w:tcMar>
              <w:top w:w="60" w:type="dxa"/>
              <w:left w:w="60" w:type="dxa"/>
              <w:right w:w="60" w:type="dxa"/>
            </w:tcMar>
            <w:vAlign w:val="center"/>
          </w:tcPr>
          <w:p w14:paraId="02413563">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hint="eastAsia" w:ascii="宋体"/>
                <w:sz w:val="28"/>
                <w:szCs w:val="28"/>
              </w:rPr>
            </w:pPr>
          </w:p>
        </w:tc>
        <w:tc>
          <w:tcPr>
            <w:tcW w:w="3838" w:type="dxa"/>
            <w:gridSpan w:val="2"/>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5FD8E08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textAlignment w:val="auto"/>
              <w:rPr>
                <w:sz w:val="28"/>
                <w:szCs w:val="28"/>
              </w:rPr>
            </w:pPr>
            <w:r>
              <w:rPr>
                <w:rFonts w:hint="eastAsia" w:ascii="宋体" w:hAnsi="宋体" w:eastAsia="宋体" w:cs="宋体"/>
                <w:spacing w:val="0"/>
                <w:sz w:val="18"/>
                <w:szCs w:val="18"/>
              </w:rPr>
              <w:t>（七）总计</w:t>
            </w:r>
          </w:p>
        </w:tc>
        <w:tc>
          <w:tcPr>
            <w:tcW w:w="852"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71D722D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90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5652E24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84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34B198D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2639527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5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674E763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57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39DA19E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4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13C34BA8">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r>
      <w:tr w14:paraId="388B81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jc w:val="center"/>
        </w:trPr>
        <w:tc>
          <w:tcPr>
            <w:tcW w:w="4318" w:type="dxa"/>
            <w:gridSpan w:val="3"/>
            <w:tcBorders>
              <w:top w:val="nil"/>
              <w:left w:val="single" w:color="auto" w:sz="4" w:space="0"/>
              <w:bottom w:val="single" w:color="auto" w:sz="4" w:space="0"/>
              <w:right w:val="single" w:color="auto" w:sz="4" w:space="0"/>
            </w:tcBorders>
            <w:shd w:val="clear" w:color="auto" w:fill="auto"/>
            <w:tcMar>
              <w:top w:w="60" w:type="dxa"/>
              <w:left w:w="60" w:type="dxa"/>
              <w:right w:w="60" w:type="dxa"/>
            </w:tcMar>
            <w:vAlign w:val="center"/>
          </w:tcPr>
          <w:p w14:paraId="7D25D86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textAlignment w:val="auto"/>
              <w:rPr>
                <w:sz w:val="28"/>
                <w:szCs w:val="28"/>
              </w:rPr>
            </w:pPr>
            <w:r>
              <w:rPr>
                <w:rFonts w:hint="eastAsia" w:ascii="宋体" w:hAnsi="宋体" w:eastAsia="宋体" w:cs="宋体"/>
                <w:spacing w:val="0"/>
                <w:sz w:val="18"/>
                <w:szCs w:val="18"/>
              </w:rPr>
              <w:t>四、结转下年度继续办理</w:t>
            </w:r>
          </w:p>
        </w:tc>
        <w:tc>
          <w:tcPr>
            <w:tcW w:w="852"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6C56286A">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90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0146E21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84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3A7CF5E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119B783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75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374B548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576"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2C95F34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c>
          <w:tcPr>
            <w:tcW w:w="480"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73EA1CD1">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center"/>
              <w:textAlignment w:val="auto"/>
              <w:rPr>
                <w:sz w:val="28"/>
                <w:szCs w:val="28"/>
              </w:rPr>
            </w:pPr>
            <w:r>
              <w:rPr>
                <w:rFonts w:hint="eastAsia" w:ascii="宋体" w:hAnsi="宋体" w:eastAsia="宋体" w:cs="宋体"/>
                <w:spacing w:val="0"/>
                <w:sz w:val="18"/>
                <w:szCs w:val="18"/>
              </w:rPr>
              <w:t>0</w:t>
            </w:r>
          </w:p>
        </w:tc>
      </w:tr>
    </w:tbl>
    <w:p w14:paraId="417195B6">
      <w:pPr>
        <w:pStyle w:val="5"/>
        <w:keepNext w:val="0"/>
        <w:keepLines w:val="0"/>
        <w:widowControl/>
        <w:suppressLineNumbers w:val="0"/>
        <w:spacing w:line="252" w:lineRule="atLeast"/>
        <w:ind w:left="0" w:firstLine="420"/>
        <w:rPr>
          <w:sz w:val="28"/>
          <w:szCs w:val="28"/>
        </w:rPr>
      </w:pPr>
      <w:r>
        <w:rPr>
          <w:rFonts w:hint="eastAsia" w:ascii="黑体" w:hAnsi="宋体" w:eastAsia="黑体" w:cs="黑体"/>
          <w:spacing w:val="0"/>
          <w:sz w:val="28"/>
          <w:szCs w:val="28"/>
        </w:rPr>
        <w:t>四、政府信息公开行政复议、行政诉讼情况</w:t>
      </w:r>
    </w:p>
    <w:tbl>
      <w:tblPr>
        <w:tblStyle w:val="6"/>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20" w:type="dxa"/>
          <w:bottom w:w="60" w:type="dxa"/>
          <w:right w:w="120" w:type="dxa"/>
        </w:tblCellMar>
      </w:tblPr>
      <w:tblGrid>
        <w:gridCol w:w="567"/>
        <w:gridCol w:w="567"/>
        <w:gridCol w:w="567"/>
        <w:gridCol w:w="567"/>
        <w:gridCol w:w="567"/>
        <w:gridCol w:w="567"/>
        <w:gridCol w:w="567"/>
        <w:gridCol w:w="567"/>
        <w:gridCol w:w="567"/>
        <w:gridCol w:w="567"/>
        <w:gridCol w:w="567"/>
        <w:gridCol w:w="567"/>
        <w:gridCol w:w="567"/>
        <w:gridCol w:w="567"/>
        <w:gridCol w:w="567"/>
      </w:tblGrid>
      <w:tr w14:paraId="59A4B08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c>
          <w:tcPr>
            <w:tcW w:w="567" w:type="dxa"/>
            <w:gridSpan w:val="5"/>
            <w:tcBorders>
              <w:top w:val="single" w:color="auto" w:sz="4" w:space="0"/>
              <w:left w:val="single" w:color="auto" w:sz="4" w:space="0"/>
              <w:bottom w:val="single" w:color="auto" w:sz="4" w:space="0"/>
              <w:right w:val="single" w:color="auto" w:sz="4" w:space="0"/>
            </w:tcBorders>
            <w:shd w:val="clear" w:color="auto" w:fill="auto"/>
            <w:tcMar>
              <w:top w:w="60" w:type="dxa"/>
              <w:left w:w="60" w:type="dxa"/>
              <w:right w:w="60" w:type="dxa"/>
            </w:tcMar>
            <w:vAlign w:val="center"/>
          </w:tcPr>
          <w:p w14:paraId="65A189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left="0" w:right="0" w:firstLine="0"/>
              <w:jc w:val="center"/>
              <w:textAlignment w:val="auto"/>
              <w:rPr>
                <w:sz w:val="28"/>
                <w:szCs w:val="28"/>
              </w:rPr>
            </w:pPr>
            <w:r>
              <w:rPr>
                <w:rFonts w:hint="eastAsia" w:ascii="宋体" w:hAnsi="宋体" w:eastAsia="宋体" w:cs="宋体"/>
                <w:spacing w:val="0"/>
                <w:sz w:val="18"/>
                <w:szCs w:val="18"/>
              </w:rPr>
              <w:t>行政复议</w:t>
            </w:r>
          </w:p>
        </w:tc>
        <w:tc>
          <w:tcPr>
            <w:tcW w:w="567" w:type="dxa"/>
            <w:gridSpan w:val="10"/>
            <w:tcBorders>
              <w:top w:val="single" w:color="auto" w:sz="4" w:space="0"/>
              <w:left w:val="nil"/>
              <w:bottom w:val="single" w:color="auto" w:sz="4" w:space="0"/>
              <w:right w:val="single" w:color="auto" w:sz="4" w:space="0"/>
            </w:tcBorders>
            <w:shd w:val="clear" w:color="auto" w:fill="auto"/>
            <w:tcMar>
              <w:top w:w="60" w:type="dxa"/>
              <w:left w:w="60" w:type="dxa"/>
              <w:right w:w="60" w:type="dxa"/>
            </w:tcMar>
            <w:vAlign w:val="center"/>
          </w:tcPr>
          <w:p w14:paraId="5B8DEE4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left="0" w:right="0" w:firstLine="0"/>
              <w:jc w:val="center"/>
              <w:textAlignment w:val="auto"/>
              <w:rPr>
                <w:sz w:val="28"/>
                <w:szCs w:val="28"/>
              </w:rPr>
            </w:pPr>
            <w:r>
              <w:rPr>
                <w:rFonts w:hint="eastAsia" w:ascii="宋体" w:hAnsi="宋体" w:eastAsia="宋体" w:cs="宋体"/>
                <w:spacing w:val="0"/>
                <w:sz w:val="18"/>
                <w:szCs w:val="18"/>
              </w:rPr>
              <w:t>行政诉讼</w:t>
            </w:r>
          </w:p>
        </w:tc>
      </w:tr>
      <w:tr w14:paraId="6EB881E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rPr>
          <w:trHeight w:val="468" w:hRule="atLeast"/>
        </w:trPr>
        <w:tc>
          <w:tcPr>
            <w:tcW w:w="567" w:type="dxa"/>
            <w:vMerge w:val="restart"/>
            <w:tcBorders>
              <w:top w:val="nil"/>
              <w:left w:val="single" w:color="auto" w:sz="4" w:space="0"/>
              <w:bottom w:val="single" w:color="auto" w:sz="4" w:space="0"/>
              <w:right w:val="single" w:color="auto" w:sz="4" w:space="0"/>
            </w:tcBorders>
            <w:shd w:val="clear" w:color="auto" w:fill="auto"/>
            <w:tcMar>
              <w:top w:w="60" w:type="dxa"/>
              <w:left w:w="60" w:type="dxa"/>
              <w:right w:w="60" w:type="dxa"/>
            </w:tcMar>
            <w:vAlign w:val="center"/>
          </w:tcPr>
          <w:p w14:paraId="1E0A67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right="0" w:firstLine="0"/>
              <w:jc w:val="center"/>
              <w:textAlignment w:val="auto"/>
              <w:rPr>
                <w:sz w:val="28"/>
                <w:szCs w:val="28"/>
              </w:rPr>
            </w:pPr>
            <w:r>
              <w:rPr>
                <w:rFonts w:hint="eastAsia" w:ascii="宋体" w:hAnsi="宋体" w:eastAsia="宋体" w:cs="宋体"/>
                <w:spacing w:val="0"/>
                <w:sz w:val="18"/>
                <w:szCs w:val="18"/>
              </w:rPr>
              <w:t>结果维持</w:t>
            </w:r>
          </w:p>
        </w:tc>
        <w:tc>
          <w:tcPr>
            <w:tcW w:w="567" w:type="dxa"/>
            <w:vMerge w:val="restart"/>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0A4963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right="0" w:firstLine="0"/>
              <w:jc w:val="center"/>
              <w:textAlignment w:val="auto"/>
              <w:rPr>
                <w:sz w:val="28"/>
                <w:szCs w:val="28"/>
              </w:rPr>
            </w:pPr>
            <w:r>
              <w:rPr>
                <w:rFonts w:hint="eastAsia" w:ascii="宋体" w:hAnsi="宋体" w:eastAsia="宋体" w:cs="宋体"/>
                <w:spacing w:val="0"/>
                <w:sz w:val="18"/>
                <w:szCs w:val="18"/>
              </w:rPr>
              <w:t>结果纠正</w:t>
            </w:r>
          </w:p>
        </w:tc>
        <w:tc>
          <w:tcPr>
            <w:tcW w:w="567" w:type="dxa"/>
            <w:vMerge w:val="restart"/>
            <w:tcBorders>
              <w:top w:val="single" w:color="auto" w:sz="4" w:space="0"/>
              <w:left w:val="nil"/>
              <w:bottom w:val="single" w:color="auto" w:sz="4" w:space="0"/>
              <w:right w:val="single" w:color="auto" w:sz="4" w:space="0"/>
            </w:tcBorders>
            <w:shd w:val="clear" w:color="auto" w:fill="auto"/>
            <w:tcMar>
              <w:top w:w="60" w:type="dxa"/>
              <w:left w:w="60" w:type="dxa"/>
              <w:right w:w="60" w:type="dxa"/>
            </w:tcMar>
            <w:vAlign w:val="center"/>
          </w:tcPr>
          <w:p w14:paraId="736BF6F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right="0" w:firstLine="0"/>
              <w:jc w:val="center"/>
              <w:textAlignment w:val="auto"/>
              <w:rPr>
                <w:sz w:val="28"/>
                <w:szCs w:val="28"/>
              </w:rPr>
            </w:pPr>
            <w:r>
              <w:rPr>
                <w:rFonts w:hint="eastAsia" w:ascii="宋体" w:hAnsi="宋体" w:eastAsia="宋体" w:cs="宋体"/>
                <w:spacing w:val="0"/>
                <w:sz w:val="18"/>
                <w:szCs w:val="18"/>
              </w:rPr>
              <w:t>其他结果</w:t>
            </w:r>
          </w:p>
        </w:tc>
        <w:tc>
          <w:tcPr>
            <w:tcW w:w="567" w:type="dxa"/>
            <w:vMerge w:val="restart"/>
            <w:tcBorders>
              <w:top w:val="single" w:color="auto" w:sz="4" w:space="0"/>
              <w:left w:val="nil"/>
              <w:bottom w:val="single" w:color="auto" w:sz="4" w:space="0"/>
              <w:right w:val="single" w:color="auto" w:sz="4" w:space="0"/>
            </w:tcBorders>
            <w:shd w:val="clear" w:color="auto" w:fill="auto"/>
            <w:tcMar>
              <w:top w:w="60" w:type="dxa"/>
              <w:left w:w="60" w:type="dxa"/>
              <w:right w:w="60" w:type="dxa"/>
            </w:tcMar>
            <w:vAlign w:val="center"/>
          </w:tcPr>
          <w:p w14:paraId="447137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right="0" w:firstLine="0"/>
              <w:jc w:val="center"/>
              <w:textAlignment w:val="auto"/>
              <w:rPr>
                <w:sz w:val="28"/>
                <w:szCs w:val="28"/>
              </w:rPr>
            </w:pPr>
            <w:r>
              <w:rPr>
                <w:rFonts w:hint="eastAsia" w:ascii="宋体" w:hAnsi="宋体" w:eastAsia="宋体" w:cs="宋体"/>
                <w:spacing w:val="0"/>
                <w:sz w:val="18"/>
                <w:szCs w:val="18"/>
              </w:rPr>
              <w:t>尚未审结</w:t>
            </w:r>
          </w:p>
        </w:tc>
        <w:tc>
          <w:tcPr>
            <w:tcW w:w="567" w:type="dxa"/>
            <w:vMerge w:val="restart"/>
            <w:tcBorders>
              <w:top w:val="single" w:color="auto" w:sz="4" w:space="0"/>
              <w:left w:val="nil"/>
              <w:bottom w:val="single" w:color="auto" w:sz="4" w:space="0"/>
              <w:right w:val="single" w:color="auto" w:sz="4" w:space="0"/>
            </w:tcBorders>
            <w:shd w:val="clear" w:color="auto" w:fill="auto"/>
            <w:tcMar>
              <w:top w:w="60" w:type="dxa"/>
              <w:left w:w="60" w:type="dxa"/>
              <w:right w:w="60" w:type="dxa"/>
            </w:tcMar>
            <w:vAlign w:val="center"/>
          </w:tcPr>
          <w:p w14:paraId="142665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right="0" w:firstLine="0"/>
              <w:jc w:val="center"/>
              <w:textAlignment w:val="auto"/>
              <w:rPr>
                <w:sz w:val="28"/>
                <w:szCs w:val="28"/>
              </w:rPr>
            </w:pPr>
            <w:r>
              <w:rPr>
                <w:rFonts w:hint="eastAsia" w:ascii="宋体" w:hAnsi="宋体" w:eastAsia="宋体" w:cs="宋体"/>
                <w:spacing w:val="0"/>
                <w:sz w:val="18"/>
                <w:szCs w:val="18"/>
              </w:rPr>
              <w:t>总计</w:t>
            </w:r>
          </w:p>
        </w:tc>
        <w:tc>
          <w:tcPr>
            <w:tcW w:w="567" w:type="dxa"/>
            <w:gridSpan w:val="5"/>
            <w:tcBorders>
              <w:top w:val="single" w:color="auto" w:sz="4" w:space="0"/>
              <w:left w:val="nil"/>
              <w:bottom w:val="single" w:color="auto" w:sz="4" w:space="0"/>
              <w:right w:val="single" w:color="auto" w:sz="4" w:space="0"/>
            </w:tcBorders>
            <w:shd w:val="clear" w:color="auto" w:fill="auto"/>
            <w:tcMar>
              <w:top w:w="60" w:type="dxa"/>
              <w:left w:w="60" w:type="dxa"/>
              <w:right w:w="60" w:type="dxa"/>
            </w:tcMar>
            <w:vAlign w:val="center"/>
          </w:tcPr>
          <w:p w14:paraId="251F6C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left="0" w:right="0" w:firstLine="0"/>
              <w:jc w:val="center"/>
              <w:textAlignment w:val="auto"/>
              <w:rPr>
                <w:sz w:val="28"/>
                <w:szCs w:val="28"/>
              </w:rPr>
            </w:pPr>
            <w:r>
              <w:rPr>
                <w:rFonts w:hint="eastAsia" w:ascii="宋体" w:hAnsi="宋体" w:eastAsia="宋体" w:cs="宋体"/>
                <w:spacing w:val="0"/>
                <w:sz w:val="18"/>
                <w:szCs w:val="18"/>
              </w:rPr>
              <w:t>未经复议直接起诉</w:t>
            </w:r>
          </w:p>
        </w:tc>
        <w:tc>
          <w:tcPr>
            <w:tcW w:w="567" w:type="dxa"/>
            <w:gridSpan w:val="5"/>
            <w:tcBorders>
              <w:top w:val="single" w:color="auto" w:sz="4" w:space="0"/>
              <w:left w:val="nil"/>
              <w:bottom w:val="single" w:color="auto" w:sz="4" w:space="0"/>
              <w:right w:val="single" w:color="auto" w:sz="4" w:space="0"/>
            </w:tcBorders>
            <w:shd w:val="clear" w:color="auto" w:fill="auto"/>
            <w:tcMar>
              <w:top w:w="60" w:type="dxa"/>
              <w:left w:w="60" w:type="dxa"/>
              <w:right w:w="60" w:type="dxa"/>
            </w:tcMar>
            <w:vAlign w:val="center"/>
          </w:tcPr>
          <w:p w14:paraId="2922F8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left="0" w:right="0" w:firstLine="0"/>
              <w:jc w:val="center"/>
              <w:textAlignment w:val="auto"/>
              <w:rPr>
                <w:sz w:val="28"/>
                <w:szCs w:val="28"/>
              </w:rPr>
            </w:pPr>
            <w:r>
              <w:rPr>
                <w:rFonts w:hint="eastAsia" w:ascii="宋体" w:hAnsi="宋体" w:eastAsia="宋体" w:cs="宋体"/>
                <w:spacing w:val="0"/>
                <w:sz w:val="18"/>
                <w:szCs w:val="18"/>
              </w:rPr>
              <w:t>复议后起诉</w:t>
            </w:r>
          </w:p>
        </w:tc>
      </w:tr>
      <w:tr w14:paraId="6306B8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20" w:type="dxa"/>
            <w:bottom w:w="60" w:type="dxa"/>
            <w:right w:w="120" w:type="dxa"/>
          </w:tblCellMar>
        </w:tblPrEx>
        <w:tc>
          <w:tcPr>
            <w:tcW w:w="567" w:type="dxa"/>
            <w:vMerge w:val="continue"/>
            <w:tcBorders>
              <w:top w:val="nil"/>
              <w:left w:val="single" w:color="auto" w:sz="4" w:space="0"/>
              <w:bottom w:val="single" w:color="auto" w:sz="4" w:space="0"/>
              <w:right w:val="single" w:color="auto" w:sz="4" w:space="0"/>
            </w:tcBorders>
            <w:shd w:val="clear" w:color="auto" w:fill="auto"/>
            <w:tcMar>
              <w:top w:w="60" w:type="dxa"/>
              <w:left w:w="60" w:type="dxa"/>
              <w:right w:w="60" w:type="dxa"/>
            </w:tcMar>
            <w:vAlign w:val="center"/>
          </w:tcPr>
          <w:p w14:paraId="061C1272">
            <w:pPr>
              <w:keepNext w:val="0"/>
              <w:keepLines w:val="0"/>
              <w:pageBreakBefore w:val="0"/>
              <w:widowControl/>
              <w:kinsoku/>
              <w:overflowPunct/>
              <w:topLinePunct w:val="0"/>
              <w:autoSpaceDE/>
              <w:autoSpaceDN/>
              <w:bidi w:val="0"/>
              <w:adjustRightInd/>
              <w:snapToGrid/>
              <w:ind w:firstLine="0"/>
              <w:jc w:val="center"/>
              <w:textAlignment w:val="auto"/>
              <w:rPr>
                <w:rFonts w:hint="eastAsia" w:ascii="宋体"/>
                <w:sz w:val="28"/>
                <w:szCs w:val="28"/>
              </w:rPr>
            </w:pPr>
          </w:p>
        </w:tc>
        <w:tc>
          <w:tcPr>
            <w:tcW w:w="567" w:type="dxa"/>
            <w:vMerge w:val="continue"/>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65A21FA6">
            <w:pPr>
              <w:keepNext w:val="0"/>
              <w:keepLines w:val="0"/>
              <w:pageBreakBefore w:val="0"/>
              <w:widowControl/>
              <w:kinsoku/>
              <w:overflowPunct/>
              <w:topLinePunct w:val="0"/>
              <w:autoSpaceDE/>
              <w:autoSpaceDN/>
              <w:bidi w:val="0"/>
              <w:adjustRightInd/>
              <w:snapToGrid/>
              <w:ind w:firstLine="0"/>
              <w:jc w:val="center"/>
              <w:textAlignment w:val="auto"/>
              <w:rPr>
                <w:rFonts w:hint="eastAsia" w:ascii="宋体"/>
                <w:sz w:val="28"/>
                <w:szCs w:val="28"/>
              </w:rPr>
            </w:pPr>
          </w:p>
        </w:tc>
        <w:tc>
          <w:tcPr>
            <w:tcW w:w="567" w:type="dxa"/>
            <w:vMerge w:val="continue"/>
            <w:tcBorders>
              <w:top w:val="single" w:color="auto" w:sz="4" w:space="0"/>
              <w:left w:val="nil"/>
              <w:bottom w:val="single" w:color="auto" w:sz="4" w:space="0"/>
              <w:right w:val="single" w:color="auto" w:sz="4" w:space="0"/>
            </w:tcBorders>
            <w:shd w:val="clear" w:color="auto" w:fill="auto"/>
            <w:tcMar>
              <w:top w:w="60" w:type="dxa"/>
              <w:left w:w="60" w:type="dxa"/>
              <w:right w:w="60" w:type="dxa"/>
            </w:tcMar>
            <w:vAlign w:val="center"/>
          </w:tcPr>
          <w:p w14:paraId="323402EE">
            <w:pPr>
              <w:keepNext w:val="0"/>
              <w:keepLines w:val="0"/>
              <w:pageBreakBefore w:val="0"/>
              <w:widowControl/>
              <w:kinsoku/>
              <w:overflowPunct/>
              <w:topLinePunct w:val="0"/>
              <w:autoSpaceDE/>
              <w:autoSpaceDN/>
              <w:bidi w:val="0"/>
              <w:adjustRightInd/>
              <w:snapToGrid/>
              <w:ind w:firstLine="0"/>
              <w:jc w:val="center"/>
              <w:textAlignment w:val="auto"/>
              <w:rPr>
                <w:rFonts w:hint="eastAsia" w:ascii="宋体"/>
                <w:sz w:val="28"/>
                <w:szCs w:val="28"/>
              </w:rPr>
            </w:pPr>
          </w:p>
        </w:tc>
        <w:tc>
          <w:tcPr>
            <w:tcW w:w="567" w:type="dxa"/>
            <w:vMerge w:val="continue"/>
            <w:tcBorders>
              <w:top w:val="single" w:color="auto" w:sz="4" w:space="0"/>
              <w:left w:val="nil"/>
              <w:bottom w:val="single" w:color="auto" w:sz="4" w:space="0"/>
              <w:right w:val="single" w:color="auto" w:sz="4" w:space="0"/>
            </w:tcBorders>
            <w:shd w:val="clear" w:color="auto" w:fill="auto"/>
            <w:tcMar>
              <w:top w:w="60" w:type="dxa"/>
              <w:left w:w="60" w:type="dxa"/>
              <w:right w:w="60" w:type="dxa"/>
            </w:tcMar>
            <w:vAlign w:val="center"/>
          </w:tcPr>
          <w:p w14:paraId="201198A2">
            <w:pPr>
              <w:keepNext w:val="0"/>
              <w:keepLines w:val="0"/>
              <w:pageBreakBefore w:val="0"/>
              <w:widowControl/>
              <w:kinsoku/>
              <w:overflowPunct/>
              <w:topLinePunct w:val="0"/>
              <w:autoSpaceDE/>
              <w:autoSpaceDN/>
              <w:bidi w:val="0"/>
              <w:adjustRightInd/>
              <w:snapToGrid/>
              <w:ind w:firstLine="0"/>
              <w:jc w:val="center"/>
              <w:textAlignment w:val="auto"/>
              <w:rPr>
                <w:rFonts w:hint="eastAsia" w:ascii="宋体"/>
                <w:sz w:val="28"/>
                <w:szCs w:val="28"/>
              </w:rPr>
            </w:pPr>
          </w:p>
        </w:tc>
        <w:tc>
          <w:tcPr>
            <w:tcW w:w="567" w:type="dxa"/>
            <w:vMerge w:val="continue"/>
            <w:tcBorders>
              <w:top w:val="single" w:color="auto" w:sz="4" w:space="0"/>
              <w:left w:val="nil"/>
              <w:bottom w:val="single" w:color="auto" w:sz="4" w:space="0"/>
              <w:right w:val="single" w:color="auto" w:sz="4" w:space="0"/>
            </w:tcBorders>
            <w:shd w:val="clear" w:color="auto" w:fill="auto"/>
            <w:tcMar>
              <w:top w:w="60" w:type="dxa"/>
              <w:left w:w="60" w:type="dxa"/>
              <w:right w:w="60" w:type="dxa"/>
            </w:tcMar>
            <w:vAlign w:val="center"/>
          </w:tcPr>
          <w:p w14:paraId="317D46EB">
            <w:pPr>
              <w:keepNext w:val="0"/>
              <w:keepLines w:val="0"/>
              <w:pageBreakBefore w:val="0"/>
              <w:widowControl/>
              <w:kinsoku/>
              <w:overflowPunct/>
              <w:topLinePunct w:val="0"/>
              <w:autoSpaceDE/>
              <w:autoSpaceDN/>
              <w:bidi w:val="0"/>
              <w:adjustRightInd/>
              <w:snapToGrid/>
              <w:ind w:firstLine="0"/>
              <w:jc w:val="center"/>
              <w:textAlignment w:val="auto"/>
              <w:rPr>
                <w:rFonts w:hint="eastAsia" w:ascii="宋体"/>
                <w:sz w:val="28"/>
                <w:szCs w:val="28"/>
              </w:rPr>
            </w:pPr>
          </w:p>
        </w:tc>
        <w:tc>
          <w:tcPr>
            <w:tcW w:w="567"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40DBBE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right="0" w:firstLine="0"/>
              <w:jc w:val="center"/>
              <w:textAlignment w:val="auto"/>
              <w:rPr>
                <w:rFonts w:hint="eastAsia" w:ascii="宋体" w:hAnsi="宋体" w:eastAsia="宋体" w:cs="宋体"/>
                <w:spacing w:val="0"/>
                <w:sz w:val="18"/>
                <w:szCs w:val="18"/>
              </w:rPr>
            </w:pPr>
            <w:r>
              <w:rPr>
                <w:rFonts w:hint="eastAsia" w:ascii="宋体" w:hAnsi="宋体" w:eastAsia="宋体" w:cs="宋体"/>
                <w:spacing w:val="0"/>
                <w:sz w:val="18"/>
                <w:szCs w:val="18"/>
              </w:rPr>
              <w:t>结果维持</w:t>
            </w:r>
          </w:p>
        </w:tc>
        <w:tc>
          <w:tcPr>
            <w:tcW w:w="567"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68BBA9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right="0" w:firstLine="0"/>
              <w:jc w:val="center"/>
              <w:textAlignment w:val="auto"/>
              <w:rPr>
                <w:rFonts w:hint="eastAsia" w:ascii="宋体" w:hAnsi="宋体" w:eastAsia="宋体" w:cs="宋体"/>
                <w:spacing w:val="0"/>
                <w:sz w:val="18"/>
                <w:szCs w:val="18"/>
              </w:rPr>
            </w:pPr>
            <w:r>
              <w:rPr>
                <w:rFonts w:hint="eastAsia" w:ascii="宋体" w:hAnsi="宋体" w:eastAsia="宋体" w:cs="宋体"/>
                <w:spacing w:val="0"/>
                <w:sz w:val="18"/>
                <w:szCs w:val="18"/>
              </w:rPr>
              <w:t>结果纠正</w:t>
            </w:r>
          </w:p>
        </w:tc>
        <w:tc>
          <w:tcPr>
            <w:tcW w:w="567" w:type="dxa"/>
            <w:tcBorders>
              <w:top w:val="single" w:color="auto" w:sz="4" w:space="0"/>
              <w:left w:val="nil"/>
              <w:bottom w:val="single" w:color="auto" w:sz="4" w:space="0"/>
              <w:right w:val="single" w:color="auto" w:sz="4" w:space="0"/>
            </w:tcBorders>
            <w:shd w:val="clear" w:color="auto" w:fill="auto"/>
            <w:tcMar>
              <w:top w:w="60" w:type="dxa"/>
              <w:left w:w="60" w:type="dxa"/>
              <w:right w:w="60" w:type="dxa"/>
            </w:tcMar>
            <w:vAlign w:val="center"/>
          </w:tcPr>
          <w:p w14:paraId="6F1ED0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right="0" w:firstLine="0"/>
              <w:jc w:val="center"/>
              <w:textAlignment w:val="auto"/>
              <w:rPr>
                <w:rFonts w:hint="eastAsia" w:ascii="宋体" w:hAnsi="宋体" w:eastAsia="宋体" w:cs="宋体"/>
                <w:spacing w:val="0"/>
                <w:sz w:val="18"/>
                <w:szCs w:val="18"/>
              </w:rPr>
            </w:pPr>
            <w:r>
              <w:rPr>
                <w:rFonts w:hint="eastAsia" w:ascii="宋体" w:hAnsi="宋体" w:eastAsia="宋体" w:cs="宋体"/>
                <w:spacing w:val="0"/>
                <w:sz w:val="18"/>
                <w:szCs w:val="18"/>
              </w:rPr>
              <w:t>其他结果</w:t>
            </w:r>
          </w:p>
        </w:tc>
        <w:tc>
          <w:tcPr>
            <w:tcW w:w="567" w:type="dxa"/>
            <w:tcBorders>
              <w:top w:val="single" w:color="auto" w:sz="4" w:space="0"/>
              <w:left w:val="nil"/>
              <w:bottom w:val="single" w:color="auto" w:sz="4" w:space="0"/>
              <w:right w:val="single" w:color="auto" w:sz="4" w:space="0"/>
            </w:tcBorders>
            <w:shd w:val="clear" w:color="auto" w:fill="auto"/>
            <w:tcMar>
              <w:top w:w="60" w:type="dxa"/>
              <w:left w:w="60" w:type="dxa"/>
              <w:right w:w="60" w:type="dxa"/>
            </w:tcMar>
            <w:vAlign w:val="center"/>
          </w:tcPr>
          <w:p w14:paraId="778B4E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right="0" w:firstLine="0"/>
              <w:jc w:val="center"/>
              <w:textAlignment w:val="auto"/>
              <w:rPr>
                <w:rFonts w:hint="eastAsia" w:ascii="宋体" w:hAnsi="宋体" w:eastAsia="宋体" w:cs="宋体"/>
                <w:spacing w:val="0"/>
                <w:sz w:val="18"/>
                <w:szCs w:val="18"/>
              </w:rPr>
            </w:pPr>
            <w:r>
              <w:rPr>
                <w:rFonts w:hint="eastAsia" w:ascii="宋体" w:hAnsi="宋体" w:eastAsia="宋体" w:cs="宋体"/>
                <w:spacing w:val="0"/>
                <w:sz w:val="18"/>
                <w:szCs w:val="18"/>
              </w:rPr>
              <w:t>尚未审结</w:t>
            </w:r>
          </w:p>
        </w:tc>
        <w:tc>
          <w:tcPr>
            <w:tcW w:w="567" w:type="dxa"/>
            <w:tcBorders>
              <w:top w:val="single" w:color="auto" w:sz="4" w:space="0"/>
              <w:left w:val="nil"/>
              <w:bottom w:val="single" w:color="auto" w:sz="4" w:space="0"/>
              <w:right w:val="single" w:color="auto" w:sz="4" w:space="0"/>
            </w:tcBorders>
            <w:shd w:val="clear" w:color="auto" w:fill="auto"/>
            <w:tcMar>
              <w:top w:w="60" w:type="dxa"/>
              <w:left w:w="60" w:type="dxa"/>
              <w:right w:w="60" w:type="dxa"/>
            </w:tcMar>
            <w:vAlign w:val="center"/>
          </w:tcPr>
          <w:p w14:paraId="74D34F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right="0" w:firstLine="0"/>
              <w:jc w:val="center"/>
              <w:textAlignment w:val="auto"/>
              <w:rPr>
                <w:rFonts w:hint="eastAsia" w:ascii="宋体" w:hAnsi="宋体" w:eastAsia="宋体" w:cs="宋体"/>
                <w:spacing w:val="0"/>
                <w:sz w:val="18"/>
                <w:szCs w:val="18"/>
              </w:rPr>
            </w:pPr>
            <w:r>
              <w:rPr>
                <w:rFonts w:hint="eastAsia" w:ascii="宋体" w:hAnsi="宋体" w:eastAsia="宋体" w:cs="宋体"/>
                <w:spacing w:val="0"/>
                <w:sz w:val="18"/>
                <w:szCs w:val="18"/>
              </w:rPr>
              <w:t>总计</w:t>
            </w:r>
          </w:p>
        </w:tc>
        <w:tc>
          <w:tcPr>
            <w:tcW w:w="567" w:type="dxa"/>
            <w:tcBorders>
              <w:top w:val="single" w:color="auto" w:sz="4" w:space="0"/>
              <w:left w:val="nil"/>
              <w:bottom w:val="single" w:color="auto" w:sz="4" w:space="0"/>
              <w:right w:val="single" w:color="auto" w:sz="4" w:space="0"/>
            </w:tcBorders>
            <w:shd w:val="clear" w:color="auto" w:fill="auto"/>
            <w:tcMar>
              <w:top w:w="60" w:type="dxa"/>
              <w:left w:w="60" w:type="dxa"/>
              <w:right w:w="60" w:type="dxa"/>
            </w:tcMar>
            <w:vAlign w:val="center"/>
          </w:tcPr>
          <w:p w14:paraId="178663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right="0" w:firstLine="0"/>
              <w:jc w:val="center"/>
              <w:textAlignment w:val="auto"/>
              <w:rPr>
                <w:rFonts w:hint="eastAsia" w:ascii="宋体" w:hAnsi="宋体" w:eastAsia="宋体" w:cs="宋体"/>
                <w:spacing w:val="0"/>
                <w:sz w:val="18"/>
                <w:szCs w:val="18"/>
              </w:rPr>
            </w:pPr>
            <w:r>
              <w:rPr>
                <w:rFonts w:hint="eastAsia" w:ascii="宋体" w:hAnsi="宋体" w:eastAsia="宋体" w:cs="宋体"/>
                <w:spacing w:val="0"/>
                <w:sz w:val="18"/>
                <w:szCs w:val="18"/>
              </w:rPr>
              <w:t>结果维持</w:t>
            </w:r>
          </w:p>
        </w:tc>
        <w:tc>
          <w:tcPr>
            <w:tcW w:w="567" w:type="dxa"/>
            <w:tcBorders>
              <w:top w:val="single" w:color="auto" w:sz="4" w:space="0"/>
              <w:left w:val="nil"/>
              <w:bottom w:val="single" w:color="auto" w:sz="4" w:space="0"/>
              <w:right w:val="single" w:color="auto" w:sz="4" w:space="0"/>
            </w:tcBorders>
            <w:shd w:val="clear" w:color="auto" w:fill="auto"/>
            <w:tcMar>
              <w:top w:w="60" w:type="dxa"/>
              <w:left w:w="60" w:type="dxa"/>
              <w:right w:w="60" w:type="dxa"/>
            </w:tcMar>
            <w:vAlign w:val="center"/>
          </w:tcPr>
          <w:p w14:paraId="0AF493F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right="0" w:firstLine="0"/>
              <w:jc w:val="center"/>
              <w:textAlignment w:val="auto"/>
              <w:rPr>
                <w:rFonts w:hint="eastAsia" w:ascii="宋体" w:hAnsi="宋体" w:eastAsia="宋体" w:cs="宋体"/>
                <w:spacing w:val="0"/>
                <w:sz w:val="18"/>
                <w:szCs w:val="18"/>
              </w:rPr>
            </w:pPr>
            <w:r>
              <w:rPr>
                <w:rFonts w:hint="eastAsia" w:ascii="宋体" w:hAnsi="宋体" w:eastAsia="宋体" w:cs="宋体"/>
                <w:spacing w:val="0"/>
                <w:sz w:val="18"/>
                <w:szCs w:val="18"/>
              </w:rPr>
              <w:t>结果纠正</w:t>
            </w:r>
          </w:p>
        </w:tc>
        <w:tc>
          <w:tcPr>
            <w:tcW w:w="567" w:type="dxa"/>
            <w:tcBorders>
              <w:top w:val="single" w:color="auto" w:sz="4" w:space="0"/>
              <w:left w:val="nil"/>
              <w:bottom w:val="single" w:color="auto" w:sz="4" w:space="0"/>
              <w:right w:val="single" w:color="auto" w:sz="4" w:space="0"/>
            </w:tcBorders>
            <w:shd w:val="clear" w:color="auto" w:fill="auto"/>
            <w:tcMar>
              <w:top w:w="60" w:type="dxa"/>
              <w:left w:w="60" w:type="dxa"/>
              <w:right w:w="60" w:type="dxa"/>
            </w:tcMar>
            <w:vAlign w:val="center"/>
          </w:tcPr>
          <w:p w14:paraId="28E88D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right="0" w:firstLine="0"/>
              <w:jc w:val="center"/>
              <w:textAlignment w:val="auto"/>
              <w:rPr>
                <w:rFonts w:hint="eastAsia" w:ascii="宋体" w:hAnsi="宋体" w:eastAsia="宋体" w:cs="宋体"/>
                <w:spacing w:val="0"/>
                <w:sz w:val="18"/>
                <w:szCs w:val="18"/>
              </w:rPr>
            </w:pPr>
            <w:r>
              <w:rPr>
                <w:rFonts w:hint="eastAsia" w:ascii="宋体" w:hAnsi="宋体" w:eastAsia="宋体" w:cs="宋体"/>
                <w:spacing w:val="0"/>
                <w:sz w:val="18"/>
                <w:szCs w:val="18"/>
              </w:rPr>
              <w:t>其他结果</w:t>
            </w:r>
          </w:p>
        </w:tc>
        <w:tc>
          <w:tcPr>
            <w:tcW w:w="567" w:type="dxa"/>
            <w:tcBorders>
              <w:top w:val="single" w:color="auto" w:sz="4" w:space="0"/>
              <w:left w:val="nil"/>
              <w:bottom w:val="single" w:color="auto" w:sz="4" w:space="0"/>
              <w:right w:val="single" w:color="auto" w:sz="4" w:space="0"/>
            </w:tcBorders>
            <w:shd w:val="clear" w:color="auto" w:fill="auto"/>
            <w:tcMar>
              <w:top w:w="60" w:type="dxa"/>
              <w:left w:w="60" w:type="dxa"/>
              <w:right w:w="60" w:type="dxa"/>
            </w:tcMar>
            <w:vAlign w:val="center"/>
          </w:tcPr>
          <w:p w14:paraId="0664BB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right="0" w:firstLine="0"/>
              <w:jc w:val="center"/>
              <w:textAlignment w:val="auto"/>
              <w:rPr>
                <w:rFonts w:hint="eastAsia" w:ascii="宋体" w:hAnsi="宋体" w:eastAsia="宋体" w:cs="宋体"/>
                <w:spacing w:val="0"/>
                <w:sz w:val="18"/>
                <w:szCs w:val="18"/>
              </w:rPr>
            </w:pPr>
            <w:r>
              <w:rPr>
                <w:rFonts w:hint="eastAsia" w:ascii="宋体" w:hAnsi="宋体" w:eastAsia="宋体" w:cs="宋体"/>
                <w:spacing w:val="0"/>
                <w:sz w:val="18"/>
                <w:szCs w:val="18"/>
              </w:rPr>
              <w:t>尚未审结</w:t>
            </w:r>
          </w:p>
        </w:tc>
        <w:tc>
          <w:tcPr>
            <w:tcW w:w="567" w:type="dxa"/>
            <w:tcBorders>
              <w:top w:val="single" w:color="auto" w:sz="4" w:space="0"/>
              <w:left w:val="nil"/>
              <w:bottom w:val="single" w:color="auto" w:sz="4" w:space="0"/>
              <w:right w:val="single" w:color="auto" w:sz="4" w:space="0"/>
            </w:tcBorders>
            <w:shd w:val="clear" w:color="auto" w:fill="auto"/>
            <w:tcMar>
              <w:top w:w="60" w:type="dxa"/>
              <w:left w:w="60" w:type="dxa"/>
              <w:right w:w="60" w:type="dxa"/>
            </w:tcMar>
            <w:vAlign w:val="center"/>
          </w:tcPr>
          <w:p w14:paraId="5A0BB6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right="0" w:firstLine="0"/>
              <w:jc w:val="center"/>
              <w:textAlignment w:val="auto"/>
              <w:rPr>
                <w:rFonts w:hint="eastAsia" w:ascii="宋体" w:hAnsi="宋体" w:eastAsia="宋体" w:cs="宋体"/>
                <w:spacing w:val="0"/>
                <w:sz w:val="18"/>
                <w:szCs w:val="18"/>
              </w:rPr>
            </w:pPr>
            <w:r>
              <w:rPr>
                <w:rFonts w:hint="eastAsia" w:ascii="宋体" w:hAnsi="宋体" w:eastAsia="宋体" w:cs="宋体"/>
                <w:spacing w:val="0"/>
                <w:sz w:val="18"/>
                <w:szCs w:val="18"/>
              </w:rPr>
              <w:t>总计</w:t>
            </w:r>
          </w:p>
        </w:tc>
      </w:tr>
      <w:tr w14:paraId="1547854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20" w:type="dxa"/>
            <w:bottom w:w="60" w:type="dxa"/>
            <w:right w:w="120" w:type="dxa"/>
          </w:tblCellMar>
        </w:tblPrEx>
        <w:tc>
          <w:tcPr>
            <w:tcW w:w="567" w:type="dxa"/>
            <w:tcBorders>
              <w:top w:val="nil"/>
              <w:left w:val="single" w:color="auto" w:sz="4" w:space="0"/>
              <w:bottom w:val="single" w:color="auto" w:sz="4" w:space="0"/>
              <w:right w:val="single" w:color="auto" w:sz="4" w:space="0"/>
            </w:tcBorders>
            <w:shd w:val="clear" w:color="auto" w:fill="auto"/>
            <w:tcMar>
              <w:top w:w="60" w:type="dxa"/>
              <w:left w:w="60" w:type="dxa"/>
              <w:right w:w="60" w:type="dxa"/>
            </w:tcMar>
            <w:vAlign w:val="center"/>
          </w:tcPr>
          <w:p w14:paraId="0CA211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right="0" w:firstLine="0"/>
              <w:jc w:val="center"/>
              <w:textAlignment w:val="auto"/>
              <w:rPr>
                <w:sz w:val="28"/>
                <w:szCs w:val="28"/>
              </w:rPr>
            </w:pPr>
            <w:r>
              <w:rPr>
                <w:rFonts w:hint="eastAsia" w:ascii="宋体" w:hAnsi="宋体" w:eastAsia="宋体" w:cs="宋体"/>
                <w:spacing w:val="0"/>
                <w:sz w:val="18"/>
                <w:szCs w:val="18"/>
              </w:rPr>
              <w:t>0</w:t>
            </w:r>
          </w:p>
        </w:tc>
        <w:tc>
          <w:tcPr>
            <w:tcW w:w="567"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6D0D9A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right="0" w:firstLine="0"/>
              <w:jc w:val="center"/>
              <w:textAlignment w:val="auto"/>
              <w:rPr>
                <w:sz w:val="28"/>
                <w:szCs w:val="28"/>
              </w:rPr>
            </w:pPr>
            <w:r>
              <w:rPr>
                <w:rFonts w:hint="eastAsia" w:ascii="宋体" w:hAnsi="宋体" w:eastAsia="宋体" w:cs="宋体"/>
                <w:spacing w:val="0"/>
                <w:sz w:val="18"/>
                <w:szCs w:val="18"/>
              </w:rPr>
              <w:t>0</w:t>
            </w:r>
          </w:p>
        </w:tc>
        <w:tc>
          <w:tcPr>
            <w:tcW w:w="567"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21DEB1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right="0" w:firstLine="0"/>
              <w:jc w:val="center"/>
              <w:textAlignment w:val="auto"/>
              <w:rPr>
                <w:sz w:val="28"/>
                <w:szCs w:val="28"/>
              </w:rPr>
            </w:pPr>
            <w:r>
              <w:rPr>
                <w:rFonts w:hint="eastAsia" w:ascii="宋体" w:hAnsi="宋体" w:eastAsia="宋体" w:cs="宋体"/>
                <w:spacing w:val="0"/>
                <w:sz w:val="18"/>
                <w:szCs w:val="18"/>
              </w:rPr>
              <w:t>0</w:t>
            </w:r>
          </w:p>
        </w:tc>
        <w:tc>
          <w:tcPr>
            <w:tcW w:w="567"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34B6BFF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right="0" w:firstLine="0"/>
              <w:jc w:val="center"/>
              <w:textAlignment w:val="auto"/>
              <w:rPr>
                <w:sz w:val="28"/>
                <w:szCs w:val="28"/>
              </w:rPr>
            </w:pPr>
            <w:r>
              <w:rPr>
                <w:rFonts w:hint="eastAsia" w:ascii="宋体" w:hAnsi="宋体" w:eastAsia="宋体" w:cs="宋体"/>
                <w:spacing w:val="0"/>
                <w:sz w:val="18"/>
                <w:szCs w:val="18"/>
              </w:rPr>
              <w:t>0</w:t>
            </w:r>
          </w:p>
        </w:tc>
        <w:tc>
          <w:tcPr>
            <w:tcW w:w="567"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7DE14A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right="0" w:firstLine="0"/>
              <w:jc w:val="center"/>
              <w:textAlignment w:val="auto"/>
              <w:rPr>
                <w:sz w:val="28"/>
                <w:szCs w:val="28"/>
              </w:rPr>
            </w:pPr>
            <w:r>
              <w:rPr>
                <w:rFonts w:hint="eastAsia" w:ascii="宋体" w:hAnsi="宋体" w:eastAsia="宋体" w:cs="宋体"/>
                <w:spacing w:val="0"/>
                <w:sz w:val="18"/>
                <w:szCs w:val="18"/>
              </w:rPr>
              <w:t>0</w:t>
            </w:r>
          </w:p>
        </w:tc>
        <w:tc>
          <w:tcPr>
            <w:tcW w:w="567"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5130B6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right="0" w:firstLine="0"/>
              <w:jc w:val="center"/>
              <w:textAlignment w:val="auto"/>
              <w:rPr>
                <w:rFonts w:hint="eastAsia" w:ascii="宋体" w:hAnsi="宋体" w:eastAsia="宋体" w:cs="宋体"/>
                <w:spacing w:val="0"/>
                <w:sz w:val="18"/>
                <w:szCs w:val="18"/>
              </w:rPr>
            </w:pPr>
            <w:r>
              <w:rPr>
                <w:rFonts w:hint="eastAsia" w:ascii="宋体" w:hAnsi="宋体" w:eastAsia="宋体" w:cs="宋体"/>
                <w:spacing w:val="0"/>
                <w:sz w:val="18"/>
                <w:szCs w:val="18"/>
              </w:rPr>
              <w:t>0</w:t>
            </w:r>
          </w:p>
        </w:tc>
        <w:tc>
          <w:tcPr>
            <w:tcW w:w="567"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304F92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left="0" w:right="0" w:firstLine="0"/>
              <w:jc w:val="center"/>
              <w:textAlignment w:val="auto"/>
              <w:rPr>
                <w:rFonts w:hint="eastAsia" w:ascii="宋体" w:hAnsi="宋体" w:eastAsia="宋体" w:cs="宋体"/>
                <w:spacing w:val="0"/>
                <w:sz w:val="18"/>
                <w:szCs w:val="18"/>
              </w:rPr>
            </w:pPr>
            <w:r>
              <w:rPr>
                <w:rFonts w:hint="eastAsia" w:ascii="宋体" w:hAnsi="宋体" w:eastAsia="宋体" w:cs="宋体"/>
                <w:spacing w:val="0"/>
                <w:sz w:val="18"/>
                <w:szCs w:val="18"/>
              </w:rPr>
              <w:t>0</w:t>
            </w:r>
          </w:p>
        </w:tc>
        <w:tc>
          <w:tcPr>
            <w:tcW w:w="567"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2C957B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left="0" w:right="0" w:firstLine="0"/>
              <w:jc w:val="center"/>
              <w:textAlignment w:val="auto"/>
              <w:rPr>
                <w:rFonts w:hint="eastAsia" w:ascii="宋体" w:hAnsi="宋体" w:eastAsia="宋体" w:cs="宋体"/>
                <w:spacing w:val="0"/>
                <w:sz w:val="18"/>
                <w:szCs w:val="18"/>
              </w:rPr>
            </w:pPr>
            <w:r>
              <w:rPr>
                <w:rFonts w:hint="eastAsia" w:ascii="宋体" w:hAnsi="宋体" w:eastAsia="宋体" w:cs="宋体"/>
                <w:spacing w:val="0"/>
                <w:sz w:val="18"/>
                <w:szCs w:val="18"/>
              </w:rPr>
              <w:t>0</w:t>
            </w:r>
          </w:p>
        </w:tc>
        <w:tc>
          <w:tcPr>
            <w:tcW w:w="567"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77FDBE1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left="0" w:right="0" w:firstLine="0"/>
              <w:jc w:val="center"/>
              <w:textAlignment w:val="auto"/>
              <w:rPr>
                <w:rFonts w:hint="eastAsia" w:ascii="宋体" w:hAnsi="宋体" w:eastAsia="宋体" w:cs="宋体"/>
                <w:spacing w:val="0"/>
                <w:sz w:val="18"/>
                <w:szCs w:val="18"/>
              </w:rPr>
            </w:pPr>
            <w:r>
              <w:rPr>
                <w:rFonts w:hint="eastAsia" w:ascii="宋体" w:hAnsi="宋体" w:eastAsia="宋体" w:cs="宋体"/>
                <w:spacing w:val="0"/>
                <w:sz w:val="18"/>
                <w:szCs w:val="18"/>
              </w:rPr>
              <w:t>0</w:t>
            </w:r>
          </w:p>
        </w:tc>
        <w:tc>
          <w:tcPr>
            <w:tcW w:w="567"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67D78E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left="0" w:right="0" w:firstLine="0"/>
              <w:jc w:val="center"/>
              <w:textAlignment w:val="auto"/>
              <w:rPr>
                <w:rFonts w:hint="eastAsia" w:ascii="宋体" w:hAnsi="宋体" w:eastAsia="宋体" w:cs="宋体"/>
                <w:spacing w:val="0"/>
                <w:sz w:val="18"/>
                <w:szCs w:val="18"/>
              </w:rPr>
            </w:pPr>
            <w:r>
              <w:rPr>
                <w:rFonts w:hint="eastAsia" w:ascii="宋体" w:hAnsi="宋体" w:eastAsia="宋体" w:cs="宋体"/>
                <w:spacing w:val="0"/>
                <w:sz w:val="18"/>
                <w:szCs w:val="18"/>
              </w:rPr>
              <w:t>0</w:t>
            </w:r>
          </w:p>
        </w:tc>
        <w:tc>
          <w:tcPr>
            <w:tcW w:w="567"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10E126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left="0" w:right="0" w:firstLine="0"/>
              <w:jc w:val="center"/>
              <w:textAlignment w:val="auto"/>
              <w:rPr>
                <w:rFonts w:hint="eastAsia" w:ascii="宋体" w:hAnsi="宋体" w:eastAsia="宋体" w:cs="宋体"/>
                <w:spacing w:val="0"/>
                <w:sz w:val="18"/>
                <w:szCs w:val="18"/>
              </w:rPr>
            </w:pPr>
            <w:r>
              <w:rPr>
                <w:rFonts w:hint="eastAsia" w:ascii="宋体" w:hAnsi="宋体" w:eastAsia="宋体" w:cs="宋体"/>
                <w:spacing w:val="0"/>
                <w:sz w:val="18"/>
                <w:szCs w:val="18"/>
              </w:rPr>
              <w:t>0</w:t>
            </w:r>
          </w:p>
        </w:tc>
        <w:tc>
          <w:tcPr>
            <w:tcW w:w="567"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7E4025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left="0" w:right="0" w:firstLine="0"/>
              <w:jc w:val="center"/>
              <w:textAlignment w:val="auto"/>
              <w:rPr>
                <w:rFonts w:hint="eastAsia" w:ascii="宋体" w:hAnsi="宋体" w:eastAsia="宋体" w:cs="宋体"/>
                <w:spacing w:val="0"/>
                <w:sz w:val="18"/>
                <w:szCs w:val="18"/>
              </w:rPr>
            </w:pPr>
            <w:r>
              <w:rPr>
                <w:rFonts w:hint="eastAsia" w:ascii="宋体" w:hAnsi="宋体" w:eastAsia="宋体" w:cs="宋体"/>
                <w:spacing w:val="0"/>
                <w:sz w:val="18"/>
                <w:szCs w:val="18"/>
              </w:rPr>
              <w:t>0</w:t>
            </w:r>
          </w:p>
        </w:tc>
        <w:tc>
          <w:tcPr>
            <w:tcW w:w="567"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4833A2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left="0" w:right="0" w:firstLine="0"/>
              <w:jc w:val="center"/>
              <w:textAlignment w:val="auto"/>
              <w:rPr>
                <w:rFonts w:hint="eastAsia" w:ascii="宋体" w:hAnsi="宋体" w:eastAsia="宋体" w:cs="宋体"/>
                <w:spacing w:val="0"/>
                <w:sz w:val="18"/>
                <w:szCs w:val="18"/>
              </w:rPr>
            </w:pPr>
            <w:r>
              <w:rPr>
                <w:rFonts w:hint="eastAsia" w:ascii="宋体" w:hAnsi="宋体" w:eastAsia="宋体" w:cs="宋体"/>
                <w:spacing w:val="0"/>
                <w:sz w:val="18"/>
                <w:szCs w:val="18"/>
              </w:rPr>
              <w:t>0</w:t>
            </w:r>
          </w:p>
        </w:tc>
        <w:tc>
          <w:tcPr>
            <w:tcW w:w="567"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0F34DF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left="0" w:right="0" w:firstLine="0"/>
              <w:jc w:val="center"/>
              <w:textAlignment w:val="auto"/>
              <w:rPr>
                <w:rFonts w:hint="eastAsia" w:ascii="宋体" w:hAnsi="宋体" w:eastAsia="宋体" w:cs="宋体"/>
                <w:spacing w:val="0"/>
                <w:sz w:val="18"/>
                <w:szCs w:val="18"/>
              </w:rPr>
            </w:pPr>
            <w:r>
              <w:rPr>
                <w:rFonts w:hint="eastAsia" w:ascii="宋体" w:hAnsi="宋体" w:eastAsia="宋体" w:cs="宋体"/>
                <w:spacing w:val="0"/>
                <w:sz w:val="18"/>
                <w:szCs w:val="18"/>
              </w:rPr>
              <w:t>0</w:t>
            </w:r>
          </w:p>
        </w:tc>
        <w:tc>
          <w:tcPr>
            <w:tcW w:w="567" w:type="dxa"/>
            <w:tcBorders>
              <w:top w:val="nil"/>
              <w:left w:val="nil"/>
              <w:bottom w:val="single" w:color="auto" w:sz="4" w:space="0"/>
              <w:right w:val="single" w:color="auto" w:sz="4" w:space="0"/>
            </w:tcBorders>
            <w:shd w:val="clear" w:color="auto" w:fill="auto"/>
            <w:tcMar>
              <w:top w:w="60" w:type="dxa"/>
              <w:left w:w="60" w:type="dxa"/>
              <w:right w:w="60" w:type="dxa"/>
            </w:tcMar>
            <w:vAlign w:val="center"/>
          </w:tcPr>
          <w:p w14:paraId="073931E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52" w:lineRule="atLeast"/>
              <w:ind w:left="0" w:right="0" w:firstLine="0"/>
              <w:jc w:val="center"/>
              <w:textAlignment w:val="auto"/>
              <w:rPr>
                <w:rFonts w:hint="eastAsia" w:ascii="宋体" w:hAnsi="宋体" w:eastAsia="宋体" w:cs="宋体"/>
                <w:spacing w:val="0"/>
                <w:sz w:val="18"/>
                <w:szCs w:val="18"/>
              </w:rPr>
            </w:pPr>
            <w:r>
              <w:rPr>
                <w:rFonts w:hint="eastAsia" w:ascii="宋体" w:hAnsi="宋体" w:eastAsia="宋体" w:cs="宋体"/>
                <w:spacing w:val="0"/>
                <w:sz w:val="18"/>
                <w:szCs w:val="18"/>
              </w:rPr>
              <w:t>0</w:t>
            </w:r>
          </w:p>
        </w:tc>
      </w:tr>
    </w:tbl>
    <w:p w14:paraId="0EDF021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黑体" w:hAnsi="黑体" w:eastAsia="黑体" w:cs="黑体"/>
          <w:sz w:val="32"/>
          <w:szCs w:val="32"/>
          <w:shd w:val="clear" w:fill="FFFFFF"/>
          <w:lang w:val="en-US" w:eastAsia="zh-CN"/>
        </w:rPr>
      </w:pPr>
      <w:r>
        <w:rPr>
          <w:rFonts w:hint="eastAsia" w:ascii="黑体" w:hAnsi="黑体" w:eastAsia="黑体" w:cs="黑体"/>
          <w:sz w:val="32"/>
          <w:szCs w:val="32"/>
          <w:shd w:val="clear" w:fill="FFFFFF"/>
        </w:rPr>
        <w:t>五、存在</w:t>
      </w:r>
      <w:r>
        <w:rPr>
          <w:rFonts w:hint="eastAsia" w:ascii="黑体" w:hAnsi="黑体" w:eastAsia="黑体" w:cs="黑体"/>
          <w:sz w:val="32"/>
          <w:szCs w:val="32"/>
          <w:shd w:val="clear" w:fill="FFFFFF"/>
          <w:lang w:val="en-US" w:eastAsia="zh-CN"/>
        </w:rPr>
        <w:t>的</w:t>
      </w:r>
      <w:r>
        <w:rPr>
          <w:rFonts w:hint="eastAsia" w:ascii="黑体" w:hAnsi="黑体" w:eastAsia="黑体" w:cs="黑体"/>
          <w:sz w:val="32"/>
          <w:szCs w:val="32"/>
          <w:shd w:val="clear" w:fill="FFFFFF"/>
        </w:rPr>
        <w:t>问题</w:t>
      </w:r>
      <w:r>
        <w:rPr>
          <w:rFonts w:hint="eastAsia" w:ascii="黑体" w:hAnsi="黑体" w:eastAsia="黑体" w:cs="黑体"/>
          <w:sz w:val="32"/>
          <w:szCs w:val="32"/>
          <w:shd w:val="clear" w:fill="FFFFFF"/>
          <w:lang w:val="en-US" w:eastAsia="zh-CN"/>
        </w:rPr>
        <w:t>和整改措施</w:t>
      </w:r>
    </w:p>
    <w:p w14:paraId="0CCDF7E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spacing w:val="0"/>
          <w:sz w:val="32"/>
          <w:szCs w:val="32"/>
          <w:shd w:val="clear" w:fill="FFFFFF"/>
          <w:lang w:val="en-US" w:eastAsia="zh-CN"/>
        </w:rPr>
      </w:pPr>
      <w:r>
        <w:rPr>
          <w:rFonts w:hint="eastAsia" w:ascii="仿宋_GB2312" w:hAnsi="仿宋_GB2312" w:eastAsia="仿宋_GB2312" w:cs="仿宋_GB2312"/>
          <w:b w:val="0"/>
          <w:bCs w:val="0"/>
          <w:spacing w:val="0"/>
          <w:sz w:val="32"/>
          <w:szCs w:val="32"/>
          <w:shd w:val="clear" w:fill="FFFFFF"/>
          <w:lang w:val="en-US" w:eastAsia="zh-CN"/>
        </w:rPr>
        <w:t>2024年，滕州市商务和投资促进局政务公开工作取得了新的进展，但仍存在以下问题：一是部分信息公开不够及时；二是涉企惠企政策到达率、知晓率以及政策解读方式的多样性精准性还有差距；三是公开平台管理还需进一步加强。</w:t>
      </w:r>
    </w:p>
    <w:p w14:paraId="7FC4F08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spacing w:val="0"/>
          <w:sz w:val="32"/>
          <w:szCs w:val="32"/>
          <w:shd w:val="clear" w:fill="FFFFFF"/>
          <w:lang w:val="en-US" w:eastAsia="zh-CN"/>
        </w:rPr>
      </w:pPr>
      <w:r>
        <w:rPr>
          <w:rFonts w:hint="eastAsia" w:ascii="仿宋_GB2312" w:hAnsi="仿宋_GB2312" w:eastAsia="仿宋_GB2312" w:cs="仿宋_GB2312"/>
          <w:b w:val="0"/>
          <w:bCs w:val="0"/>
          <w:spacing w:val="0"/>
          <w:sz w:val="32"/>
          <w:szCs w:val="32"/>
          <w:shd w:val="clear" w:fill="FFFFFF"/>
          <w:lang w:val="en-US" w:eastAsia="zh-CN"/>
        </w:rPr>
        <w:t>2025年我们将从以下几方面改进工作：</w:t>
      </w:r>
    </w:p>
    <w:p w14:paraId="07BDBE0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spacing w:val="0"/>
          <w:sz w:val="32"/>
          <w:szCs w:val="32"/>
          <w:shd w:val="clear" w:fill="FFFFFF"/>
          <w:lang w:val="en-US" w:eastAsia="zh-CN"/>
        </w:rPr>
      </w:pPr>
      <w:r>
        <w:rPr>
          <w:rFonts w:hint="eastAsia" w:ascii="仿宋_GB2312" w:hAnsi="仿宋_GB2312" w:eastAsia="仿宋_GB2312" w:cs="仿宋_GB2312"/>
          <w:b w:val="0"/>
          <w:bCs w:val="0"/>
          <w:spacing w:val="0"/>
          <w:sz w:val="32"/>
          <w:szCs w:val="32"/>
          <w:shd w:val="clear" w:fill="FFFFFF"/>
          <w:lang w:val="en-US" w:eastAsia="zh-CN"/>
        </w:rPr>
        <w:t>一是进一步强化组织领导。定期检查信息质量和成效，动员全局干部及时撰写政务工作信息，主动推送政务工作动态，形成全局横向联动、齐抓共管的信息报送工作格局。</w:t>
      </w:r>
    </w:p>
    <w:p w14:paraId="2380EEF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spacing w:val="0"/>
          <w:sz w:val="32"/>
          <w:szCs w:val="32"/>
          <w:shd w:val="clear" w:fill="FFFFFF"/>
          <w:lang w:val="en-US" w:eastAsia="zh-CN"/>
        </w:rPr>
      </w:pPr>
      <w:r>
        <w:rPr>
          <w:rFonts w:hint="eastAsia" w:ascii="仿宋_GB2312" w:hAnsi="仿宋_GB2312" w:eastAsia="仿宋_GB2312" w:cs="仿宋_GB2312"/>
          <w:b w:val="0"/>
          <w:bCs w:val="0"/>
          <w:spacing w:val="0"/>
          <w:sz w:val="32"/>
          <w:szCs w:val="32"/>
          <w:shd w:val="clear" w:fill="FFFFFF"/>
          <w:lang w:val="en-US" w:eastAsia="zh-CN"/>
        </w:rPr>
        <w:t>二是持续创新政策解读形式，立足企业群众视角开展多层次解读，注重对政策背景、出台目的、重要举措等方面的重点内容解读，提升政策信息公开质量和效益。</w:t>
      </w:r>
    </w:p>
    <w:p w14:paraId="0061F88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spacing w:val="0"/>
          <w:sz w:val="32"/>
          <w:szCs w:val="32"/>
          <w:shd w:val="clear" w:fill="FFFFFF"/>
          <w:lang w:val="en-US" w:eastAsia="zh-CN"/>
        </w:rPr>
      </w:pPr>
      <w:r>
        <w:rPr>
          <w:rFonts w:hint="eastAsia" w:ascii="仿宋_GB2312" w:hAnsi="仿宋_GB2312" w:eastAsia="仿宋_GB2312" w:cs="仿宋_GB2312"/>
          <w:b w:val="0"/>
          <w:bCs w:val="0"/>
          <w:spacing w:val="0"/>
          <w:sz w:val="32"/>
          <w:szCs w:val="32"/>
          <w:shd w:val="clear" w:fill="FFFFFF"/>
          <w:lang w:val="en-US" w:eastAsia="zh-CN"/>
        </w:rPr>
        <w:t>三是抓好信息公开重点内容。重点对商务指标运行、外贸进出口、外资利用、消费提振、电子商务等重点工作进行及时公开，进一步展现商务工作风采和成效。</w:t>
      </w:r>
    </w:p>
    <w:p w14:paraId="7D9D1772">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both"/>
        <w:textAlignment w:val="auto"/>
        <w:rPr>
          <w:rFonts w:hint="eastAsia" w:ascii="黑体" w:hAnsi="黑体" w:eastAsia="黑体" w:cs="黑体"/>
          <w:sz w:val="32"/>
          <w:szCs w:val="32"/>
          <w:shd w:val="clear" w:fill="FFFFFF"/>
          <w:lang w:val="en-US" w:eastAsia="zh-CN"/>
        </w:rPr>
      </w:pPr>
      <w:r>
        <w:rPr>
          <w:rFonts w:hint="eastAsia" w:ascii="黑体" w:hAnsi="黑体" w:eastAsia="黑体" w:cs="黑体"/>
          <w:sz w:val="32"/>
          <w:szCs w:val="32"/>
          <w:shd w:val="clear" w:fill="FFFFFF"/>
          <w:lang w:val="en-US" w:eastAsia="zh-CN"/>
        </w:rPr>
        <w:t>六、其他需要报告的事项</w:t>
      </w:r>
    </w:p>
    <w:p w14:paraId="5BCBE9E6">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0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shd w:val="clear" w:fill="FFFFFF"/>
        </w:rPr>
        <w:t>1.收取信息处理费情况方面。</w:t>
      </w:r>
      <w:r>
        <w:rPr>
          <w:rFonts w:hint="eastAsia" w:ascii="仿宋_GB2312" w:hAnsi="仿宋_GB2312" w:eastAsia="仿宋_GB2312" w:cs="仿宋_GB2312"/>
          <w:spacing w:val="0"/>
          <w:sz w:val="32"/>
          <w:szCs w:val="32"/>
          <w:shd w:val="clear" w:fill="FFFFFF"/>
          <w:lang w:eastAsia="zh-CN"/>
        </w:rPr>
        <w:t>2024年</w:t>
      </w:r>
      <w:r>
        <w:rPr>
          <w:rFonts w:hint="eastAsia" w:ascii="仿宋_GB2312" w:hAnsi="仿宋_GB2312" w:eastAsia="仿宋_GB2312" w:cs="仿宋_GB2312"/>
          <w:spacing w:val="0"/>
          <w:sz w:val="32"/>
          <w:szCs w:val="32"/>
          <w:shd w:val="clear" w:fill="FFFFFF"/>
        </w:rPr>
        <w:t>度，本单位未收取信息处理费；</w:t>
      </w:r>
    </w:p>
    <w:p w14:paraId="40BB554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0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shd w:val="clear" w:fill="FFFFFF"/>
        </w:rPr>
        <w:t>2.落实上级年度政务公开工作要点情况。对照《枣庄市</w:t>
      </w:r>
      <w:r>
        <w:rPr>
          <w:rFonts w:hint="eastAsia" w:ascii="仿宋_GB2312" w:hAnsi="仿宋_GB2312" w:eastAsia="仿宋_GB2312" w:cs="仿宋_GB2312"/>
          <w:spacing w:val="0"/>
          <w:sz w:val="32"/>
          <w:szCs w:val="32"/>
          <w:shd w:val="clear" w:fill="FFFFFF"/>
          <w:lang w:eastAsia="zh-CN"/>
        </w:rPr>
        <w:t>2024年</w:t>
      </w:r>
      <w:r>
        <w:rPr>
          <w:rFonts w:hint="eastAsia" w:ascii="仿宋_GB2312" w:hAnsi="仿宋_GB2312" w:eastAsia="仿宋_GB2312" w:cs="仿宋_GB2312"/>
          <w:spacing w:val="0"/>
          <w:sz w:val="32"/>
          <w:szCs w:val="32"/>
          <w:shd w:val="clear" w:fill="FFFFFF"/>
        </w:rPr>
        <w:t>政务公开政务公开工作要点》和《滕州市</w:t>
      </w:r>
      <w:r>
        <w:rPr>
          <w:rFonts w:hint="eastAsia" w:ascii="仿宋_GB2312" w:hAnsi="仿宋_GB2312" w:eastAsia="仿宋_GB2312" w:cs="仿宋_GB2312"/>
          <w:spacing w:val="0"/>
          <w:sz w:val="32"/>
          <w:szCs w:val="32"/>
          <w:shd w:val="clear" w:fill="FFFFFF"/>
          <w:lang w:eastAsia="zh-CN"/>
        </w:rPr>
        <w:t>2024年</w:t>
      </w:r>
      <w:r>
        <w:rPr>
          <w:rFonts w:hint="eastAsia" w:ascii="仿宋_GB2312" w:hAnsi="仿宋_GB2312" w:eastAsia="仿宋_GB2312" w:cs="仿宋_GB2312"/>
          <w:spacing w:val="0"/>
          <w:sz w:val="32"/>
          <w:szCs w:val="32"/>
          <w:shd w:val="clear" w:fill="FFFFFF"/>
        </w:rPr>
        <w:t>政务公开工作要点》，围绕重点领域信息公开、政策发布解读与回应、政民互动、基层政务公开标准化规范化建设和工作保障和落实逐项明确责任主体和完成时限。</w:t>
      </w:r>
    </w:p>
    <w:p w14:paraId="43E7BBD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0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shd w:val="clear" w:fill="FFFFFF"/>
        </w:rPr>
        <w:t>3.人大代表建议和政协提案办理情况方面。</w:t>
      </w:r>
      <w:r>
        <w:rPr>
          <w:rFonts w:hint="eastAsia" w:ascii="仿宋_GB2312" w:hAnsi="仿宋_GB2312" w:eastAsia="仿宋_GB2312" w:cs="仿宋_GB2312"/>
          <w:spacing w:val="0"/>
          <w:sz w:val="32"/>
          <w:szCs w:val="32"/>
          <w:shd w:val="clear" w:fill="FFFFFF"/>
          <w:lang w:eastAsia="zh-CN"/>
        </w:rPr>
        <w:t>2024年</w:t>
      </w:r>
      <w:r>
        <w:rPr>
          <w:rFonts w:hint="eastAsia" w:ascii="仿宋_GB2312" w:hAnsi="仿宋_GB2312" w:eastAsia="仿宋_GB2312" w:cs="仿宋_GB2312"/>
          <w:spacing w:val="0"/>
          <w:sz w:val="32"/>
          <w:szCs w:val="32"/>
          <w:shd w:val="clear" w:fill="FFFFFF"/>
        </w:rPr>
        <w:t>，市商务和投资促进局承办人大代表建议</w:t>
      </w:r>
      <w:r>
        <w:rPr>
          <w:rFonts w:hint="eastAsia" w:ascii="仿宋_GB2312" w:hAnsi="仿宋_GB2312" w:eastAsia="仿宋_GB2312" w:cs="仿宋_GB2312"/>
          <w:spacing w:val="0"/>
          <w:sz w:val="32"/>
          <w:szCs w:val="32"/>
          <w:shd w:val="clear" w:fill="FFFFFF"/>
          <w:lang w:val="en-US" w:eastAsia="zh-CN"/>
        </w:rPr>
        <w:t>7</w:t>
      </w:r>
      <w:r>
        <w:rPr>
          <w:rFonts w:hint="eastAsia" w:ascii="仿宋_GB2312" w:hAnsi="仿宋_GB2312" w:eastAsia="仿宋_GB2312" w:cs="仿宋_GB2312"/>
          <w:spacing w:val="0"/>
          <w:sz w:val="32"/>
          <w:szCs w:val="32"/>
          <w:shd w:val="clear" w:fill="FFFFFF"/>
        </w:rPr>
        <w:t>件、政协提案</w:t>
      </w:r>
      <w:r>
        <w:rPr>
          <w:rFonts w:hint="eastAsia" w:ascii="仿宋_GB2312" w:hAnsi="仿宋_GB2312" w:eastAsia="仿宋_GB2312" w:cs="仿宋_GB2312"/>
          <w:spacing w:val="0"/>
          <w:sz w:val="32"/>
          <w:szCs w:val="32"/>
          <w:shd w:val="clear" w:fill="FFFFFF"/>
          <w:lang w:val="en-US" w:eastAsia="zh-CN"/>
        </w:rPr>
        <w:t>28</w:t>
      </w:r>
      <w:r>
        <w:rPr>
          <w:rFonts w:hint="eastAsia" w:ascii="仿宋_GB2312" w:hAnsi="仿宋_GB2312" w:eastAsia="仿宋_GB2312" w:cs="仿宋_GB2312"/>
          <w:spacing w:val="0"/>
          <w:sz w:val="32"/>
          <w:szCs w:val="32"/>
          <w:shd w:val="clear" w:fill="FFFFFF"/>
        </w:rPr>
        <w:t>件，均已办结；</w:t>
      </w:r>
    </w:p>
    <w:p w14:paraId="57BCF35D">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0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shd w:val="clear" w:fill="FFFFFF"/>
        </w:rPr>
        <w:t>4.开展政务公开创新方面。开通</w:t>
      </w:r>
      <w:r>
        <w:rPr>
          <w:rFonts w:hint="eastAsia" w:ascii="仿宋_GB2312" w:hAnsi="仿宋_GB2312" w:eastAsia="仿宋_GB2312" w:cs="仿宋_GB2312"/>
          <w:spacing w:val="0"/>
          <w:sz w:val="32"/>
          <w:szCs w:val="32"/>
          <w:shd w:val="clear" w:fill="FFFFFF"/>
          <w:lang w:eastAsia="zh-CN"/>
        </w:rPr>
        <w:t>《</w:t>
      </w:r>
      <w:r>
        <w:rPr>
          <w:rFonts w:hint="eastAsia" w:ascii="仿宋_GB2312" w:hAnsi="仿宋_GB2312" w:eastAsia="仿宋_GB2312" w:cs="仿宋_GB2312"/>
          <w:spacing w:val="0"/>
          <w:sz w:val="32"/>
          <w:szCs w:val="32"/>
          <w:shd w:val="clear" w:fill="FFFFFF"/>
        </w:rPr>
        <w:t>滕州商务</w:t>
      </w:r>
      <w:r>
        <w:rPr>
          <w:rFonts w:hint="eastAsia" w:ascii="仿宋_GB2312" w:hAnsi="仿宋_GB2312" w:eastAsia="仿宋_GB2312" w:cs="仿宋_GB2312"/>
          <w:spacing w:val="0"/>
          <w:sz w:val="32"/>
          <w:szCs w:val="32"/>
          <w:shd w:val="clear" w:fill="FFFFFF"/>
          <w:lang w:eastAsia="zh-CN"/>
        </w:rPr>
        <w:t>》</w:t>
      </w:r>
      <w:r>
        <w:rPr>
          <w:rFonts w:hint="eastAsia" w:ascii="仿宋_GB2312" w:hAnsi="仿宋_GB2312" w:eastAsia="仿宋_GB2312" w:cs="仿宋_GB2312"/>
          <w:spacing w:val="0"/>
          <w:sz w:val="32"/>
          <w:szCs w:val="32"/>
          <w:shd w:val="clear" w:fill="FFFFFF"/>
        </w:rPr>
        <w:t>微信公众号，创新政务公开形式。</w:t>
      </w:r>
    </w:p>
    <w:p w14:paraId="015E6A0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0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shd w:val="clear" w:fill="FFFFFF"/>
        </w:rPr>
        <w:t>5.本单位政府信息公开工作年度报告数据统计需要说明的事项：无</w:t>
      </w:r>
    </w:p>
    <w:p w14:paraId="0E1A738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04"/>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shd w:val="clear" w:fill="FFFFFF"/>
        </w:rPr>
        <w:t>6.其他有关文件专门要求通过政府信息公开工作年度报告予以报告的事项：无</w:t>
      </w:r>
    </w:p>
    <w:p w14:paraId="6B683D8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sz w:val="28"/>
          <w:szCs w:val="28"/>
        </w:rPr>
      </w:pPr>
      <w:r>
        <w:rPr>
          <w:rFonts w:hint="eastAsia" w:ascii="仿宋_GB2312" w:hAnsi="仿宋_GB2312" w:eastAsia="仿宋_GB2312" w:cs="仿宋_GB2312"/>
          <w:spacing w:val="0"/>
          <w:sz w:val="32"/>
          <w:szCs w:val="32"/>
          <w:shd w:val="clear" w:fill="FFFFFF"/>
        </w:rPr>
        <w:t>  7.本报告的电子版可在“中国滕州网”（http://www.tengzhou.gov.cn/）网站查询和下载。如对本报告有任何疑问，请与滕州市商务和投资促进局办公室（研究室）联系。（地址：山东省滕州市北辛中路政务中心</w:t>
      </w:r>
      <w:r>
        <w:rPr>
          <w:rFonts w:hint="eastAsia" w:ascii="仿宋_GB2312" w:hAnsi="仿宋_GB2312" w:eastAsia="仿宋_GB2312" w:cs="仿宋_GB2312"/>
          <w:spacing w:val="0"/>
          <w:sz w:val="32"/>
          <w:szCs w:val="32"/>
          <w:shd w:val="clear" w:fill="FFFFFF"/>
          <w:lang w:val="en-US" w:eastAsia="zh-CN"/>
        </w:rPr>
        <w:t>A</w:t>
      </w:r>
      <w:bookmarkStart w:id="0" w:name="_GoBack"/>
      <w:bookmarkEnd w:id="0"/>
      <w:r>
        <w:rPr>
          <w:rFonts w:hint="eastAsia" w:ascii="仿宋_GB2312" w:hAnsi="仿宋_GB2312" w:eastAsia="仿宋_GB2312" w:cs="仿宋_GB2312"/>
          <w:spacing w:val="0"/>
          <w:sz w:val="32"/>
          <w:szCs w:val="32"/>
          <w:shd w:val="clear" w:fill="FFFFFF"/>
        </w:rPr>
        <w:t>304房间，联系电话：0632—5888304，电子邮箱：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"mailto:tzzwgk@zz.shandong.cn%EF%BC%89%E3%80%82" </w:instrText>
      </w:r>
      <w:r>
        <w:rPr>
          <w:rFonts w:hint="eastAsia" w:ascii="仿宋_GB2312" w:hAnsi="仿宋_GB2312" w:eastAsia="仿宋_GB2312" w:cs="仿宋_GB2312"/>
          <w:sz w:val="32"/>
          <w:szCs w:val="32"/>
        </w:rPr>
        <w:fldChar w:fldCharType="separate"/>
      </w:r>
      <w:r>
        <w:rPr>
          <w:rStyle w:val="8"/>
          <w:rFonts w:hint="eastAsia" w:ascii="仿宋_GB2312" w:hAnsi="仿宋_GB2312" w:eastAsia="仿宋_GB2312" w:cs="仿宋_GB2312"/>
          <w:color w:val="333333"/>
          <w:spacing w:val="0"/>
          <w:sz w:val="32"/>
          <w:szCs w:val="32"/>
          <w:shd w:val="clear" w:fill="FFFFFF"/>
        </w:rPr>
        <w:t>tzwjmj@163.com</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pacing w:val="0"/>
          <w:sz w:val="32"/>
          <w:szCs w:val="32"/>
          <w:shd w:val="clear" w:fill="FFFFFF"/>
        </w:rPr>
        <w:t>）</w:t>
      </w:r>
      <w:r>
        <w:rPr>
          <w:rFonts w:hint="eastAsia" w:ascii="仿宋_GB2312" w:hAnsi="仿宋_GB2312" w:eastAsia="仿宋_GB2312" w:cs="仿宋_GB2312"/>
          <w:sz w:val="32"/>
          <w:szCs w:val="32"/>
        </w:rPr>
        <w:t>   </w:t>
      </w:r>
      <w:r>
        <w:rPr>
          <w:rFonts w:hint="eastAsia" w:ascii="仿宋_GB2312" w:eastAsia="仿宋_GB2312" w:cs="仿宋_GB2312"/>
          <w:sz w:val="28"/>
          <w:szCs w:val="28"/>
        </w:rPr>
        <w:t> </w:t>
      </w:r>
    </w:p>
    <w:p w14:paraId="325A5A9B">
      <w:pPr>
        <w:pStyle w:val="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jc w:val="both"/>
        <w:textAlignment w:val="auto"/>
      </w:pPr>
    </w:p>
    <w:sectPr>
      <w:footerReference r:id="rId3"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12992F-6573-41F3-8BB5-F041CE344B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0921161-F3C0-48E3-84E8-2A7AF1387375}"/>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3" w:fontKey="{8AE956FB-5510-491C-AF3A-6A52AE390FB7}"/>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39C8EE0C-8A8C-49A0-8096-B0A3837F2FC9}"/>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26DD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70DA6">
                          <w:pPr>
                            <w:pStyle w:val="3"/>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E70DA6">
                    <w:pPr>
                      <w:pStyle w:val="3"/>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0FA0D2"/>
    <w:multiLevelType w:val="singleLevel"/>
    <w:tmpl w:val="FA0FA0D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NGQ3ZTMyZTZjNTI2ZGJmZDk4NmNiMTkxZDg1NDEifQ=="/>
  </w:docVars>
  <w:rsids>
    <w:rsidRoot w:val="00000000"/>
    <w:rsid w:val="0031380D"/>
    <w:rsid w:val="00C14B91"/>
    <w:rsid w:val="016814B1"/>
    <w:rsid w:val="01CB0F78"/>
    <w:rsid w:val="02C92423"/>
    <w:rsid w:val="02FE031F"/>
    <w:rsid w:val="030E7E36"/>
    <w:rsid w:val="04C3012D"/>
    <w:rsid w:val="04D72BD5"/>
    <w:rsid w:val="052676B9"/>
    <w:rsid w:val="073562D9"/>
    <w:rsid w:val="07465DF0"/>
    <w:rsid w:val="07C338E5"/>
    <w:rsid w:val="07FB4E2D"/>
    <w:rsid w:val="080C703A"/>
    <w:rsid w:val="08567150"/>
    <w:rsid w:val="09523172"/>
    <w:rsid w:val="0A757631"/>
    <w:rsid w:val="0B5036E2"/>
    <w:rsid w:val="0BCF0AAA"/>
    <w:rsid w:val="0D696CDD"/>
    <w:rsid w:val="0DE545B5"/>
    <w:rsid w:val="0ED40186"/>
    <w:rsid w:val="0F2F360E"/>
    <w:rsid w:val="11A47A44"/>
    <w:rsid w:val="126006AE"/>
    <w:rsid w:val="12AF6F40"/>
    <w:rsid w:val="12C744E4"/>
    <w:rsid w:val="1306440E"/>
    <w:rsid w:val="130F79DE"/>
    <w:rsid w:val="13386F35"/>
    <w:rsid w:val="13750189"/>
    <w:rsid w:val="13DB3D64"/>
    <w:rsid w:val="143A0A8B"/>
    <w:rsid w:val="15602773"/>
    <w:rsid w:val="15653D5E"/>
    <w:rsid w:val="16493207"/>
    <w:rsid w:val="164E4CC1"/>
    <w:rsid w:val="175062B0"/>
    <w:rsid w:val="182061EA"/>
    <w:rsid w:val="1824217E"/>
    <w:rsid w:val="183D3240"/>
    <w:rsid w:val="187622AE"/>
    <w:rsid w:val="19B4308D"/>
    <w:rsid w:val="1A2B77F4"/>
    <w:rsid w:val="1ADA4D76"/>
    <w:rsid w:val="1B2B0976"/>
    <w:rsid w:val="1BA01B1B"/>
    <w:rsid w:val="1BD85D3E"/>
    <w:rsid w:val="1C69015F"/>
    <w:rsid w:val="1CA473E9"/>
    <w:rsid w:val="1CFA525B"/>
    <w:rsid w:val="1E201B9E"/>
    <w:rsid w:val="1EFE2F32"/>
    <w:rsid w:val="1F234F3D"/>
    <w:rsid w:val="206C45C7"/>
    <w:rsid w:val="22405E06"/>
    <w:rsid w:val="22435553"/>
    <w:rsid w:val="226D64CF"/>
    <w:rsid w:val="230518A8"/>
    <w:rsid w:val="23690DB1"/>
    <w:rsid w:val="24165E61"/>
    <w:rsid w:val="2441618A"/>
    <w:rsid w:val="248B7883"/>
    <w:rsid w:val="26551754"/>
    <w:rsid w:val="2670658E"/>
    <w:rsid w:val="28215D92"/>
    <w:rsid w:val="28250763"/>
    <w:rsid w:val="284952E9"/>
    <w:rsid w:val="299802D6"/>
    <w:rsid w:val="2AFB4FC0"/>
    <w:rsid w:val="2B6C37C8"/>
    <w:rsid w:val="2C387AF5"/>
    <w:rsid w:val="2CC82C80"/>
    <w:rsid w:val="2CFA6F40"/>
    <w:rsid w:val="2D1265F1"/>
    <w:rsid w:val="2D884135"/>
    <w:rsid w:val="2DB476A8"/>
    <w:rsid w:val="2E254102"/>
    <w:rsid w:val="2E61338C"/>
    <w:rsid w:val="2F104DB2"/>
    <w:rsid w:val="2F243AEC"/>
    <w:rsid w:val="2F326F6B"/>
    <w:rsid w:val="2F3B34B0"/>
    <w:rsid w:val="2F425D32"/>
    <w:rsid w:val="305667F5"/>
    <w:rsid w:val="30C916BD"/>
    <w:rsid w:val="32A93554"/>
    <w:rsid w:val="337A6C9E"/>
    <w:rsid w:val="33BC2E13"/>
    <w:rsid w:val="33BE2874"/>
    <w:rsid w:val="33E52369"/>
    <w:rsid w:val="33EF4F96"/>
    <w:rsid w:val="35011425"/>
    <w:rsid w:val="354B08F2"/>
    <w:rsid w:val="364610BA"/>
    <w:rsid w:val="364F7F6E"/>
    <w:rsid w:val="36B50719"/>
    <w:rsid w:val="36DA0180"/>
    <w:rsid w:val="372E04CB"/>
    <w:rsid w:val="37CE1DAE"/>
    <w:rsid w:val="383A26CD"/>
    <w:rsid w:val="3846585A"/>
    <w:rsid w:val="38EC5F48"/>
    <w:rsid w:val="392E47B3"/>
    <w:rsid w:val="3AEA64B7"/>
    <w:rsid w:val="3AFA2446"/>
    <w:rsid w:val="3AFB06C4"/>
    <w:rsid w:val="3BED2703"/>
    <w:rsid w:val="3BFB195D"/>
    <w:rsid w:val="3C4F6F1A"/>
    <w:rsid w:val="3C940DD1"/>
    <w:rsid w:val="3D567E34"/>
    <w:rsid w:val="3E94330A"/>
    <w:rsid w:val="3F32042D"/>
    <w:rsid w:val="3F6820A1"/>
    <w:rsid w:val="3FDD2AF8"/>
    <w:rsid w:val="417C1E33"/>
    <w:rsid w:val="44122F0E"/>
    <w:rsid w:val="442742D8"/>
    <w:rsid w:val="444430DC"/>
    <w:rsid w:val="44705C7F"/>
    <w:rsid w:val="45464A47"/>
    <w:rsid w:val="45F75F2C"/>
    <w:rsid w:val="467909EF"/>
    <w:rsid w:val="46BD0F24"/>
    <w:rsid w:val="46FC1A4C"/>
    <w:rsid w:val="47242D51"/>
    <w:rsid w:val="492E6109"/>
    <w:rsid w:val="494B2817"/>
    <w:rsid w:val="49CA4084"/>
    <w:rsid w:val="49DB003F"/>
    <w:rsid w:val="4BFB4538"/>
    <w:rsid w:val="4D295EA4"/>
    <w:rsid w:val="4D6473B4"/>
    <w:rsid w:val="4E4F6905"/>
    <w:rsid w:val="4F442AF1"/>
    <w:rsid w:val="4F9071D6"/>
    <w:rsid w:val="500A3750"/>
    <w:rsid w:val="504C71A8"/>
    <w:rsid w:val="5106297C"/>
    <w:rsid w:val="5164091A"/>
    <w:rsid w:val="52E57838"/>
    <w:rsid w:val="52ED493F"/>
    <w:rsid w:val="539349F0"/>
    <w:rsid w:val="547D1CF3"/>
    <w:rsid w:val="557E1851"/>
    <w:rsid w:val="55C37BD9"/>
    <w:rsid w:val="57C70491"/>
    <w:rsid w:val="585C67EF"/>
    <w:rsid w:val="58A67A6A"/>
    <w:rsid w:val="58BE3005"/>
    <w:rsid w:val="58C3686E"/>
    <w:rsid w:val="594F3C5E"/>
    <w:rsid w:val="597827FF"/>
    <w:rsid w:val="5A511C57"/>
    <w:rsid w:val="5AA3444B"/>
    <w:rsid w:val="5B4E6197"/>
    <w:rsid w:val="5B5F2276"/>
    <w:rsid w:val="5B9718EC"/>
    <w:rsid w:val="5BA302C2"/>
    <w:rsid w:val="5BF50713"/>
    <w:rsid w:val="5C62639E"/>
    <w:rsid w:val="5D551A5E"/>
    <w:rsid w:val="5D885B92"/>
    <w:rsid w:val="5DB22A0D"/>
    <w:rsid w:val="5DDD2180"/>
    <w:rsid w:val="5E1436C8"/>
    <w:rsid w:val="5FA36AB1"/>
    <w:rsid w:val="5FAD16DE"/>
    <w:rsid w:val="604A33D1"/>
    <w:rsid w:val="611A0FF5"/>
    <w:rsid w:val="63584057"/>
    <w:rsid w:val="63FF44D2"/>
    <w:rsid w:val="64F13BAE"/>
    <w:rsid w:val="655645C6"/>
    <w:rsid w:val="65D35F9E"/>
    <w:rsid w:val="66926769"/>
    <w:rsid w:val="67466C0A"/>
    <w:rsid w:val="67A26502"/>
    <w:rsid w:val="67DD0FCE"/>
    <w:rsid w:val="6AB73D58"/>
    <w:rsid w:val="6BD149A6"/>
    <w:rsid w:val="6BE91CF0"/>
    <w:rsid w:val="6C9A123C"/>
    <w:rsid w:val="6CD04C5E"/>
    <w:rsid w:val="6EAE5472"/>
    <w:rsid w:val="6F23376B"/>
    <w:rsid w:val="6F737553"/>
    <w:rsid w:val="6F741481"/>
    <w:rsid w:val="6FB410D2"/>
    <w:rsid w:val="70C04FE9"/>
    <w:rsid w:val="710B3DC7"/>
    <w:rsid w:val="71C805F9"/>
    <w:rsid w:val="72C26D78"/>
    <w:rsid w:val="73247AB1"/>
    <w:rsid w:val="73880040"/>
    <w:rsid w:val="75EA7003"/>
    <w:rsid w:val="77043E82"/>
    <w:rsid w:val="77642B72"/>
    <w:rsid w:val="77AE0291"/>
    <w:rsid w:val="77ED700C"/>
    <w:rsid w:val="785859A5"/>
    <w:rsid w:val="79D20E2A"/>
    <w:rsid w:val="7B220199"/>
    <w:rsid w:val="7B3F6139"/>
    <w:rsid w:val="7B3F7B7E"/>
    <w:rsid w:val="7B66335D"/>
    <w:rsid w:val="7B7517F2"/>
    <w:rsid w:val="7BF24BF0"/>
    <w:rsid w:val="7C3C6C20"/>
    <w:rsid w:val="7C772F6E"/>
    <w:rsid w:val="7E370FE0"/>
    <w:rsid w:val="7E6416AA"/>
    <w:rsid w:val="7FC52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pc\Desktop\&#24037;&#20316;&#25253;&#21578;%20&#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baseline="0">
                <a:solidFill>
                  <a:schemeClr val="tx1">
                    <a:lumMod val="75000"/>
                    <a:lumOff val="25000"/>
                  </a:schemeClr>
                </a:solidFill>
                <a:latin typeface="方正小标宋简体" panose="03000509000000000000" charset="-122"/>
                <a:ea typeface="方正小标宋简体" panose="03000509000000000000" charset="-122"/>
                <a:cs typeface="方正小标宋简体" panose="03000509000000000000" charset="-122"/>
                <a:sym typeface="方正小标宋简体" panose="03000509000000000000" charset="-122"/>
              </a:defRPr>
            </a:pPr>
            <a:r>
              <a:rPr b="0">
                <a:latin typeface="方正小标宋简体" panose="03000509000000000000" charset="-122"/>
                <a:ea typeface="方正小标宋简体" panose="03000509000000000000" charset="-122"/>
                <a:cs typeface="方正小标宋简体" panose="03000509000000000000" charset="-122"/>
                <a:sym typeface="方正小标宋简体" panose="03000509000000000000" charset="-122"/>
              </a:rPr>
              <a:t>主动公开信息</a:t>
            </a:r>
            <a:endParaRPr b="0">
              <a:latin typeface="方正小标宋简体" panose="03000509000000000000" charset="-122"/>
              <a:ea typeface="方正小标宋简体" panose="03000509000000000000" charset="-122"/>
              <a:cs typeface="方正小标宋简体" panose="03000509000000000000" charset="-122"/>
              <a:sym typeface="方正小标宋简体" panose="03000509000000000000" charset="-122"/>
            </a:endParaRPr>
          </a:p>
        </c:rich>
      </c:tx>
      <c:layout/>
      <c:overlay val="0"/>
      <c:spPr>
        <a:noFill/>
        <a:ln>
          <a:noFill/>
        </a:ln>
        <a:effectLst/>
      </c:spPr>
    </c:title>
    <c:autoTitleDeleted val="0"/>
    <c:plotArea>
      <c:layout/>
      <c:pieChart>
        <c:varyColors val="1"/>
        <c:ser>
          <c:idx val="1"/>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Lbls>
            <c:dLbl>
              <c:idx val="0"/>
              <c:layout>
                <c:manualLayout>
                  <c:x val="0.0373686259244842"/>
                  <c:y val="0.0324032403240324"/>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1"/>
              <c:layout>
                <c:manualLayout>
                  <c:x val="0.116776956014013"/>
                  <c:y val="0.00432043204320432"/>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0.0653950953678474"/>
                  <c:y val="0.0345634563456346"/>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3"/>
              <c:layout>
                <c:manualLayout>
                  <c:x val="0.0326975476839238"/>
                  <c:y val="0.0604860486048605"/>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4"/>
              <c:layout>
                <c:manualLayout>
                  <c:x val="0.0607240171272869"/>
                  <c:y val="0"/>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5"/>
              <c:layout>
                <c:manualLayout>
                  <c:x val="-0.0205263157894737"/>
                  <c:y val="-0.0169082125603865"/>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6"/>
              <c:layout>
                <c:manualLayout>
                  <c:x val="-0.112105263157895"/>
                  <c:y val="0.0289855072463768"/>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方正小标宋简体" panose="03000509000000000000" charset="-122"/>
                    <a:ea typeface="方正小标宋简体" panose="03000509000000000000" charset="-122"/>
                    <a:cs typeface="方正小标宋简体" panose="03000509000000000000" charset="-122"/>
                    <a:sym typeface="方正小标宋简体" panose="03000509000000000000" charset="-122"/>
                  </a:defRPr>
                </a:pPr>
              </a:p>
            </c:txPr>
            <c:dLblPos val="outEnd"/>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'[工作报告 数据.xlsx]Sheet1'!$A$2:$A$8</c:f>
              <c:strCache>
                <c:ptCount val="7"/>
                <c:pt idx="0">
                  <c:v>通知公告</c:v>
                </c:pt>
                <c:pt idx="1">
                  <c:v>规划计划信息</c:v>
                </c:pt>
                <c:pt idx="2">
                  <c:v>财政信息</c:v>
                </c:pt>
                <c:pt idx="3">
                  <c:v>行政权力信息</c:v>
                </c:pt>
                <c:pt idx="4">
                  <c:v>建议提案信息</c:v>
                </c:pt>
                <c:pt idx="5">
                  <c:v>重大民生信息</c:v>
                </c:pt>
                <c:pt idx="6">
                  <c:v>组织管理信息</c:v>
                </c:pt>
              </c:strCache>
            </c:strRef>
          </c:cat>
          <c:val>
            <c:numRef>
              <c:f>'[工作报告 数据.xlsx]Sheet1'!$B$2:$B$8</c:f>
              <c:numCache>
                <c:formatCode>General</c:formatCode>
                <c:ptCount val="7"/>
                <c:pt idx="0">
                  <c:v>7</c:v>
                </c:pt>
                <c:pt idx="1">
                  <c:v>1</c:v>
                </c:pt>
                <c:pt idx="2">
                  <c:v>4</c:v>
                </c:pt>
                <c:pt idx="3">
                  <c:v>2</c:v>
                </c:pt>
                <c:pt idx="4">
                  <c:v>36</c:v>
                </c:pt>
                <c:pt idx="5">
                  <c:v>18</c:v>
                </c:pt>
                <c:pt idx="6">
                  <c:v>7</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2ad3adf6-a78b-484c-9fe7-e8d63d4c4ee1}"/>
      </c:ext>
    </c:extLst>
  </c:chart>
  <c:spPr>
    <a:solidFill>
      <a:schemeClr val="bg1"/>
    </a:solidFill>
    <a:ln w="9525" cap="flat" cmpd="sng" algn="ctr">
      <a:solidFill>
        <a:schemeClr val="tx1">
          <a:lumMod val="50000"/>
          <a:lumOff val="50000"/>
          <a:alpha val="25000"/>
        </a:schemeClr>
      </a:solidFill>
      <a:round/>
    </a:ln>
    <a:effectLst/>
  </c:spPr>
  <c:txPr>
    <a:bodyPr/>
    <a:lstStyle/>
    <a:p>
      <a:pPr>
        <a:defRPr lang="zh-CN" b="0">
          <a:solidFill>
            <a:schemeClr val="tx1">
              <a:lumMod val="75000"/>
              <a:lumOff val="25000"/>
            </a:schemeClr>
          </a:solidFill>
          <a:latin typeface="方正小标宋简体" panose="03000509000000000000" charset="-122"/>
          <a:ea typeface="方正小标宋简体" panose="03000509000000000000" charset="-122"/>
          <a:cs typeface="方正小标宋简体" panose="03000509000000000000" charset="-122"/>
          <a:sym typeface="方正小标宋简体" panose="03000509000000000000"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1349</Words>
  <Characters>1398</Characters>
  <Lines>0</Lines>
  <Paragraphs>0</Paragraphs>
  <TotalTime>78</TotalTime>
  <ScaleCrop>false</ScaleCrop>
  <LinksUpToDate>false</LinksUpToDate>
  <CharactersWithSpaces>1398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2023-02-08T09:33:00Z</dcterms:created>
  <dc:creator>pc</dc:creator>
  <cp:lastModifiedBy>王丽</cp:lastModifiedBy>
  <dcterms:modified xsi:type="dcterms:W3CDTF">2025-01-13T09:52:55Z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7D1E6E7880094ACEA66E5CDEB190A50E_13</vt:lpwstr>
  </property>
  <property fmtid="{D5CDD505-2E9C-101B-9397-08002B2CF9AE}" pid="4" name="KSOTemplateDocerSaveRecord">
    <vt:lpwstr>eyJoZGlkIjoiMjY5NGQ3ZTMyZTZjNTI2ZGJmZDk4NmNiMTkxZDg1NDEiLCJ1c2VySWQiOiIzMDc3NzMwOTUifQ==</vt:lpwstr>
  </property>
</Properties>
</file>