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38D95">
      <w:pPr>
        <w:keepNext w:val="0"/>
        <w:keepLines w:val="0"/>
        <w:pageBreakBefore w:val="0"/>
        <w:kinsoku/>
        <w:overflowPunct/>
        <w:topLinePunct w:val="0"/>
        <w:autoSpaceDE/>
        <w:autoSpaceDN/>
        <w:bidi w:val="0"/>
        <w:adjustRightInd/>
        <w:snapToGrid/>
        <w:spacing w:after="10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滕州市张汪镇人民政府</w:t>
      </w:r>
    </w:p>
    <w:p w14:paraId="76EC573C">
      <w:pPr>
        <w:keepNext w:val="0"/>
        <w:keepLines w:val="0"/>
        <w:pageBreakBefore w:val="0"/>
        <w:kinsoku/>
        <w:overflowPunct/>
        <w:topLinePunct w:val="0"/>
        <w:autoSpaceDE/>
        <w:autoSpaceDN/>
        <w:bidi w:val="0"/>
        <w:adjustRightInd/>
        <w:snapToGrid/>
        <w:spacing w:after="10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2024年度信息公开工作年度报告</w:t>
      </w:r>
    </w:p>
    <w:p w14:paraId="7EF01003">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0" w:firstLineChars="200"/>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根据《中华人民共和国政府信息公开条例》，以及有关文件要求，结合滕州市张汪镇人民政府2024年度信息公开工作实际，编制了本报告。报告主要包括：总体情况、主动公开政府信息情况、收到和处理政府信息公开申请情况、建议提案办理公开情况、存在的主要问题及改进情况、其他需要报告的事项等。本报告所列数据的统计时限自2024年1月1日起至2024年12月31日止。</w:t>
      </w:r>
    </w:p>
    <w:p w14:paraId="06C5F962">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jc w:val="center"/>
        <w:textAlignment w:val="auto"/>
        <w:rPr>
          <w:rFonts w:hint="eastAsia" w:ascii="黑体" w:hAnsi="黑体" w:eastAsia="黑体" w:cs="Arial"/>
          <w:color w:val="000000"/>
          <w:kern w:val="0"/>
          <w:sz w:val="32"/>
          <w:szCs w:val="32"/>
        </w:rPr>
      </w:pPr>
      <w:r>
        <w:rPr>
          <w:rFonts w:ascii="Arial" w:hAnsi="Arial" w:eastAsia="宋体" w:cs="Arial"/>
          <w:color w:val="000000"/>
          <w:kern w:val="0"/>
          <w:sz w:val="27"/>
          <w:szCs w:val="27"/>
        </w:rPr>
        <w:drawing>
          <wp:inline distT="0" distB="0" distL="0" distR="0">
            <wp:extent cx="5267325" cy="4523740"/>
            <wp:effectExtent l="0" t="0" r="9525" b="10160"/>
            <wp:docPr id="12" name="图片 12" descr="D:\我的文档\Documents\WeChat Files\wxid_euh54d61v47222\FileStorage\Temp\1736127488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我的文档\Documents\WeChat Files\wxid_euh54d61v47222\FileStorage\Temp\1736127488776.png"/>
                    <pic:cNvPicPr>
                      <a:picLocks noChangeAspect="1" noChangeArrowheads="1"/>
                    </pic:cNvPicPr>
                  </pic:nvPicPr>
                  <pic:blipFill>
                    <a:blip r:embed="rId6"/>
                    <a:srcRect/>
                    <a:stretch>
                      <a:fillRect/>
                    </a:stretch>
                  </pic:blipFill>
                  <pic:spPr>
                    <a:xfrm>
                      <a:off x="0" y="0"/>
                      <a:ext cx="5274313" cy="4523740"/>
                    </a:xfrm>
                    <a:prstGeom prst="rect">
                      <a:avLst/>
                    </a:prstGeom>
                    <a:noFill/>
                    <a:ln w="9525">
                      <a:noFill/>
                      <a:miter lim="800000"/>
                      <a:headEnd/>
                      <a:tailEnd/>
                    </a:ln>
                  </pic:spPr>
                </pic:pic>
              </a:graphicData>
            </a:graphic>
          </wp:inline>
        </w:drawing>
      </w:r>
    </w:p>
    <w:p w14:paraId="02699E4D">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hint="eastAsia" w:ascii="黑体" w:hAnsi="黑体" w:eastAsia="黑体" w:cs="Arial"/>
          <w:color w:val="000000"/>
          <w:kern w:val="0"/>
          <w:sz w:val="32"/>
          <w:szCs w:val="32"/>
        </w:rPr>
      </w:pPr>
      <w:r>
        <w:rPr>
          <w:rFonts w:hint="eastAsia" w:ascii="黑体" w:hAnsi="黑体" w:eastAsia="黑体" w:cs="Arial"/>
          <w:color w:val="000000"/>
          <w:kern w:val="0"/>
          <w:sz w:val="32"/>
          <w:szCs w:val="32"/>
        </w:rPr>
        <w:t>一、总体情况</w:t>
      </w:r>
    </w:p>
    <w:p w14:paraId="39A119A6">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2024年以来，张汪镇坚持以习近平新时代中国特色社会主义思想为指导，树牢为民服务宗旨，高度重视政府信息公开工作，认真贯彻落实《中华人民共和国政府信息公开条例》和省、市政府信息公开工作会议精神，全面深入推进政府信息公开工作，坚持把政府信息公开工作作为规范行业作风，促进依法行政的重要举措来抓。完善信息公开组织机构建设，深化政府信息公开内容，规范政府信息公开程序，切实保障群众的知情权、参与权和监督权。</w:t>
      </w:r>
    </w:p>
    <w:p w14:paraId="401A27F5">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jc w:val="center"/>
        <w:textAlignment w:val="auto"/>
        <w:rPr>
          <w:rFonts w:hint="eastAsia" w:ascii="仿宋" w:hAnsi="仿宋" w:eastAsia="仿宋" w:cs="Arial"/>
          <w:color w:val="000000"/>
          <w:kern w:val="0"/>
          <w:sz w:val="27"/>
          <w:szCs w:val="27"/>
        </w:rPr>
      </w:pPr>
      <w:r>
        <w:rPr>
          <w:rFonts w:ascii="仿宋" w:hAnsi="仿宋" w:eastAsia="仿宋" w:cs="Arial"/>
          <w:color w:val="000000"/>
          <w:kern w:val="0"/>
          <w:sz w:val="27"/>
          <w:szCs w:val="27"/>
        </w:rPr>
        <w:drawing>
          <wp:inline distT="0" distB="0" distL="0" distR="0">
            <wp:extent cx="5299710" cy="4400550"/>
            <wp:effectExtent l="0" t="0" r="0" b="0"/>
            <wp:docPr id="13" name="图片 13" descr="D:\我的文档\Documents\WeChat Files\wxid_euh54d61v47222\FileStorage\Temp\1736127629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我的文档\Documents\WeChat Files\wxid_euh54d61v47222\FileStorage\Temp\1736127629807.jpg"/>
                    <pic:cNvPicPr>
                      <a:picLocks noChangeAspect="1" noChangeArrowheads="1"/>
                    </pic:cNvPicPr>
                  </pic:nvPicPr>
                  <pic:blipFill>
                    <a:blip r:embed="rId7"/>
                    <a:srcRect/>
                    <a:stretch>
                      <a:fillRect/>
                    </a:stretch>
                  </pic:blipFill>
                  <pic:spPr>
                    <a:xfrm>
                      <a:off x="0" y="0"/>
                      <a:ext cx="5321763" cy="4418861"/>
                    </a:xfrm>
                    <a:prstGeom prst="rect">
                      <a:avLst/>
                    </a:prstGeom>
                    <a:noFill/>
                    <a:ln w="9525">
                      <a:noFill/>
                      <a:miter lim="800000"/>
                      <a:headEnd/>
                      <a:tailEnd/>
                    </a:ln>
                  </pic:spPr>
                </pic:pic>
              </a:graphicData>
            </a:graphic>
          </wp:inline>
        </w:drawing>
      </w:r>
    </w:p>
    <w:p w14:paraId="138A6625">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楷体" w:hAnsi="楷体" w:eastAsia="楷体" w:cs="Arial"/>
          <w:b/>
          <w:color w:val="000000"/>
          <w:kern w:val="0"/>
          <w:sz w:val="32"/>
          <w:szCs w:val="32"/>
        </w:rPr>
      </w:pPr>
      <w:r>
        <w:rPr>
          <w:rFonts w:hint="eastAsia" w:ascii="楷体" w:hAnsi="楷体" w:eastAsia="楷体" w:cs="Arial"/>
          <w:b/>
          <w:color w:val="000000"/>
          <w:kern w:val="0"/>
          <w:sz w:val="32"/>
          <w:szCs w:val="32"/>
        </w:rPr>
        <w:t>（一）主动公开情况</w:t>
      </w:r>
    </w:p>
    <w:p w14:paraId="755B21A6">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建立规范的公开及时公开政府信息，力争做到数量提高、公开及时、填报规范、内容全面。重点公开政策文件、规划计划、组织管理和政府信息年度报告等，认真总结政务公开工作经验，及时报送经验材料。2024年，通过滕州市人民政府官网张汪镇人民政府栏目发布信息137条，通过微信微博公众号发布信息957条，线下张贴65条。通过滕州市人民政府官网信息公开页面主动公开政府信息数20条，其中，通知公告6条，政策文件1条，规划计划3条，组织管理7条，公开基本目录3条。</w:t>
      </w:r>
    </w:p>
    <w:p w14:paraId="1B7E60E1">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216"/>
        <w:jc w:val="center"/>
        <w:textAlignment w:val="auto"/>
        <w:rPr>
          <w:rFonts w:ascii="Arial" w:hAnsi="Arial" w:eastAsia="宋体" w:cs="Arial"/>
          <w:color w:val="000000"/>
          <w:kern w:val="0"/>
          <w:sz w:val="27"/>
          <w:szCs w:val="27"/>
        </w:rPr>
      </w:pPr>
      <w:r>
        <w:rPr>
          <w:rFonts w:ascii="Arial" w:hAnsi="Arial" w:eastAsia="宋体" w:cs="Arial"/>
          <w:color w:val="000000"/>
          <w:kern w:val="0"/>
          <w:sz w:val="27"/>
          <w:szCs w:val="27"/>
        </w:rPr>
        <w:drawing>
          <wp:inline distT="0" distB="0" distL="0" distR="0">
            <wp:extent cx="3118485" cy="2905125"/>
            <wp:effectExtent l="0" t="0" r="0" b="0"/>
            <wp:docPr id="11" name="图片 11" descr="D:\我的文档\Documents\WeChat Files\wxid_euh54d61v47222\FileStorage\Temp\065c9e7cd75598cd3225cfab3f1ad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我的文档\Documents\WeChat Files\wxid_euh54d61v47222\FileStorage\Temp\065c9e7cd75598cd3225cfab3f1ada7.png"/>
                    <pic:cNvPicPr>
                      <a:picLocks noChangeAspect="1" noChangeArrowheads="1"/>
                    </pic:cNvPicPr>
                  </pic:nvPicPr>
                  <pic:blipFill>
                    <a:blip r:embed="rId8"/>
                    <a:srcRect/>
                    <a:stretch>
                      <a:fillRect/>
                    </a:stretch>
                  </pic:blipFill>
                  <pic:spPr>
                    <a:xfrm>
                      <a:off x="0" y="0"/>
                      <a:ext cx="3154817" cy="2938702"/>
                    </a:xfrm>
                    <a:prstGeom prst="rect">
                      <a:avLst/>
                    </a:prstGeom>
                    <a:noFill/>
                    <a:ln w="9525">
                      <a:noFill/>
                      <a:miter lim="800000"/>
                      <a:headEnd/>
                      <a:tailEnd/>
                    </a:ln>
                  </pic:spPr>
                </pic:pic>
              </a:graphicData>
            </a:graphic>
          </wp:inline>
        </w:drawing>
      </w:r>
    </w:p>
    <w:p w14:paraId="32CF0989">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楷体" w:hAnsi="楷体" w:eastAsia="楷体" w:cs="Arial"/>
          <w:b/>
          <w:bCs/>
          <w:color w:val="000000"/>
          <w:kern w:val="0"/>
          <w:sz w:val="32"/>
          <w:szCs w:val="32"/>
        </w:rPr>
      </w:pPr>
      <w:r>
        <w:rPr>
          <w:rFonts w:hint="eastAsia" w:ascii="楷体" w:hAnsi="楷体" w:eastAsia="楷体" w:cs="Arial"/>
          <w:b/>
          <w:bCs/>
          <w:color w:val="000000"/>
          <w:kern w:val="0"/>
          <w:sz w:val="32"/>
          <w:szCs w:val="32"/>
        </w:rPr>
        <w:t>（二）政府信息依申请公开的办理情况</w:t>
      </w:r>
    </w:p>
    <w:p w14:paraId="4F20E406">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坚持“归口办理、依法有据、严谨规范、慎重稳妥”的原则，完善受理、审查、处理、答复以及保存备查等各环节流程，保证政府信息依申请公开渠道畅通、流程科学，依法保障公民、法人和其他组织获取政府信息的权利，真正提升效能、服务于民。2024年，向镇政府申请的政府信息公开事项0件，与往年相比，数量有所下降。未出现因政府信息公开工作产生行政复议和行政诉讼。</w:t>
      </w:r>
    </w:p>
    <w:p w14:paraId="057259DE">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楷体" w:hAnsi="楷体" w:eastAsia="楷体" w:cs="Arial"/>
          <w:color w:val="000000"/>
          <w:kern w:val="0"/>
          <w:sz w:val="32"/>
          <w:szCs w:val="32"/>
        </w:rPr>
      </w:pPr>
      <w:r>
        <w:rPr>
          <w:rFonts w:hint="eastAsia" w:ascii="楷体" w:hAnsi="楷体" w:eastAsia="楷体" w:cs="Arial"/>
          <w:b/>
          <w:bCs/>
          <w:color w:val="000000"/>
          <w:kern w:val="0"/>
          <w:sz w:val="32"/>
          <w:szCs w:val="32"/>
        </w:rPr>
        <w:t>（三）政府信息管理情况</w:t>
      </w:r>
    </w:p>
    <w:p w14:paraId="31FD25DA">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2024年，张汪镇进一步规范主动公开政府信息、依申请公开政府信息等操作流程，严格把关政府信息公开内容审查，建立工作考核、社会评议和责任追究等监督保障机制，同时还召开了政务公开工作培训会议。2024年度无违反规定和失泄密情况。</w:t>
      </w:r>
    </w:p>
    <w:p w14:paraId="1A7AEBC7">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216"/>
        <w:jc w:val="both"/>
        <w:textAlignment w:val="auto"/>
        <w:rPr>
          <w:rFonts w:ascii="Arial" w:hAnsi="Arial" w:eastAsia="宋体" w:cs="Arial"/>
          <w:color w:val="000000"/>
          <w:kern w:val="0"/>
          <w:sz w:val="27"/>
          <w:szCs w:val="27"/>
        </w:rPr>
      </w:pPr>
      <w:r>
        <w:rPr>
          <w:rFonts w:ascii="Arial" w:hAnsi="Arial" w:eastAsia="宋体" w:cs="Arial"/>
          <w:color w:val="000000"/>
          <w:kern w:val="0"/>
          <w:sz w:val="27"/>
          <w:szCs w:val="27"/>
        </w:rPr>
        <w:drawing>
          <wp:inline distT="0" distB="0" distL="0" distR="0">
            <wp:extent cx="5046980" cy="3409950"/>
            <wp:effectExtent l="0" t="0" r="1270" b="0"/>
            <wp:docPr id="14" name="图片 14" descr="D:\我的文档\Documents\WeChat Files\wxid_euh54d61v47222\FileStorage\Temp\ca8d088606c3c93ba7f8ba0ea44a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我的文档\Documents\WeChat Files\wxid_euh54d61v47222\FileStorage\Temp\ca8d088606c3c93ba7f8ba0ea44a458.jpg"/>
                    <pic:cNvPicPr>
                      <a:picLocks noChangeAspect="1" noChangeArrowheads="1"/>
                    </pic:cNvPicPr>
                  </pic:nvPicPr>
                  <pic:blipFill>
                    <a:blip r:embed="rId9"/>
                    <a:srcRect/>
                    <a:stretch>
                      <a:fillRect/>
                    </a:stretch>
                  </pic:blipFill>
                  <pic:spPr>
                    <a:xfrm>
                      <a:off x="0" y="0"/>
                      <a:ext cx="5046980" cy="3428497"/>
                    </a:xfrm>
                    <a:prstGeom prst="rect">
                      <a:avLst/>
                    </a:prstGeom>
                    <a:noFill/>
                    <a:ln w="9525">
                      <a:noFill/>
                      <a:miter lim="800000"/>
                      <a:headEnd/>
                      <a:tailEnd/>
                    </a:ln>
                  </pic:spPr>
                </pic:pic>
              </a:graphicData>
            </a:graphic>
          </wp:inline>
        </w:drawing>
      </w:r>
    </w:p>
    <w:p w14:paraId="25DF7760">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楷体" w:hAnsi="楷体" w:eastAsia="楷体" w:cs="Arial"/>
          <w:color w:val="000000"/>
          <w:kern w:val="0"/>
          <w:sz w:val="32"/>
          <w:szCs w:val="32"/>
        </w:rPr>
      </w:pPr>
      <w:r>
        <w:rPr>
          <w:rFonts w:hint="eastAsia" w:ascii="楷体" w:hAnsi="楷体" w:eastAsia="楷体" w:cs="Arial"/>
          <w:b/>
          <w:bCs/>
          <w:color w:val="000000"/>
          <w:kern w:val="0"/>
          <w:sz w:val="32"/>
          <w:szCs w:val="32"/>
        </w:rPr>
        <w:t>（四）政府信息平台建设情况</w:t>
      </w:r>
    </w:p>
    <w:p w14:paraId="708D298B">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加强网站内容建设，规范栏目设置，做好政务公开网站与微信、微博公众号的联动关系，及时全面的面向社会推送张汪镇的社会发展成果。通过微信、微博公众号及时收集社情民意，及时回答并解决公众关心的热点、难点、焦点问题，增强公众对政府的信任度。建立张汪镇为民服务中心、大宗村政务公开体验区，开展政府开放日等相关活动，提升群众政务公开参与度。</w:t>
      </w:r>
    </w:p>
    <w:p w14:paraId="07FD207F">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jc w:val="center"/>
        <w:textAlignment w:val="auto"/>
        <w:rPr>
          <w:rFonts w:ascii="Arial" w:hAnsi="Arial" w:eastAsia="宋体" w:cs="Arial"/>
          <w:color w:val="000000"/>
          <w:kern w:val="0"/>
          <w:sz w:val="27"/>
          <w:szCs w:val="27"/>
        </w:rPr>
      </w:pPr>
      <w:r>
        <w:rPr>
          <w:rFonts w:ascii="Arial" w:hAnsi="Arial" w:eastAsia="宋体" w:cs="Arial"/>
          <w:color w:val="000000"/>
          <w:kern w:val="0"/>
          <w:sz w:val="27"/>
          <w:szCs w:val="27"/>
        </w:rPr>
        <w:drawing>
          <wp:inline distT="0" distB="0" distL="0" distR="0">
            <wp:extent cx="2682875" cy="4552950"/>
            <wp:effectExtent l="0" t="0" r="0" b="0"/>
            <wp:docPr id="15" name="图片 15" descr="D:\我的文档\Documents\WeChat Files\wxid_euh54d61v47222\FileStorage\Temp\19989fcac223c24c205dc77b5794a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我的文档\Documents\WeChat Files\wxid_euh54d61v47222\FileStorage\Temp\19989fcac223c24c205dc77b5794aae.jpg"/>
                    <pic:cNvPicPr>
                      <a:picLocks noChangeAspect="1" noChangeArrowheads="1"/>
                    </pic:cNvPicPr>
                  </pic:nvPicPr>
                  <pic:blipFill>
                    <a:blip r:embed="rId10" cstate="print"/>
                    <a:srcRect/>
                    <a:stretch>
                      <a:fillRect/>
                    </a:stretch>
                  </pic:blipFill>
                  <pic:spPr>
                    <a:xfrm>
                      <a:off x="0" y="0"/>
                      <a:ext cx="2688360" cy="4562259"/>
                    </a:xfrm>
                    <a:prstGeom prst="rect">
                      <a:avLst/>
                    </a:prstGeom>
                    <a:noFill/>
                    <a:ln w="9525">
                      <a:noFill/>
                      <a:miter lim="800000"/>
                      <a:headEnd/>
                      <a:tailEnd/>
                    </a:ln>
                  </pic:spPr>
                </pic:pic>
              </a:graphicData>
            </a:graphic>
          </wp:inline>
        </w:drawing>
      </w:r>
    </w:p>
    <w:p w14:paraId="4321DE4E">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jc w:val="center"/>
        <w:textAlignment w:val="auto"/>
        <w:rPr>
          <w:rFonts w:ascii="Arial" w:hAnsi="Arial" w:eastAsia="宋体" w:cs="Arial"/>
          <w:color w:val="000000"/>
          <w:kern w:val="0"/>
          <w:sz w:val="27"/>
          <w:szCs w:val="27"/>
        </w:rPr>
      </w:pPr>
      <w:r>
        <w:rPr>
          <w:rFonts w:ascii="Arial" w:hAnsi="Arial" w:eastAsia="宋体" w:cs="Arial"/>
          <w:color w:val="000000"/>
          <w:kern w:val="0"/>
          <w:sz w:val="27"/>
          <w:szCs w:val="27"/>
        </w:rPr>
        <w:drawing>
          <wp:inline distT="0" distB="0" distL="0" distR="0">
            <wp:extent cx="5132705" cy="3086100"/>
            <wp:effectExtent l="0" t="0" r="10795" b="0"/>
            <wp:docPr id="5" name="图片 5" descr="http://172.20.24.4/webpic/W0202401/W020240126/W020240126469868886747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172.20.24.4/webpic/W0202401/W020240126/W020240126469868886747_ORIGIN.jpg"/>
                    <pic:cNvPicPr>
                      <a:picLocks noChangeAspect="1" noChangeArrowheads="1"/>
                    </pic:cNvPicPr>
                  </pic:nvPicPr>
                  <pic:blipFill>
                    <a:blip r:embed="rId11"/>
                    <a:srcRect/>
                    <a:stretch>
                      <a:fillRect/>
                    </a:stretch>
                  </pic:blipFill>
                  <pic:spPr>
                    <a:xfrm>
                      <a:off x="0" y="0"/>
                      <a:ext cx="5132705" cy="3086100"/>
                    </a:xfrm>
                    <a:prstGeom prst="rect">
                      <a:avLst/>
                    </a:prstGeom>
                    <a:noFill/>
                    <a:ln w="9525">
                      <a:noFill/>
                      <a:miter lim="800000"/>
                      <a:headEnd/>
                      <a:tailEnd/>
                    </a:ln>
                  </pic:spPr>
                </pic:pic>
              </a:graphicData>
            </a:graphic>
          </wp:inline>
        </w:drawing>
      </w:r>
    </w:p>
    <w:p w14:paraId="5C24F40C">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48"/>
        <w:jc w:val="left"/>
        <w:textAlignment w:val="auto"/>
        <w:rPr>
          <w:rFonts w:hint="eastAsia" w:ascii="楷体" w:hAnsi="楷体" w:eastAsia="楷体" w:cs="Arial"/>
          <w:color w:val="000000"/>
          <w:kern w:val="0"/>
          <w:sz w:val="32"/>
          <w:szCs w:val="32"/>
        </w:rPr>
      </w:pPr>
      <w:r>
        <w:rPr>
          <w:rFonts w:hint="eastAsia" w:ascii="楷体" w:hAnsi="楷体" w:eastAsia="楷体" w:cs="Arial"/>
          <w:b/>
          <w:bCs/>
          <w:color w:val="000000"/>
          <w:kern w:val="0"/>
          <w:sz w:val="32"/>
          <w:szCs w:val="32"/>
        </w:rPr>
        <w:t>（五）监督保障情况</w:t>
      </w:r>
    </w:p>
    <w:p w14:paraId="0838F621">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建立政府信息公开工作考核制度和责任追究制度，严格信息发布流程，定期对政府信息公开工作进行考核。接受群众监督，线上信息公开网站和线下宣传栏公布监督反馈电话和邮箱，发布意见征求稿，向社会公众征求意见。2024年度未进行社会评议，未发生责任追究情况。</w:t>
      </w:r>
    </w:p>
    <w:p w14:paraId="7D678992">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27"/>
          <w:szCs w:val="27"/>
        </w:rPr>
      </w:pPr>
      <w:r>
        <w:rPr>
          <w:rFonts w:hint="eastAsia" w:ascii="黑体" w:hAnsi="黑体" w:eastAsia="黑体" w:cs="Arial"/>
          <w:color w:val="000000"/>
          <w:kern w:val="0"/>
          <w:sz w:val="32"/>
          <w:szCs w:val="32"/>
        </w:rPr>
        <w:t>二、主动公开政府信息情况</w:t>
      </w:r>
    </w:p>
    <w:tbl>
      <w:tblPr>
        <w:tblStyle w:val="4"/>
        <w:tblW w:w="8805"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2032"/>
        <w:gridCol w:w="2047"/>
        <w:gridCol w:w="2047"/>
        <w:gridCol w:w="2679"/>
      </w:tblGrid>
      <w:tr w14:paraId="4224063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trPr>
        <w:tc>
          <w:tcPr>
            <w:tcW w:w="8580" w:type="dxa"/>
            <w:gridSpan w:val="4"/>
            <w:tcBorders>
              <w:top w:val="single" w:color="000000" w:sz="8" w:space="0"/>
              <w:left w:val="single" w:color="000000" w:sz="8" w:space="0"/>
              <w:bottom w:val="single" w:color="000000" w:sz="8" w:space="0"/>
              <w:right w:val="single" w:color="000000" w:sz="8" w:space="0"/>
            </w:tcBorders>
            <w:shd w:val="clear" w:color="auto" w:fill="C6D9F1"/>
            <w:tcMar>
              <w:top w:w="0" w:type="dxa"/>
              <w:left w:w="115" w:type="dxa"/>
              <w:bottom w:w="0" w:type="dxa"/>
              <w:right w:w="115" w:type="dxa"/>
            </w:tcMar>
            <w:vAlign w:val="center"/>
          </w:tcPr>
          <w:p w14:paraId="3EBAF5B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color w:val="000000"/>
                <w:kern w:val="0"/>
                <w:sz w:val="24"/>
                <w:szCs w:val="24"/>
              </w:rPr>
              <w:t>第二十条第（一）项</w:t>
            </w:r>
          </w:p>
        </w:tc>
      </w:tr>
      <w:tr w14:paraId="3AB1E93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24B5C2A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1995" w:type="dxa"/>
            <w:tcBorders>
              <w:top w:val="nil"/>
              <w:left w:val="nil"/>
              <w:bottom w:val="single" w:color="000000" w:sz="8" w:space="0"/>
              <w:right w:val="single" w:color="000000" w:sz="8" w:space="0"/>
            </w:tcBorders>
            <w:tcMar>
              <w:top w:w="0" w:type="dxa"/>
              <w:left w:w="0" w:type="dxa"/>
              <w:bottom w:w="0" w:type="dxa"/>
              <w:right w:w="115" w:type="dxa"/>
            </w:tcMar>
            <w:vAlign w:val="center"/>
          </w:tcPr>
          <w:p w14:paraId="4427B8D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本年制发件数</w:t>
            </w:r>
          </w:p>
        </w:tc>
        <w:tc>
          <w:tcPr>
            <w:tcW w:w="1995"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59CD3C4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本年废止件数</w:t>
            </w:r>
          </w:p>
        </w:tc>
        <w:tc>
          <w:tcPr>
            <w:tcW w:w="1980"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3E171A1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现行有效件数</w:t>
            </w:r>
          </w:p>
        </w:tc>
      </w:tr>
      <w:tr w14:paraId="029525F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49B46BFB">
            <w:pPr>
              <w:keepNext w:val="0"/>
              <w:keepLines w:val="0"/>
              <w:pageBreakBefore w:val="0"/>
              <w:widowControl/>
              <w:kinsoku/>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规章</w:t>
            </w:r>
          </w:p>
        </w:tc>
        <w:tc>
          <w:tcPr>
            <w:tcW w:w="1995" w:type="dxa"/>
            <w:tcBorders>
              <w:top w:val="nil"/>
              <w:left w:val="nil"/>
              <w:bottom w:val="single" w:color="000000" w:sz="8" w:space="0"/>
              <w:right w:val="single" w:color="000000" w:sz="8" w:space="0"/>
            </w:tcBorders>
            <w:tcMar>
              <w:top w:w="0" w:type="dxa"/>
              <w:left w:w="0" w:type="dxa"/>
              <w:bottom w:w="0" w:type="dxa"/>
              <w:right w:w="115" w:type="dxa"/>
            </w:tcMar>
            <w:vAlign w:val="center"/>
          </w:tcPr>
          <w:p w14:paraId="032ABC0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c>
          <w:tcPr>
            <w:tcW w:w="1995"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2C4C824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c>
          <w:tcPr>
            <w:tcW w:w="1980"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0F7D9F4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r w14:paraId="6D8A7C0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513FF202">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行政规范性文件</w:t>
            </w:r>
          </w:p>
        </w:tc>
        <w:tc>
          <w:tcPr>
            <w:tcW w:w="1995" w:type="dxa"/>
            <w:tcBorders>
              <w:top w:val="nil"/>
              <w:left w:val="nil"/>
              <w:bottom w:val="single" w:color="000000" w:sz="8" w:space="0"/>
              <w:right w:val="single" w:color="000000" w:sz="8" w:space="0"/>
            </w:tcBorders>
            <w:tcMar>
              <w:top w:w="0" w:type="dxa"/>
              <w:left w:w="0" w:type="dxa"/>
              <w:bottom w:w="0" w:type="dxa"/>
              <w:right w:w="115" w:type="dxa"/>
            </w:tcMar>
            <w:vAlign w:val="center"/>
          </w:tcPr>
          <w:p w14:paraId="763B3B7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c>
          <w:tcPr>
            <w:tcW w:w="1995"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2784ABD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c>
          <w:tcPr>
            <w:tcW w:w="1980"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54411A8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r w14:paraId="5DF0B98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8580" w:type="dxa"/>
            <w:gridSpan w:val="4"/>
            <w:tcBorders>
              <w:top w:val="single" w:color="000000" w:sz="8" w:space="0"/>
              <w:left w:val="single" w:color="000000" w:sz="8" w:space="0"/>
              <w:bottom w:val="single" w:color="000000" w:sz="8" w:space="0"/>
              <w:right w:val="single" w:color="000000" w:sz="8" w:space="0"/>
            </w:tcBorders>
            <w:shd w:val="clear" w:color="auto" w:fill="C6D9F1"/>
            <w:tcMar>
              <w:top w:w="0" w:type="dxa"/>
              <w:left w:w="115" w:type="dxa"/>
              <w:bottom w:w="0" w:type="dxa"/>
              <w:right w:w="115" w:type="dxa"/>
            </w:tcMar>
            <w:vAlign w:val="center"/>
          </w:tcPr>
          <w:p w14:paraId="175F936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color w:val="000000"/>
                <w:kern w:val="0"/>
                <w:sz w:val="24"/>
                <w:szCs w:val="24"/>
              </w:rPr>
              <w:t>第二十条第（五）项</w:t>
            </w:r>
          </w:p>
        </w:tc>
      </w:tr>
      <w:tr w14:paraId="36ECBA7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7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2F51BD7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32D5267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本年处理决定数量</w:t>
            </w:r>
          </w:p>
        </w:tc>
      </w:tr>
      <w:tr w14:paraId="71806BB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621F5952">
            <w:pPr>
              <w:keepNext w:val="0"/>
              <w:keepLines w:val="0"/>
              <w:pageBreakBefore w:val="0"/>
              <w:widowControl/>
              <w:kinsoku/>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行政许可</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7577BB2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r w14:paraId="20E8E52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8580" w:type="dxa"/>
            <w:gridSpan w:val="4"/>
            <w:tcBorders>
              <w:top w:val="single" w:color="000000" w:sz="8" w:space="0"/>
              <w:left w:val="single" w:color="000000" w:sz="8" w:space="0"/>
              <w:bottom w:val="single" w:color="000000" w:sz="8" w:space="0"/>
              <w:right w:val="single" w:color="000000" w:sz="8" w:space="0"/>
            </w:tcBorders>
            <w:shd w:val="clear" w:color="auto" w:fill="C6D9F1"/>
            <w:tcMar>
              <w:top w:w="0" w:type="dxa"/>
              <w:left w:w="115" w:type="dxa"/>
              <w:bottom w:w="0" w:type="dxa"/>
              <w:right w:w="115" w:type="dxa"/>
            </w:tcMar>
            <w:vAlign w:val="center"/>
          </w:tcPr>
          <w:p w14:paraId="0929665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color w:val="000000"/>
                <w:kern w:val="0"/>
                <w:sz w:val="24"/>
                <w:szCs w:val="24"/>
              </w:rPr>
              <w:t>第二十条第（六）项</w:t>
            </w:r>
          </w:p>
        </w:tc>
      </w:tr>
      <w:tr w14:paraId="54220BB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3862E6A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2B84437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本年处理决定数量</w:t>
            </w:r>
          </w:p>
        </w:tc>
      </w:tr>
      <w:tr w14:paraId="6A94EB8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382E4108">
            <w:pPr>
              <w:keepNext w:val="0"/>
              <w:keepLines w:val="0"/>
              <w:pageBreakBefore w:val="0"/>
              <w:widowControl/>
              <w:kinsoku/>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行政处罚</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50FE6D6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r w14:paraId="76F1EB3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1852808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行政强制</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6E452C0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r w14:paraId="0503FC8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8580" w:type="dxa"/>
            <w:gridSpan w:val="4"/>
            <w:tcBorders>
              <w:top w:val="single" w:color="000000" w:sz="8" w:space="0"/>
              <w:left w:val="single" w:color="000000" w:sz="8" w:space="0"/>
              <w:bottom w:val="single" w:color="000000" w:sz="8" w:space="0"/>
              <w:right w:val="single" w:color="000000" w:sz="8" w:space="0"/>
            </w:tcBorders>
            <w:shd w:val="clear" w:color="auto" w:fill="C6D9F1"/>
            <w:tcMar>
              <w:top w:w="0" w:type="dxa"/>
              <w:left w:w="115" w:type="dxa"/>
              <w:bottom w:w="0" w:type="dxa"/>
              <w:right w:w="115" w:type="dxa"/>
            </w:tcMar>
            <w:vAlign w:val="center"/>
          </w:tcPr>
          <w:p w14:paraId="2A89FEE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color w:val="000000"/>
                <w:kern w:val="0"/>
                <w:sz w:val="24"/>
                <w:szCs w:val="24"/>
              </w:rPr>
              <w:t>第二十条第（八）项</w:t>
            </w:r>
          </w:p>
        </w:tc>
      </w:tr>
      <w:tr w14:paraId="3801DE0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14E2C0E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信息内容</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266F903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本年收费金额（单位：万元）</w:t>
            </w:r>
          </w:p>
        </w:tc>
      </w:tr>
      <w:tr w14:paraId="468519E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trPr>
        <w:tc>
          <w:tcPr>
            <w:tcW w:w="1980"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38523836">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color w:val="000000"/>
                <w:kern w:val="0"/>
                <w:sz w:val="24"/>
                <w:szCs w:val="24"/>
              </w:rPr>
              <w:t>行政事业性收费</w:t>
            </w:r>
          </w:p>
        </w:tc>
        <w:tc>
          <w:tcPr>
            <w:tcW w:w="6390" w:type="dxa"/>
            <w:gridSpan w:val="3"/>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61025EF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 w:hAnsi="仿宋" w:eastAsia="仿宋" w:cs="宋体"/>
                <w:kern w:val="0"/>
                <w:sz w:val="24"/>
                <w:szCs w:val="24"/>
              </w:rPr>
              <w:t>0</w:t>
            </w:r>
          </w:p>
        </w:tc>
      </w:tr>
    </w:tbl>
    <w:p w14:paraId="2B8498D5">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ascii="Arial" w:hAnsi="Arial" w:eastAsia="宋体" w:cs="Arial"/>
          <w:color w:val="000000"/>
          <w:kern w:val="0"/>
          <w:sz w:val="27"/>
          <w:szCs w:val="27"/>
        </w:rPr>
      </w:pPr>
      <w:r>
        <w:rPr>
          <w:rFonts w:hint="eastAsia" w:ascii="黑体" w:hAnsi="黑体" w:eastAsia="黑体" w:cs="Arial"/>
          <w:color w:val="000000"/>
          <w:kern w:val="0"/>
          <w:sz w:val="32"/>
          <w:szCs w:val="32"/>
        </w:rPr>
        <w:t>三、收到和处理政府信息公开申请情况</w:t>
      </w:r>
    </w:p>
    <w:tbl>
      <w:tblPr>
        <w:tblStyle w:val="4"/>
        <w:tblW w:w="952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710"/>
        <w:gridCol w:w="1609"/>
        <w:gridCol w:w="2820"/>
        <w:gridCol w:w="700"/>
        <w:gridCol w:w="497"/>
        <w:gridCol w:w="497"/>
        <w:gridCol w:w="663"/>
        <w:gridCol w:w="622"/>
        <w:gridCol w:w="595"/>
        <w:gridCol w:w="812"/>
      </w:tblGrid>
      <w:tr w14:paraId="0480424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5040" w:type="dxa"/>
            <w:gridSpan w:val="3"/>
            <w:vMerge w:val="restart"/>
            <w:tcBorders>
              <w:top w:val="single" w:color="000000" w:sz="8" w:space="0"/>
              <w:left w:val="single" w:color="000000" w:sz="8" w:space="0"/>
              <w:bottom w:val="single" w:color="000000" w:sz="6" w:space="0"/>
              <w:right w:val="single" w:color="000000" w:sz="6" w:space="0"/>
            </w:tcBorders>
            <w:tcMar>
              <w:top w:w="0" w:type="dxa"/>
              <w:left w:w="115" w:type="dxa"/>
              <w:bottom w:w="0" w:type="dxa"/>
              <w:right w:w="115" w:type="dxa"/>
            </w:tcMar>
            <w:vAlign w:val="center"/>
          </w:tcPr>
          <w:p w14:paraId="27A4DA4C">
            <w:pPr>
              <w:keepNext w:val="0"/>
              <w:keepLines w:val="0"/>
              <w:pageBreakBefore w:val="0"/>
              <w:widowControl/>
              <w:kinsoku/>
              <w:wordWrap w:val="0"/>
              <w:overflowPunct/>
              <w:topLinePunct w:val="0"/>
              <w:autoSpaceDE/>
              <w:autoSpaceDN/>
              <w:bidi w:val="0"/>
              <w:adjustRightInd/>
              <w:snapToGrid/>
              <w:spacing w:after="100" w:afterAutospacing="0" w:line="360" w:lineRule="atLeast"/>
              <w:textAlignment w:val="auto"/>
              <w:rPr>
                <w:rFonts w:hint="eastAsia" w:ascii="宋体" w:hAnsi="宋体" w:eastAsia="宋体" w:cs="宋体"/>
                <w:kern w:val="0"/>
                <w:sz w:val="24"/>
                <w:szCs w:val="24"/>
              </w:rPr>
            </w:pPr>
            <w:r>
              <w:rPr>
                <w:rFonts w:hint="eastAsia" w:ascii="楷体_GB2312" w:hAnsi="宋体" w:eastAsia="楷体_GB2312" w:cs="宋体"/>
                <w:kern w:val="0"/>
                <w:sz w:val="24"/>
                <w:szCs w:val="24"/>
              </w:rPr>
              <w:t>（本列数据的勾稽关系为：第一项加第二项之和，等于第三项加第四项之和）</w:t>
            </w:r>
          </w:p>
        </w:tc>
        <w:tc>
          <w:tcPr>
            <w:tcW w:w="4410" w:type="dxa"/>
            <w:gridSpan w:val="7"/>
            <w:tcBorders>
              <w:top w:val="single" w:color="000000" w:sz="8"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E4A788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申请人情况</w:t>
            </w:r>
          </w:p>
        </w:tc>
      </w:tr>
      <w:tr w14:paraId="7174A0D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95" w:hRule="atLeast"/>
          <w:jc w:val="center"/>
        </w:trPr>
        <w:tc>
          <w:tcPr>
            <w:tcW w:w="0" w:type="auto"/>
            <w:gridSpan w:val="3"/>
            <w:vMerge w:val="continue"/>
            <w:tcBorders>
              <w:top w:val="single" w:color="000000" w:sz="8" w:space="0"/>
              <w:left w:val="single" w:color="000000" w:sz="8" w:space="0"/>
              <w:bottom w:val="single" w:color="000000" w:sz="6" w:space="0"/>
              <w:right w:val="single" w:color="000000" w:sz="6" w:space="0"/>
            </w:tcBorders>
            <w:vAlign w:val="center"/>
          </w:tcPr>
          <w:p w14:paraId="3FB05534">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720" w:type="dxa"/>
            <w:vMerge w:val="restart"/>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2D89DF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自然人</w:t>
            </w:r>
          </w:p>
        </w:tc>
        <w:tc>
          <w:tcPr>
            <w:tcW w:w="2970" w:type="dxa"/>
            <w:gridSpan w:val="5"/>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9EF951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法人或其他组织</w:t>
            </w:r>
          </w:p>
        </w:tc>
        <w:tc>
          <w:tcPr>
            <w:tcW w:w="660" w:type="dxa"/>
            <w:vMerge w:val="restart"/>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1821F0D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总计</w:t>
            </w:r>
          </w:p>
        </w:tc>
      </w:tr>
      <w:tr w14:paraId="7AAD61B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409" w:hRule="atLeast"/>
          <w:jc w:val="center"/>
        </w:trPr>
        <w:tc>
          <w:tcPr>
            <w:tcW w:w="0" w:type="auto"/>
            <w:gridSpan w:val="3"/>
            <w:vMerge w:val="continue"/>
            <w:tcBorders>
              <w:top w:val="single" w:color="000000" w:sz="8" w:space="0"/>
              <w:left w:val="single" w:color="000000" w:sz="8" w:space="0"/>
              <w:bottom w:val="single" w:color="000000" w:sz="6" w:space="0"/>
              <w:right w:val="single" w:color="000000" w:sz="6" w:space="0"/>
            </w:tcBorders>
            <w:vAlign w:val="center"/>
          </w:tcPr>
          <w:p w14:paraId="345F6874">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924531C">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15AE6A9">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商业企业</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9866AC1">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科研机构</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4B2C12F">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社会公益组织</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F99BD27">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法律服务机构</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E725BFD">
            <w:pPr>
              <w:keepNext w:val="0"/>
              <w:keepLines w:val="0"/>
              <w:pageBreakBefore w:val="0"/>
              <w:widowControl/>
              <w:kinsoku/>
              <w:wordWrap w:val="0"/>
              <w:overflowPunct/>
              <w:topLinePunct w:val="0"/>
              <w:autoSpaceDE/>
              <w:autoSpaceDN/>
              <w:bidi w:val="0"/>
              <w:adjustRightInd/>
              <w:snapToGrid/>
              <w:spacing w:after="100" w:afterAutospacing="0" w:line="360" w:lineRule="atLeast"/>
              <w:ind w:left="-58"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其他</w:t>
            </w:r>
          </w:p>
        </w:tc>
        <w:tc>
          <w:tcPr>
            <w:tcW w:w="0" w:type="auto"/>
            <w:vMerge w:val="continue"/>
            <w:tcBorders>
              <w:top w:val="single" w:color="000000" w:sz="6" w:space="0"/>
              <w:left w:val="single" w:color="000000" w:sz="6" w:space="0"/>
              <w:bottom w:val="single" w:color="000000" w:sz="6" w:space="0"/>
              <w:right w:val="single" w:color="000000" w:sz="8" w:space="0"/>
            </w:tcBorders>
            <w:vAlign w:val="center"/>
          </w:tcPr>
          <w:p w14:paraId="4984C969">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r>
      <w:tr w14:paraId="2D2BA7F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5040" w:type="dxa"/>
            <w:gridSpan w:val="3"/>
            <w:tcBorders>
              <w:top w:val="single" w:color="000000" w:sz="6" w:space="0"/>
              <w:left w:val="single" w:color="000000" w:sz="8" w:space="0"/>
              <w:bottom w:val="single" w:color="000000" w:sz="6" w:space="0"/>
              <w:right w:val="single" w:color="000000" w:sz="6" w:space="0"/>
            </w:tcBorders>
            <w:tcMar>
              <w:top w:w="0" w:type="dxa"/>
              <w:left w:w="115" w:type="dxa"/>
              <w:bottom w:w="0" w:type="dxa"/>
              <w:right w:w="115" w:type="dxa"/>
            </w:tcMar>
            <w:vAlign w:val="center"/>
          </w:tcPr>
          <w:p w14:paraId="0941BA0D">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0" w:name="_Hlk66973412"/>
            <w:bookmarkEnd w:id="0"/>
            <w:r>
              <w:rPr>
                <w:rFonts w:hint="eastAsia" w:ascii="黑体" w:hAnsi="黑体" w:eastAsia="黑体" w:cs="宋体"/>
                <w:kern w:val="0"/>
                <w:sz w:val="24"/>
                <w:szCs w:val="24"/>
              </w:rPr>
              <w:t>一、本年新收政府信息公开申请数量</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A320A5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6A0301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7E8FC3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885D05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A98368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468DAB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DCE455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0D66BA8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5040" w:type="dxa"/>
            <w:gridSpan w:val="3"/>
            <w:tcBorders>
              <w:top w:val="single" w:color="000000" w:sz="6" w:space="0"/>
              <w:left w:val="single" w:color="000000" w:sz="8" w:space="0"/>
              <w:bottom w:val="single" w:color="000000" w:sz="6" w:space="0"/>
              <w:right w:val="single" w:color="000000" w:sz="6" w:space="0"/>
            </w:tcBorders>
            <w:tcMar>
              <w:top w:w="0" w:type="dxa"/>
              <w:left w:w="115" w:type="dxa"/>
              <w:bottom w:w="0" w:type="dxa"/>
              <w:right w:w="115" w:type="dxa"/>
            </w:tcMar>
            <w:vAlign w:val="center"/>
          </w:tcPr>
          <w:p w14:paraId="714FB6E3">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二、上年结转政府信息公开申请数量</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B11F9E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CD9D5C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9AAB16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1EE5D7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767520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9DB69F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42A507C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4FFA7CB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375" w:type="dxa"/>
            <w:vMerge w:val="restart"/>
            <w:tcBorders>
              <w:top w:val="single" w:color="000000" w:sz="6" w:space="0"/>
              <w:left w:val="single" w:color="000000" w:sz="8" w:space="0"/>
              <w:bottom w:val="single" w:color="000000" w:sz="6" w:space="0"/>
              <w:right w:val="single" w:color="000000" w:sz="6" w:space="0"/>
            </w:tcBorders>
            <w:tcMar>
              <w:top w:w="0" w:type="dxa"/>
              <w:left w:w="115" w:type="dxa"/>
              <w:bottom w:w="0" w:type="dxa"/>
              <w:right w:w="115" w:type="dxa"/>
            </w:tcMar>
            <w:vAlign w:val="center"/>
          </w:tcPr>
          <w:p w14:paraId="6DA70DA2">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三、本年度办理结果</w:t>
            </w:r>
          </w:p>
        </w:tc>
        <w:tc>
          <w:tcPr>
            <w:tcW w:w="4635"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3935244">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（一）予以公开</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FB323D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7A9C75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DC81BB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EE6014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25070C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517513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489AEF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58F0026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7DF3D42F">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4635"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71AE4DC">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1" w:name="_Hlk66973981"/>
            <w:bookmarkEnd w:id="1"/>
            <w:r>
              <w:rPr>
                <w:rFonts w:hint="eastAsia" w:ascii="黑体" w:hAnsi="黑体" w:eastAsia="黑体" w:cs="宋体"/>
                <w:kern w:val="0"/>
                <w:sz w:val="24"/>
                <w:szCs w:val="24"/>
              </w:rPr>
              <w:t>（二）部分公开（区分处理的，只计这一情形，不计其他情形）</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6A24B9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64B98A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DAED23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5519C0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3555EE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62A661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15A6351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6C65F5F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186"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71EBF64A">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1665" w:type="dxa"/>
            <w:vMerge w:val="restart"/>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FF41085">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（三）不予公开</w:t>
            </w: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F8F6305">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1.属于国家秘密</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33B2C0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6976AE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BC9269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82E90E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67321A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0843ED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144C443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0CFB5B0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59686186">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18FF411">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29AFED0">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2" w:name="_Hlk66974104"/>
            <w:bookmarkEnd w:id="2"/>
            <w:r>
              <w:rPr>
                <w:rFonts w:hint="eastAsia" w:ascii="仿宋_GB2312" w:hAnsi="宋体" w:eastAsia="仿宋_GB2312" w:cs="宋体"/>
                <w:kern w:val="0"/>
                <w:sz w:val="24"/>
                <w:szCs w:val="24"/>
              </w:rPr>
              <w:t>2.其他法律行政法规禁止公开</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BCB51F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BC4E6C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0A69AC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EF4D59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1A87BB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5B9179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870A3F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4C1D11D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22188112">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64FC72E">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5CDD1D3">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3.危及“三安全一稳定”</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1890A0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2A2DC7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B1024F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1FDEF0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70DCC2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2F31B0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05CE966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0F3B46D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5280BCA2">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D42CBAB">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068E7C6">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3" w:name="_Hlk66974290"/>
            <w:bookmarkEnd w:id="3"/>
            <w:r>
              <w:rPr>
                <w:rFonts w:hint="eastAsia" w:ascii="仿宋_GB2312" w:hAnsi="宋体" w:eastAsia="仿宋_GB2312" w:cs="宋体"/>
                <w:kern w:val="0"/>
                <w:sz w:val="24"/>
                <w:szCs w:val="24"/>
              </w:rPr>
              <w:t>4.保护第三方合法权益</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C92F6D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6FE891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B793CB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610039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EF4F39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55EABA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2E61B70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39F491D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1271D90D">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5077E6C">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591243C">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5.属于三类内部事务信息</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BCCB5C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2E59E7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41D25C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FF9CCB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061676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F23BAD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5B74942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091386D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403676A5">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972BE03">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8B7472E">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4" w:name="_Hlk66974555"/>
            <w:bookmarkEnd w:id="4"/>
            <w:r>
              <w:rPr>
                <w:rFonts w:hint="eastAsia" w:ascii="仿宋_GB2312" w:hAnsi="宋体" w:eastAsia="仿宋_GB2312" w:cs="宋体"/>
                <w:kern w:val="0"/>
                <w:sz w:val="24"/>
                <w:szCs w:val="24"/>
              </w:rPr>
              <w:t>6.属于四类过程性信息</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3AB1FB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E84DEC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BF171E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E5BA34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152FF7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D046C3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1842B28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569A058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5DED572E">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375B61C">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1EF1590">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7.属于行政执法案卷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0C5456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99C0A6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431887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D517DC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6EDAA4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4300F9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206EC08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222E422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4D7C009F">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9BE3450">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5927912">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5" w:name="_Hlk66975211"/>
            <w:bookmarkEnd w:id="5"/>
            <w:r>
              <w:rPr>
                <w:rFonts w:hint="eastAsia" w:ascii="仿宋_GB2312" w:hAnsi="宋体" w:eastAsia="仿宋_GB2312" w:cs="宋体"/>
                <w:kern w:val="0"/>
                <w:sz w:val="24"/>
                <w:szCs w:val="24"/>
              </w:rPr>
              <w:t>8.属于行政查询事项</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0C6343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2CAB32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43E580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71B176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0F0C33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EE5A03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09458B0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52F07E6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273"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345FAF7D">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1665" w:type="dxa"/>
            <w:vMerge w:val="restart"/>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F715D1A">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（四）无法提供</w:t>
            </w: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CB5EACE">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1.本机关不掌握相关政府信息</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246BFF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D8D880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D25EB5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A997B1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42658B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99744E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99E384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6E01361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7F36A035">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7BEF678">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CA38136">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6" w:name="_Hlk66975392"/>
            <w:bookmarkEnd w:id="6"/>
            <w:r>
              <w:rPr>
                <w:rFonts w:hint="eastAsia" w:ascii="仿宋_GB2312" w:hAnsi="宋体" w:eastAsia="仿宋_GB2312" w:cs="宋体"/>
                <w:kern w:val="0"/>
                <w:sz w:val="24"/>
                <w:szCs w:val="24"/>
              </w:rPr>
              <w:t>2.没有现成信息需要另行制作</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5F307F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3648DE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6FBB0C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F07F5A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685435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F02052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63339F5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5BF61F1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257"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42FBAC7D">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0E7D2110">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DC87860">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7" w:name="_Hlk66975466"/>
            <w:bookmarkEnd w:id="7"/>
            <w:r>
              <w:rPr>
                <w:rFonts w:hint="eastAsia" w:ascii="仿宋_GB2312" w:hAnsi="宋体" w:eastAsia="仿宋_GB2312" w:cs="宋体"/>
                <w:kern w:val="0"/>
                <w:sz w:val="24"/>
                <w:szCs w:val="24"/>
              </w:rPr>
              <w:t>3.补正后申请内容仍不明确</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EAA593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7F3792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039BD2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300688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36BBC2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096C8F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0A6F84F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313A00E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6AA88C00">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1665" w:type="dxa"/>
            <w:vMerge w:val="restart"/>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A66E6F8">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（五）不予处理</w:t>
            </w: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7059C46">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bookmarkStart w:id="8" w:name="_Hlk66975537"/>
            <w:bookmarkEnd w:id="8"/>
            <w:r>
              <w:rPr>
                <w:rFonts w:hint="eastAsia" w:ascii="仿宋_GB2312" w:hAnsi="宋体" w:eastAsia="仿宋_GB2312" w:cs="宋体"/>
                <w:kern w:val="0"/>
                <w:sz w:val="24"/>
                <w:szCs w:val="24"/>
              </w:rPr>
              <w:t>1.信访举报投诉类申请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04F34E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4D1C58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384E3D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3066C3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27D028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810E27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5548432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6A0F6B3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609"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6F9156B4">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F6EC028">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F19C880">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2.重复申请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F0C362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976F0F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FDCDE1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47A45D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A35C8E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0C9D93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497FE20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20B2077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1F0BAACE">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06B4889">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976859E">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3.要求提供公开出版物</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5DDD10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C796A2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3CD255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842257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961655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AFAEF2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499B295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1DBA4D3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502D559E">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1B3A1381">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B11545C">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4.无正当理由大量反复申请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3909FA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AD47ED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3CFD1E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7458CF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DF854F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A07125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4E94426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1CE0F79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1381"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608C3DCA">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6EAC85F8">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095103F">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5.要求行政机关确认或重新出具已获取信息</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F858F5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3F7910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2079B8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F3F4A7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77E9095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86BAC4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63B9081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50A6D9D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4E91162B">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1665" w:type="dxa"/>
            <w:vMerge w:val="restart"/>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351411E">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（六）其他处理</w:t>
            </w:r>
          </w:p>
        </w:tc>
        <w:tc>
          <w:tcPr>
            <w:tcW w:w="294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16269D64">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1.申请人无正当理由逾期不补正、行政机关不再处理其政府信息公开申请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B77F51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741851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2782C5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3FB3B49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E2957D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4EDCD3D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708C458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217FE83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276"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31AA0901">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6DD1872">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7301821F">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2.申请人逾期未按收费通知要求缴纳费用、行政机关不再处理其政府信息公开申请</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14290E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68133C4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78678F3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047E7C4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36C1D7A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51182F9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4" w:type="dxa"/>
              <w:bottom w:w="0" w:type="dxa"/>
              <w:right w:w="14" w:type="dxa"/>
            </w:tcMar>
            <w:vAlign w:val="center"/>
          </w:tcPr>
          <w:p w14:paraId="3C5C384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3F50442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456"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2E2AE402">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5B129A7A">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294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5249637D">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3.其他</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C31C8B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2DAD466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40FBB02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34A7B82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787B40A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4" w:type="dxa"/>
              <w:bottom w:w="0" w:type="dxa"/>
              <w:right w:w="14" w:type="dxa"/>
            </w:tcMar>
            <w:vAlign w:val="center"/>
          </w:tcPr>
          <w:p w14:paraId="3EF7D51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4" w:type="dxa"/>
              <w:bottom w:w="0" w:type="dxa"/>
              <w:right w:w="14" w:type="dxa"/>
            </w:tcMar>
            <w:vAlign w:val="center"/>
          </w:tcPr>
          <w:p w14:paraId="3FD4A477">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43B7C7E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83" w:hRule="atLeast"/>
          <w:jc w:val="center"/>
        </w:trPr>
        <w:tc>
          <w:tcPr>
            <w:tcW w:w="0" w:type="auto"/>
            <w:vMerge w:val="continue"/>
            <w:tcBorders>
              <w:top w:val="single" w:color="000000" w:sz="6" w:space="0"/>
              <w:left w:val="single" w:color="000000" w:sz="8" w:space="0"/>
              <w:bottom w:val="single" w:color="000000" w:sz="6" w:space="0"/>
              <w:right w:val="single" w:color="000000" w:sz="6" w:space="0"/>
            </w:tcBorders>
            <w:vAlign w:val="center"/>
          </w:tcPr>
          <w:p w14:paraId="257A1815">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4635" w:type="dxa"/>
            <w:gridSpan w:val="2"/>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FC3A69D">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（七）总计</w:t>
            </w:r>
          </w:p>
        </w:tc>
        <w:tc>
          <w:tcPr>
            <w:tcW w:w="72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2AE8A9E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088196D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BD37C2C">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6FC18D8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1624CAC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6" w:space="0"/>
              <w:right w:val="single" w:color="000000" w:sz="6" w:space="0"/>
            </w:tcBorders>
            <w:tcMar>
              <w:top w:w="0" w:type="dxa"/>
              <w:left w:w="115" w:type="dxa"/>
              <w:bottom w:w="0" w:type="dxa"/>
              <w:right w:w="115" w:type="dxa"/>
            </w:tcMar>
            <w:vAlign w:val="center"/>
          </w:tcPr>
          <w:p w14:paraId="53989083">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6" w:space="0"/>
              <w:right w:val="single" w:color="000000" w:sz="8" w:space="0"/>
            </w:tcBorders>
            <w:tcMar>
              <w:top w:w="0" w:type="dxa"/>
              <w:left w:w="115" w:type="dxa"/>
              <w:bottom w:w="0" w:type="dxa"/>
              <w:right w:w="115" w:type="dxa"/>
            </w:tcMar>
            <w:vAlign w:val="center"/>
          </w:tcPr>
          <w:p w14:paraId="6B9EC5C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r w14:paraId="63A5AAB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5040" w:type="dxa"/>
            <w:gridSpan w:val="3"/>
            <w:tcBorders>
              <w:top w:val="single" w:color="000000" w:sz="6" w:space="0"/>
              <w:left w:val="single" w:color="000000" w:sz="8" w:space="0"/>
              <w:bottom w:val="single" w:color="000000" w:sz="8" w:space="0"/>
              <w:right w:val="single" w:color="000000" w:sz="6" w:space="0"/>
            </w:tcBorders>
            <w:tcMar>
              <w:top w:w="0" w:type="dxa"/>
              <w:left w:w="115" w:type="dxa"/>
              <w:bottom w:w="0" w:type="dxa"/>
              <w:right w:w="115" w:type="dxa"/>
            </w:tcMar>
            <w:vAlign w:val="center"/>
          </w:tcPr>
          <w:p w14:paraId="16743AFD">
            <w:pPr>
              <w:keepNext w:val="0"/>
              <w:keepLines w:val="0"/>
              <w:pageBreakBefore w:val="0"/>
              <w:widowControl/>
              <w:kinsoku/>
              <w:wordWrap w:val="0"/>
              <w:overflowPunct/>
              <w:topLinePunct w:val="0"/>
              <w:autoSpaceDE/>
              <w:autoSpaceDN/>
              <w:bidi w:val="0"/>
              <w:adjustRightInd/>
              <w:snapToGrid/>
              <w:spacing w:after="100" w:afterAutospacing="0" w:line="360" w:lineRule="atLeast"/>
              <w:jc w:val="left"/>
              <w:textAlignment w:val="auto"/>
              <w:rPr>
                <w:rFonts w:hint="eastAsia" w:ascii="宋体" w:hAnsi="宋体" w:eastAsia="宋体" w:cs="宋体"/>
                <w:kern w:val="0"/>
                <w:sz w:val="24"/>
                <w:szCs w:val="24"/>
              </w:rPr>
            </w:pPr>
            <w:r>
              <w:rPr>
                <w:rFonts w:hint="eastAsia" w:ascii="黑体" w:hAnsi="黑体" w:eastAsia="黑体" w:cs="宋体"/>
                <w:kern w:val="0"/>
                <w:sz w:val="24"/>
                <w:szCs w:val="24"/>
              </w:rPr>
              <w:t>四、结转下年度继续办理</w:t>
            </w:r>
          </w:p>
        </w:tc>
        <w:tc>
          <w:tcPr>
            <w:tcW w:w="720"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3E4342D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1FAB3F9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510"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67940E5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90"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605A39E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45"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4A8A6C9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495" w:type="dxa"/>
            <w:tcBorders>
              <w:top w:val="single" w:color="000000" w:sz="6" w:space="0"/>
              <w:left w:val="single" w:color="000000" w:sz="6" w:space="0"/>
              <w:bottom w:val="single" w:color="000000" w:sz="8" w:space="0"/>
              <w:right w:val="single" w:color="000000" w:sz="6" w:space="0"/>
            </w:tcBorders>
            <w:tcMar>
              <w:top w:w="0" w:type="dxa"/>
              <w:left w:w="115" w:type="dxa"/>
              <w:bottom w:w="0" w:type="dxa"/>
              <w:right w:w="115" w:type="dxa"/>
            </w:tcMar>
            <w:vAlign w:val="center"/>
          </w:tcPr>
          <w:p w14:paraId="7BAF6F9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c>
          <w:tcPr>
            <w:tcW w:w="660" w:type="dxa"/>
            <w:tcBorders>
              <w:top w:val="single" w:color="000000" w:sz="6" w:space="0"/>
              <w:left w:val="single" w:color="000000" w:sz="6" w:space="0"/>
              <w:bottom w:val="single" w:color="000000" w:sz="8" w:space="0"/>
              <w:right w:val="single" w:color="000000" w:sz="8" w:space="0"/>
            </w:tcBorders>
            <w:tcMar>
              <w:top w:w="0" w:type="dxa"/>
              <w:left w:w="115" w:type="dxa"/>
              <w:bottom w:w="0" w:type="dxa"/>
              <w:right w:w="115" w:type="dxa"/>
            </w:tcMar>
            <w:vAlign w:val="center"/>
          </w:tcPr>
          <w:p w14:paraId="1143495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仿宋_GB2312" w:hAnsi="宋体" w:eastAsia="仿宋_GB2312" w:cs="宋体"/>
                <w:kern w:val="0"/>
                <w:sz w:val="24"/>
                <w:szCs w:val="24"/>
              </w:rPr>
              <w:t>0</w:t>
            </w:r>
          </w:p>
        </w:tc>
      </w:tr>
    </w:tbl>
    <w:p w14:paraId="01EB80F1">
      <w:pPr>
        <w:keepNext w:val="0"/>
        <w:keepLines w:val="0"/>
        <w:pageBreakBefore w:val="0"/>
        <w:widowControl/>
        <w:kinsoku/>
        <w:overflowPunct/>
        <w:topLinePunct w:val="0"/>
        <w:autoSpaceDE/>
        <w:autoSpaceDN/>
        <w:bidi w:val="0"/>
        <w:adjustRightInd/>
        <w:snapToGrid/>
        <w:spacing w:before="100" w:beforeAutospacing="1" w:after="100" w:afterAutospacing="0" w:line="360" w:lineRule="atLeast"/>
        <w:ind w:firstLine="634"/>
        <w:jc w:val="left"/>
        <w:textAlignment w:val="auto"/>
        <w:rPr>
          <w:rFonts w:hint="eastAsia" w:ascii="黑体" w:hAnsi="黑体" w:eastAsia="黑体" w:cs="Arial"/>
          <w:color w:val="000000"/>
          <w:kern w:val="0"/>
          <w:sz w:val="32"/>
          <w:szCs w:val="32"/>
        </w:rPr>
      </w:pPr>
      <w:r>
        <w:rPr>
          <w:rFonts w:hint="eastAsia" w:ascii="黑体" w:hAnsi="黑体" w:eastAsia="黑体" w:cs="Arial"/>
          <w:color w:val="000000"/>
          <w:kern w:val="0"/>
          <w:sz w:val="32"/>
          <w:szCs w:val="32"/>
        </w:rPr>
        <w:t>四、政府信息公开行政复议、行政诉讼情况</w:t>
      </w:r>
    </w:p>
    <w:tbl>
      <w:tblPr>
        <w:tblStyle w:val="4"/>
        <w:tblW w:w="907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477"/>
        <w:gridCol w:w="475"/>
        <w:gridCol w:w="426"/>
        <w:gridCol w:w="514"/>
        <w:gridCol w:w="1097"/>
        <w:gridCol w:w="448"/>
        <w:gridCol w:w="350"/>
        <w:gridCol w:w="577"/>
        <w:gridCol w:w="566"/>
        <w:gridCol w:w="981"/>
        <w:gridCol w:w="410"/>
        <w:gridCol w:w="585"/>
        <w:gridCol w:w="567"/>
        <w:gridCol w:w="567"/>
        <w:gridCol w:w="1035"/>
      </w:tblGrid>
      <w:tr w14:paraId="3C14A9E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270" w:hRule="atLeast"/>
          <w:jc w:val="center"/>
        </w:trPr>
        <w:tc>
          <w:tcPr>
            <w:tcW w:w="2989" w:type="dxa"/>
            <w:gridSpan w:val="5"/>
            <w:tcBorders>
              <w:top w:val="single" w:color="000000" w:sz="8" w:space="0"/>
              <w:left w:val="single" w:color="000000" w:sz="8" w:space="0"/>
              <w:bottom w:val="single" w:color="000000" w:sz="8" w:space="0"/>
              <w:right w:val="single" w:color="000000" w:sz="8" w:space="0"/>
            </w:tcBorders>
            <w:tcMar>
              <w:top w:w="0" w:type="dxa"/>
              <w:left w:w="115" w:type="dxa"/>
              <w:bottom w:w="0" w:type="dxa"/>
              <w:right w:w="115" w:type="dxa"/>
            </w:tcMar>
            <w:vAlign w:val="center"/>
          </w:tcPr>
          <w:p w14:paraId="1254CC8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行政复议</w:t>
            </w:r>
          </w:p>
        </w:tc>
        <w:tc>
          <w:tcPr>
            <w:tcW w:w="6086" w:type="dxa"/>
            <w:gridSpan w:val="10"/>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4BDDA718">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行政诉讼</w:t>
            </w:r>
          </w:p>
        </w:tc>
      </w:tr>
      <w:tr w14:paraId="4DA7629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77" w:type="dxa"/>
            <w:vMerge w:val="restart"/>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54BC117A">
            <w:pPr>
              <w:keepNext w:val="0"/>
              <w:keepLines w:val="0"/>
              <w:pageBreakBefore w:val="0"/>
              <w:widowControl/>
              <w:kinsoku/>
              <w:wordWrap w:val="0"/>
              <w:overflowPunct/>
              <w:topLinePunct w:val="0"/>
              <w:autoSpaceDE/>
              <w:autoSpaceDN/>
              <w:bidi w:val="0"/>
              <w:adjustRightInd/>
              <w:snapToGrid/>
              <w:spacing w:after="100" w:afterAutospacing="0" w:line="360" w:lineRule="atLeast"/>
              <w:ind w:left="-144" w:right="-173"/>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w:t>
            </w:r>
          </w:p>
          <w:p w14:paraId="6E007D48">
            <w:pPr>
              <w:keepNext w:val="0"/>
              <w:keepLines w:val="0"/>
              <w:pageBreakBefore w:val="0"/>
              <w:widowControl/>
              <w:kinsoku/>
              <w:wordWrap w:val="0"/>
              <w:overflowPunct/>
              <w:topLinePunct w:val="0"/>
              <w:autoSpaceDE/>
              <w:autoSpaceDN/>
              <w:bidi w:val="0"/>
              <w:adjustRightInd/>
              <w:snapToGrid/>
              <w:spacing w:after="100" w:afterAutospacing="0" w:line="360" w:lineRule="atLeast"/>
              <w:ind w:left="-144" w:right="-173"/>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维持</w:t>
            </w:r>
          </w:p>
        </w:tc>
        <w:tc>
          <w:tcPr>
            <w:tcW w:w="475" w:type="dxa"/>
            <w:vMerge w:val="restart"/>
            <w:tcBorders>
              <w:top w:val="nil"/>
              <w:left w:val="nil"/>
              <w:bottom w:val="single" w:color="000000" w:sz="8" w:space="0"/>
              <w:right w:val="single" w:color="000000" w:sz="8" w:space="0"/>
            </w:tcBorders>
            <w:tcMar>
              <w:top w:w="0" w:type="dxa"/>
              <w:left w:w="0" w:type="dxa"/>
              <w:bottom w:w="0" w:type="dxa"/>
              <w:right w:w="115" w:type="dxa"/>
            </w:tcMar>
            <w:vAlign w:val="center"/>
          </w:tcPr>
          <w:p w14:paraId="0DC4AFA7">
            <w:pPr>
              <w:keepNext w:val="0"/>
              <w:keepLines w:val="0"/>
              <w:pageBreakBefore w:val="0"/>
              <w:widowControl/>
              <w:kinsoku/>
              <w:wordWrap w:val="0"/>
              <w:overflowPunct/>
              <w:topLinePunct w:val="0"/>
              <w:autoSpaceDE/>
              <w:autoSpaceDN/>
              <w:bidi w:val="0"/>
              <w:adjustRightInd/>
              <w:snapToGrid/>
              <w:spacing w:after="100" w:afterAutospacing="0" w:line="360" w:lineRule="atLeast"/>
              <w:ind w:left="-43"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结果纠正</w:t>
            </w:r>
          </w:p>
        </w:tc>
        <w:tc>
          <w:tcPr>
            <w:tcW w:w="426" w:type="dxa"/>
            <w:vMerge w:val="restart"/>
            <w:tcBorders>
              <w:top w:val="single" w:color="000000" w:sz="8" w:space="0"/>
              <w:left w:val="nil"/>
              <w:bottom w:val="single" w:color="000000" w:sz="8" w:space="0"/>
              <w:right w:val="single" w:color="000000" w:sz="8" w:space="0"/>
            </w:tcBorders>
            <w:tcMar>
              <w:top w:w="0" w:type="dxa"/>
              <w:left w:w="115" w:type="dxa"/>
              <w:bottom w:w="0" w:type="dxa"/>
              <w:right w:w="115" w:type="dxa"/>
            </w:tcMar>
            <w:vAlign w:val="center"/>
          </w:tcPr>
          <w:p w14:paraId="4C3E83A5">
            <w:pPr>
              <w:keepNext w:val="0"/>
              <w:keepLines w:val="0"/>
              <w:pageBreakBefore w:val="0"/>
              <w:widowControl/>
              <w:kinsoku/>
              <w:wordWrap w:val="0"/>
              <w:overflowPunct/>
              <w:topLinePunct w:val="0"/>
              <w:autoSpaceDE/>
              <w:autoSpaceDN/>
              <w:bidi w:val="0"/>
              <w:adjustRightInd/>
              <w:snapToGrid/>
              <w:spacing w:after="100" w:afterAutospacing="0" w:line="360" w:lineRule="atLeast"/>
              <w:ind w:left="-86"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其他结果</w:t>
            </w:r>
          </w:p>
        </w:tc>
        <w:tc>
          <w:tcPr>
            <w:tcW w:w="514" w:type="dxa"/>
            <w:vMerge w:val="restart"/>
            <w:tcBorders>
              <w:top w:val="single" w:color="000000" w:sz="8" w:space="0"/>
              <w:left w:val="nil"/>
              <w:bottom w:val="single" w:color="000000" w:sz="8" w:space="0"/>
              <w:right w:val="single" w:color="000000" w:sz="8" w:space="0"/>
            </w:tcBorders>
            <w:tcMar>
              <w:top w:w="0" w:type="dxa"/>
              <w:left w:w="115" w:type="dxa"/>
              <w:bottom w:w="0" w:type="dxa"/>
              <w:right w:w="115" w:type="dxa"/>
            </w:tcMar>
            <w:vAlign w:val="center"/>
          </w:tcPr>
          <w:p w14:paraId="2FEEDF8C">
            <w:pPr>
              <w:keepNext w:val="0"/>
              <w:keepLines w:val="0"/>
              <w:pageBreakBefore w:val="0"/>
              <w:widowControl/>
              <w:kinsoku/>
              <w:wordWrap w:val="0"/>
              <w:overflowPunct/>
              <w:topLinePunct w:val="0"/>
              <w:autoSpaceDE/>
              <w:autoSpaceDN/>
              <w:bidi w:val="0"/>
              <w:adjustRightInd/>
              <w:snapToGrid/>
              <w:spacing w:after="100" w:afterAutospacing="0" w:line="360" w:lineRule="atLeast"/>
              <w:ind w:left="-115" w:right="-115"/>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尚未</w:t>
            </w:r>
          </w:p>
          <w:p w14:paraId="336B8B8D">
            <w:pPr>
              <w:keepNext w:val="0"/>
              <w:keepLines w:val="0"/>
              <w:pageBreakBefore w:val="0"/>
              <w:widowControl/>
              <w:kinsoku/>
              <w:wordWrap w:val="0"/>
              <w:overflowPunct/>
              <w:topLinePunct w:val="0"/>
              <w:autoSpaceDE/>
              <w:autoSpaceDN/>
              <w:bidi w:val="0"/>
              <w:adjustRightInd/>
              <w:snapToGrid/>
              <w:spacing w:after="100" w:afterAutospacing="0" w:line="360" w:lineRule="atLeast"/>
              <w:ind w:left="-115" w:right="-115"/>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审结</w:t>
            </w:r>
          </w:p>
        </w:tc>
        <w:tc>
          <w:tcPr>
            <w:tcW w:w="1097" w:type="dxa"/>
            <w:vMerge w:val="restart"/>
            <w:tcBorders>
              <w:top w:val="single" w:color="000000" w:sz="8" w:space="0"/>
              <w:left w:val="nil"/>
              <w:bottom w:val="single" w:color="000000" w:sz="8" w:space="0"/>
              <w:right w:val="single" w:color="000000" w:sz="8" w:space="0"/>
            </w:tcBorders>
            <w:tcMar>
              <w:top w:w="0" w:type="dxa"/>
              <w:left w:w="115" w:type="dxa"/>
              <w:bottom w:w="0" w:type="dxa"/>
              <w:right w:w="115" w:type="dxa"/>
            </w:tcMar>
            <w:vAlign w:val="center"/>
          </w:tcPr>
          <w:p w14:paraId="51C55EA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总</w:t>
            </w:r>
          </w:p>
          <w:p w14:paraId="7E20861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计</w:t>
            </w:r>
          </w:p>
        </w:tc>
        <w:tc>
          <w:tcPr>
            <w:tcW w:w="2922" w:type="dxa"/>
            <w:gridSpan w:val="5"/>
            <w:tcBorders>
              <w:top w:val="single" w:color="000000" w:sz="8" w:space="0"/>
              <w:left w:val="nil"/>
              <w:bottom w:val="single" w:color="000000" w:sz="8" w:space="0"/>
              <w:right w:val="single" w:color="000000" w:sz="8" w:space="0"/>
            </w:tcBorders>
            <w:tcMar>
              <w:top w:w="0" w:type="dxa"/>
              <w:left w:w="115" w:type="dxa"/>
              <w:bottom w:w="0" w:type="dxa"/>
              <w:right w:w="115" w:type="dxa"/>
            </w:tcMar>
            <w:vAlign w:val="center"/>
          </w:tcPr>
          <w:p w14:paraId="5F26AD7E">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未经复议直接起诉</w:t>
            </w:r>
          </w:p>
        </w:tc>
        <w:tc>
          <w:tcPr>
            <w:tcW w:w="3164" w:type="dxa"/>
            <w:gridSpan w:val="5"/>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162E18B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复议后起诉</w:t>
            </w:r>
          </w:p>
        </w:tc>
      </w:tr>
      <w:tr w14:paraId="4435E79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77" w:type="dxa"/>
            <w:vMerge w:val="continue"/>
            <w:tcBorders>
              <w:top w:val="nil"/>
              <w:left w:val="single" w:color="000000" w:sz="8" w:space="0"/>
              <w:bottom w:val="single" w:color="000000" w:sz="8" w:space="0"/>
              <w:right w:val="single" w:color="000000" w:sz="8" w:space="0"/>
            </w:tcBorders>
            <w:vAlign w:val="center"/>
          </w:tcPr>
          <w:p w14:paraId="4059E659">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475" w:type="dxa"/>
            <w:vMerge w:val="continue"/>
            <w:tcBorders>
              <w:top w:val="nil"/>
              <w:left w:val="nil"/>
              <w:bottom w:val="single" w:color="000000" w:sz="8" w:space="0"/>
              <w:right w:val="single" w:color="000000" w:sz="8" w:space="0"/>
            </w:tcBorders>
            <w:vAlign w:val="center"/>
          </w:tcPr>
          <w:p w14:paraId="591778D2">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426" w:type="dxa"/>
            <w:vMerge w:val="continue"/>
            <w:tcBorders>
              <w:top w:val="single" w:color="000000" w:sz="8" w:space="0"/>
              <w:left w:val="nil"/>
              <w:bottom w:val="single" w:color="000000" w:sz="8" w:space="0"/>
              <w:right w:val="single" w:color="000000" w:sz="8" w:space="0"/>
            </w:tcBorders>
            <w:vAlign w:val="center"/>
          </w:tcPr>
          <w:p w14:paraId="576E681D">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514" w:type="dxa"/>
            <w:vMerge w:val="continue"/>
            <w:tcBorders>
              <w:top w:val="single" w:color="000000" w:sz="8" w:space="0"/>
              <w:left w:val="nil"/>
              <w:bottom w:val="single" w:color="000000" w:sz="8" w:space="0"/>
              <w:right w:val="single" w:color="000000" w:sz="8" w:space="0"/>
            </w:tcBorders>
            <w:vAlign w:val="center"/>
          </w:tcPr>
          <w:p w14:paraId="0D12EF15">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1097" w:type="dxa"/>
            <w:vMerge w:val="continue"/>
            <w:tcBorders>
              <w:top w:val="single" w:color="000000" w:sz="8" w:space="0"/>
              <w:left w:val="nil"/>
              <w:bottom w:val="single" w:color="000000" w:sz="8" w:space="0"/>
              <w:right w:val="single" w:color="000000" w:sz="8" w:space="0"/>
            </w:tcBorders>
            <w:vAlign w:val="center"/>
          </w:tcPr>
          <w:p w14:paraId="67E019D0">
            <w:pPr>
              <w:keepNext w:val="0"/>
              <w:keepLines w:val="0"/>
              <w:pageBreakBefore w:val="0"/>
              <w:widowControl/>
              <w:kinsoku/>
              <w:overflowPunct/>
              <w:topLinePunct w:val="0"/>
              <w:autoSpaceDE/>
              <w:autoSpaceDN/>
              <w:bidi w:val="0"/>
              <w:adjustRightInd/>
              <w:snapToGrid/>
              <w:spacing w:after="100" w:afterAutospacing="0"/>
              <w:jc w:val="left"/>
              <w:textAlignment w:val="auto"/>
              <w:rPr>
                <w:rFonts w:hint="eastAsia" w:ascii="宋体" w:hAnsi="宋体" w:eastAsia="宋体" w:cs="宋体"/>
                <w:kern w:val="0"/>
                <w:sz w:val="24"/>
                <w:szCs w:val="24"/>
              </w:rPr>
            </w:pPr>
          </w:p>
        </w:tc>
        <w:tc>
          <w:tcPr>
            <w:tcW w:w="448" w:type="dxa"/>
            <w:tcBorders>
              <w:top w:val="nil"/>
              <w:left w:val="nil"/>
              <w:bottom w:val="single" w:color="000000" w:sz="8" w:space="0"/>
              <w:right w:val="single" w:color="000000" w:sz="8" w:space="0"/>
            </w:tcBorders>
            <w:tcMar>
              <w:top w:w="0" w:type="dxa"/>
              <w:left w:w="0" w:type="dxa"/>
              <w:bottom w:w="0" w:type="dxa"/>
              <w:right w:w="115" w:type="dxa"/>
            </w:tcMar>
            <w:vAlign w:val="center"/>
          </w:tcPr>
          <w:p w14:paraId="74D93447">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结果维持</w:t>
            </w:r>
          </w:p>
        </w:tc>
        <w:tc>
          <w:tcPr>
            <w:tcW w:w="350" w:type="dxa"/>
            <w:tcBorders>
              <w:top w:val="nil"/>
              <w:left w:val="nil"/>
              <w:bottom w:val="single" w:color="000000" w:sz="8" w:space="0"/>
              <w:right w:val="single" w:color="000000" w:sz="8" w:space="0"/>
            </w:tcBorders>
            <w:tcMar>
              <w:top w:w="0" w:type="dxa"/>
              <w:left w:w="0" w:type="dxa"/>
              <w:bottom w:w="0" w:type="dxa"/>
              <w:right w:w="115" w:type="dxa"/>
            </w:tcMar>
            <w:vAlign w:val="center"/>
          </w:tcPr>
          <w:p w14:paraId="2A65794C">
            <w:pPr>
              <w:keepNext w:val="0"/>
              <w:keepLines w:val="0"/>
              <w:pageBreakBefore w:val="0"/>
              <w:widowControl/>
              <w:kinsoku/>
              <w:wordWrap w:val="0"/>
              <w:overflowPunct/>
              <w:topLinePunct w:val="0"/>
              <w:autoSpaceDE/>
              <w:autoSpaceDN/>
              <w:bidi w:val="0"/>
              <w:adjustRightInd/>
              <w:snapToGrid/>
              <w:spacing w:after="100" w:afterAutospacing="0" w:line="360" w:lineRule="atLeast"/>
              <w:ind w:left="-86" w:right="-86"/>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结果纠正</w:t>
            </w:r>
          </w:p>
        </w:tc>
        <w:tc>
          <w:tcPr>
            <w:tcW w:w="577"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4028EB41">
            <w:pPr>
              <w:keepNext w:val="0"/>
              <w:keepLines w:val="0"/>
              <w:pageBreakBefore w:val="0"/>
              <w:widowControl/>
              <w:kinsoku/>
              <w:wordWrap w:val="0"/>
              <w:overflowPunct/>
              <w:topLinePunct w:val="0"/>
              <w:autoSpaceDE/>
              <w:autoSpaceDN/>
              <w:bidi w:val="0"/>
              <w:adjustRightInd/>
              <w:snapToGrid/>
              <w:spacing w:after="100" w:afterAutospacing="0" w:line="360" w:lineRule="atLeast"/>
              <w:ind w:left="-130"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其他</w:t>
            </w:r>
          </w:p>
          <w:p w14:paraId="150802D7">
            <w:pPr>
              <w:keepNext w:val="0"/>
              <w:keepLines w:val="0"/>
              <w:pageBreakBefore w:val="0"/>
              <w:widowControl/>
              <w:kinsoku/>
              <w:wordWrap w:val="0"/>
              <w:overflowPunct/>
              <w:topLinePunct w:val="0"/>
              <w:autoSpaceDE/>
              <w:autoSpaceDN/>
              <w:bidi w:val="0"/>
              <w:adjustRightInd/>
              <w:snapToGrid/>
              <w:spacing w:after="100" w:afterAutospacing="0" w:line="360" w:lineRule="atLeast"/>
              <w:ind w:left="-130"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w:t>
            </w:r>
          </w:p>
        </w:tc>
        <w:tc>
          <w:tcPr>
            <w:tcW w:w="566"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474F8A6A">
            <w:pPr>
              <w:keepNext w:val="0"/>
              <w:keepLines w:val="0"/>
              <w:pageBreakBefore w:val="0"/>
              <w:widowControl/>
              <w:kinsoku/>
              <w:wordWrap w:val="0"/>
              <w:overflowPunct/>
              <w:topLinePunct w:val="0"/>
              <w:autoSpaceDE/>
              <w:autoSpaceDN/>
              <w:bidi w:val="0"/>
              <w:adjustRightInd/>
              <w:snapToGrid/>
              <w:spacing w:after="100" w:afterAutospacing="0" w:line="360" w:lineRule="atLeast"/>
              <w:ind w:left="-158" w:right="-158"/>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尚未</w:t>
            </w:r>
          </w:p>
          <w:p w14:paraId="2A7F6CC1">
            <w:pPr>
              <w:keepNext w:val="0"/>
              <w:keepLines w:val="0"/>
              <w:pageBreakBefore w:val="0"/>
              <w:widowControl/>
              <w:kinsoku/>
              <w:wordWrap w:val="0"/>
              <w:overflowPunct/>
              <w:topLinePunct w:val="0"/>
              <w:autoSpaceDE/>
              <w:autoSpaceDN/>
              <w:bidi w:val="0"/>
              <w:adjustRightInd/>
              <w:snapToGrid/>
              <w:spacing w:after="100" w:afterAutospacing="0" w:line="360" w:lineRule="atLeast"/>
              <w:ind w:left="-158" w:right="-158"/>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审结</w:t>
            </w:r>
          </w:p>
        </w:tc>
        <w:tc>
          <w:tcPr>
            <w:tcW w:w="981"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694A1AD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总计</w:t>
            </w:r>
          </w:p>
        </w:tc>
        <w:tc>
          <w:tcPr>
            <w:tcW w:w="410"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2B6D0725">
            <w:pPr>
              <w:keepNext w:val="0"/>
              <w:keepLines w:val="0"/>
              <w:pageBreakBefore w:val="0"/>
              <w:widowControl/>
              <w:kinsoku/>
              <w:wordWrap w:val="0"/>
              <w:overflowPunct/>
              <w:topLinePunct w:val="0"/>
              <w:autoSpaceDE/>
              <w:autoSpaceDN/>
              <w:bidi w:val="0"/>
              <w:adjustRightInd/>
              <w:snapToGrid/>
              <w:spacing w:after="100" w:afterAutospacing="0" w:line="360" w:lineRule="atLeast"/>
              <w:ind w:left="-101" w:right="-72"/>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结果维持</w:t>
            </w:r>
          </w:p>
        </w:tc>
        <w:tc>
          <w:tcPr>
            <w:tcW w:w="585"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1DCAA866">
            <w:pPr>
              <w:keepNext w:val="0"/>
              <w:keepLines w:val="0"/>
              <w:pageBreakBefore w:val="0"/>
              <w:widowControl/>
              <w:kinsoku/>
              <w:wordWrap w:val="0"/>
              <w:overflowPunct/>
              <w:topLinePunct w:val="0"/>
              <w:autoSpaceDE/>
              <w:autoSpaceDN/>
              <w:bidi w:val="0"/>
              <w:adjustRightInd/>
              <w:snapToGrid/>
              <w:spacing w:after="100" w:afterAutospacing="0" w:line="360" w:lineRule="atLeast"/>
              <w:ind w:left="-130"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w:t>
            </w:r>
          </w:p>
          <w:p w14:paraId="4E0CEFA3">
            <w:pPr>
              <w:keepNext w:val="0"/>
              <w:keepLines w:val="0"/>
              <w:pageBreakBefore w:val="0"/>
              <w:widowControl/>
              <w:kinsoku/>
              <w:wordWrap w:val="0"/>
              <w:overflowPunct/>
              <w:topLinePunct w:val="0"/>
              <w:autoSpaceDE/>
              <w:autoSpaceDN/>
              <w:bidi w:val="0"/>
              <w:adjustRightInd/>
              <w:snapToGrid/>
              <w:spacing w:after="100" w:afterAutospacing="0" w:line="360" w:lineRule="atLeast"/>
              <w:ind w:left="-130"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纠正</w:t>
            </w:r>
          </w:p>
        </w:tc>
        <w:tc>
          <w:tcPr>
            <w:tcW w:w="567"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01EA087C">
            <w:pPr>
              <w:keepNext w:val="0"/>
              <w:keepLines w:val="0"/>
              <w:pageBreakBefore w:val="0"/>
              <w:widowControl/>
              <w:kinsoku/>
              <w:wordWrap w:val="0"/>
              <w:overflowPunct/>
              <w:topLinePunct w:val="0"/>
              <w:autoSpaceDE/>
              <w:autoSpaceDN/>
              <w:bidi w:val="0"/>
              <w:adjustRightInd/>
              <w:snapToGrid/>
              <w:spacing w:after="100" w:afterAutospacing="0" w:line="360" w:lineRule="atLeast"/>
              <w:ind w:left="-173"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其他</w:t>
            </w:r>
          </w:p>
          <w:p w14:paraId="09DDABA3">
            <w:pPr>
              <w:keepNext w:val="0"/>
              <w:keepLines w:val="0"/>
              <w:pageBreakBefore w:val="0"/>
              <w:widowControl/>
              <w:kinsoku/>
              <w:wordWrap w:val="0"/>
              <w:overflowPunct/>
              <w:topLinePunct w:val="0"/>
              <w:autoSpaceDE/>
              <w:autoSpaceDN/>
              <w:bidi w:val="0"/>
              <w:adjustRightInd/>
              <w:snapToGrid/>
              <w:spacing w:after="100" w:afterAutospacing="0" w:line="360" w:lineRule="atLeast"/>
              <w:ind w:left="-173" w:right="-130"/>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结果</w:t>
            </w:r>
          </w:p>
        </w:tc>
        <w:tc>
          <w:tcPr>
            <w:tcW w:w="567"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57089012">
            <w:pPr>
              <w:keepNext w:val="0"/>
              <w:keepLines w:val="0"/>
              <w:pageBreakBefore w:val="0"/>
              <w:widowControl/>
              <w:kinsoku/>
              <w:wordWrap w:val="0"/>
              <w:overflowPunct/>
              <w:topLinePunct w:val="0"/>
              <w:autoSpaceDE/>
              <w:autoSpaceDN/>
              <w:bidi w:val="0"/>
              <w:adjustRightInd/>
              <w:snapToGrid/>
              <w:spacing w:after="100" w:afterAutospacing="0" w:line="360" w:lineRule="atLeast"/>
              <w:ind w:left="-72" w:right="-101"/>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尚未审结</w:t>
            </w:r>
          </w:p>
        </w:tc>
        <w:tc>
          <w:tcPr>
            <w:tcW w:w="1035" w:type="dxa"/>
            <w:tcBorders>
              <w:top w:val="single" w:color="000000" w:sz="8" w:space="0"/>
              <w:left w:val="nil"/>
              <w:bottom w:val="single" w:color="000000" w:sz="8" w:space="0"/>
              <w:right w:val="single" w:color="000000" w:sz="8" w:space="0"/>
            </w:tcBorders>
            <w:tcMar>
              <w:top w:w="0" w:type="dxa"/>
              <w:left w:w="0" w:type="dxa"/>
              <w:bottom w:w="0" w:type="dxa"/>
              <w:right w:w="115" w:type="dxa"/>
            </w:tcMar>
            <w:vAlign w:val="center"/>
          </w:tcPr>
          <w:p w14:paraId="1D6D2A6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hint="eastAsia" w:ascii="黑体" w:hAnsi="黑体" w:eastAsia="黑体" w:cs="宋体"/>
                <w:kern w:val="0"/>
                <w:sz w:val="24"/>
                <w:szCs w:val="24"/>
              </w:rPr>
              <w:t>总计</w:t>
            </w:r>
          </w:p>
        </w:tc>
      </w:tr>
      <w:tr w14:paraId="2BF4029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477" w:type="dxa"/>
            <w:tcBorders>
              <w:top w:val="nil"/>
              <w:left w:val="single" w:color="000000" w:sz="8" w:space="0"/>
              <w:bottom w:val="single" w:color="000000" w:sz="8" w:space="0"/>
              <w:right w:val="single" w:color="000000" w:sz="8" w:space="0"/>
            </w:tcBorders>
            <w:tcMar>
              <w:top w:w="0" w:type="dxa"/>
              <w:left w:w="115" w:type="dxa"/>
              <w:bottom w:w="0" w:type="dxa"/>
              <w:right w:w="115" w:type="dxa"/>
            </w:tcMar>
            <w:vAlign w:val="center"/>
          </w:tcPr>
          <w:p w14:paraId="6B4F31AF">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475" w:type="dxa"/>
            <w:tcBorders>
              <w:top w:val="nil"/>
              <w:left w:val="nil"/>
              <w:bottom w:val="single" w:color="000000" w:sz="8" w:space="0"/>
              <w:right w:val="single" w:color="000000" w:sz="8" w:space="0"/>
            </w:tcBorders>
            <w:tcMar>
              <w:top w:w="0" w:type="dxa"/>
              <w:left w:w="0" w:type="dxa"/>
              <w:bottom w:w="0" w:type="dxa"/>
              <w:right w:w="115" w:type="dxa"/>
            </w:tcMar>
            <w:vAlign w:val="center"/>
          </w:tcPr>
          <w:p w14:paraId="3FC1196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426"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15BF27CB">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14"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5347C2E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1097"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1A887D8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448"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4D26F2D6">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350"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553F363D">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77"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46719910">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66"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7EC554EA">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981"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1B89A9E5">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410"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37D820C9">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85"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0EC5D854">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67"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09734471">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567"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2A6EAE7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c>
          <w:tcPr>
            <w:tcW w:w="1035" w:type="dxa"/>
            <w:tcBorders>
              <w:top w:val="nil"/>
              <w:left w:val="nil"/>
              <w:bottom w:val="single" w:color="000000" w:sz="8" w:space="0"/>
              <w:right w:val="single" w:color="000000" w:sz="8" w:space="0"/>
            </w:tcBorders>
            <w:tcMar>
              <w:top w:w="0" w:type="dxa"/>
              <w:left w:w="115" w:type="dxa"/>
              <w:bottom w:w="0" w:type="dxa"/>
              <w:right w:w="115" w:type="dxa"/>
            </w:tcMar>
            <w:vAlign w:val="center"/>
          </w:tcPr>
          <w:p w14:paraId="51E75072">
            <w:pPr>
              <w:keepNext w:val="0"/>
              <w:keepLines w:val="0"/>
              <w:pageBreakBefore w:val="0"/>
              <w:widowControl/>
              <w:kinsoku/>
              <w:wordWrap w:val="0"/>
              <w:overflowPunct/>
              <w:topLinePunct w:val="0"/>
              <w:autoSpaceDE/>
              <w:autoSpaceDN/>
              <w:bidi w:val="0"/>
              <w:adjustRightInd/>
              <w:snapToGrid/>
              <w:spacing w:after="100" w:afterAutospacing="0" w:line="360" w:lineRule="atLeast"/>
              <w:jc w:val="center"/>
              <w:textAlignment w:val="auto"/>
              <w:rPr>
                <w:rFonts w:hint="eastAsia" w:ascii="宋体" w:hAnsi="宋体" w:eastAsia="宋体" w:cs="宋体"/>
                <w:kern w:val="0"/>
                <w:sz w:val="24"/>
                <w:szCs w:val="24"/>
              </w:rPr>
            </w:pPr>
            <w:r>
              <w:rPr>
                <w:rFonts w:ascii="Times New Roman" w:hAnsi="Times New Roman" w:eastAsia="宋体" w:cs="Times New Roman"/>
                <w:kern w:val="0"/>
                <w:sz w:val="24"/>
                <w:szCs w:val="24"/>
              </w:rPr>
              <w:t>0</w:t>
            </w:r>
          </w:p>
        </w:tc>
      </w:tr>
    </w:tbl>
    <w:p w14:paraId="76458D12">
      <w:pPr>
        <w:keepNext w:val="0"/>
        <w:keepLines w:val="0"/>
        <w:pageBreakBefore w:val="0"/>
        <w:widowControl/>
        <w:kinsoku/>
        <w:overflowPunct/>
        <w:topLinePunct w:val="0"/>
        <w:autoSpaceDE/>
        <w:autoSpaceDN/>
        <w:bidi w:val="0"/>
        <w:adjustRightInd/>
        <w:snapToGrid/>
        <w:spacing w:before="40" w:beforeAutospacing="0" w:after="40" w:afterAutospacing="0" w:line="360" w:lineRule="atLeast"/>
        <w:ind w:firstLine="640" w:firstLineChars="200"/>
        <w:jc w:val="left"/>
        <w:textAlignment w:val="auto"/>
        <w:rPr>
          <w:rFonts w:ascii="Arial" w:hAnsi="Arial" w:eastAsia="宋体" w:cs="Arial"/>
          <w:color w:val="000000"/>
          <w:kern w:val="0"/>
          <w:sz w:val="32"/>
          <w:szCs w:val="32"/>
        </w:rPr>
      </w:pPr>
      <w:r>
        <w:rPr>
          <w:rFonts w:hint="eastAsia" w:ascii="黑体" w:hAnsi="黑体" w:eastAsia="黑体" w:cs="Arial"/>
          <w:color w:val="000000"/>
          <w:kern w:val="0"/>
          <w:sz w:val="32"/>
          <w:szCs w:val="32"/>
        </w:rPr>
        <w:t>五、存在的主要问题及改进情况</w:t>
      </w:r>
    </w:p>
    <w:p w14:paraId="6818D669">
      <w:pPr>
        <w:keepNext w:val="0"/>
        <w:keepLines w:val="0"/>
        <w:pageBreakBefore w:val="0"/>
        <w:kinsoku/>
        <w:overflowPunct/>
        <w:topLinePunct w:val="0"/>
        <w:autoSpaceDE/>
        <w:autoSpaceDN/>
        <w:bidi w:val="0"/>
        <w:adjustRightInd/>
        <w:snapToGrid/>
        <w:spacing w:before="40" w:beforeAutospacing="0" w:after="40" w:afterAutospacing="0" w:line="560" w:lineRule="exact"/>
        <w:ind w:firstLine="640" w:firstLineChars="200"/>
        <w:textAlignment w:val="auto"/>
        <w:rPr>
          <w:rFonts w:hint="eastAsia" w:ascii="仿宋" w:hAnsi="仿宋" w:eastAsia="仿宋"/>
          <w:sz w:val="32"/>
          <w:szCs w:val="32"/>
        </w:rPr>
      </w:pPr>
      <w:r>
        <w:rPr>
          <w:rFonts w:hint="eastAsia" w:ascii="仿宋" w:hAnsi="仿宋" w:eastAsia="仿宋" w:cs="Arial"/>
          <w:color w:val="000000"/>
          <w:kern w:val="0"/>
          <w:sz w:val="32"/>
          <w:szCs w:val="32"/>
        </w:rPr>
        <w:t>2024年，张汪镇政府信息公开工作取得了很大成效，但还存在一些问题：一是</w:t>
      </w:r>
      <w:r>
        <w:rPr>
          <w:rFonts w:hint="eastAsia" w:ascii="仿宋" w:hAnsi="仿宋" w:eastAsia="仿宋"/>
          <w:sz w:val="32"/>
          <w:szCs w:val="32"/>
        </w:rPr>
        <w:t>部分领域信息公开深度不足：在一些民生保障领域，如低保政策落实、危房改造补贴发放等内容公开不够深入。群众难以从公开信息中全面了解自身权益和相关事项的办理细节，导致对政策的理解和信任度受到影响。二是新媒体平台应用不够充分，存在内容发布单一、互动性差的问题。同时，对于公众在新媒体平台上的留言和咨询，回复不及时、不全面，未能充分发挥新媒体平台在政民互动中的优势。</w:t>
      </w:r>
    </w:p>
    <w:p w14:paraId="38EE805B">
      <w:pPr>
        <w:keepNext w:val="0"/>
        <w:keepLines w:val="0"/>
        <w:pageBreakBefore w:val="0"/>
        <w:widowControl/>
        <w:kinsoku/>
        <w:overflowPunct/>
        <w:topLinePunct w:val="0"/>
        <w:autoSpaceDE/>
        <w:autoSpaceDN/>
        <w:bidi w:val="0"/>
        <w:adjustRightInd/>
        <w:snapToGrid/>
        <w:spacing w:before="40" w:beforeAutospacing="0" w:after="40" w:afterAutospacing="0" w:line="360" w:lineRule="atLeast"/>
        <w:ind w:firstLine="634"/>
        <w:jc w:val="left"/>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2025年，我们将进一步完善工作推进机制，丰富信息公开的内容和形式，切实保障群众的知情权和监督权。重点抓好以下工作：</w:t>
      </w:r>
    </w:p>
    <w:p w14:paraId="06F7F73F">
      <w:pPr>
        <w:keepNext w:val="0"/>
        <w:keepLines w:val="0"/>
        <w:pageBreakBefore w:val="0"/>
        <w:kinsoku/>
        <w:overflowPunct/>
        <w:topLinePunct w:val="0"/>
        <w:autoSpaceDE/>
        <w:autoSpaceDN/>
        <w:bidi w:val="0"/>
        <w:adjustRightInd/>
        <w:snapToGrid/>
        <w:spacing w:before="40" w:beforeAutospacing="0" w:after="40" w:afterAutospacing="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深化重点领域信息公开：明确各民生保障领域信息公开的具体要求和标准，要求业务部门在公开政策文件和办理流程的基础上，进一步公开审批过程中的关键信息。例如，在低保政策落实方面，除公开申请条件和审批程序外，还详细公开申请对象的家庭收入、财产状况审核情况，以及最终确定的补贴金额计算明细，确保信息公开透明，保障群众知情权。</w:t>
      </w:r>
    </w:p>
    <w:p w14:paraId="34BB9050">
      <w:pPr>
        <w:keepNext w:val="0"/>
        <w:keepLines w:val="0"/>
        <w:pageBreakBefore w:val="0"/>
        <w:kinsoku/>
        <w:overflowPunct/>
        <w:topLinePunct w:val="0"/>
        <w:autoSpaceDE/>
        <w:autoSpaceDN/>
        <w:bidi w:val="0"/>
        <w:adjustRightInd/>
        <w:snapToGrid/>
        <w:spacing w:before="40" w:beforeAutospacing="0" w:after="40" w:afterAutospacing="0"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提升新媒体平台运营水平：加强政务新媒体平台的内容建设，丰富信息发布形式，采用图文并茂、视频动画等多种形式对政策进行解读，提高信息的可读性和吸引力。建立新媒体平台互动回应机制，安排专人负责回复公众留言和咨询，确保在规定时间内给予准确、全面的答复。定期开展新媒体平台互动活动，如线上民意调查、政策问答等，增强政民互动，提升公众参与度。</w:t>
      </w:r>
    </w:p>
    <w:p w14:paraId="5EEFE776">
      <w:pPr>
        <w:keepNext w:val="0"/>
        <w:keepLines w:val="0"/>
        <w:pageBreakBefore w:val="0"/>
        <w:kinsoku/>
        <w:overflowPunct/>
        <w:topLinePunct w:val="0"/>
        <w:autoSpaceDE/>
        <w:autoSpaceDN/>
        <w:bidi w:val="0"/>
        <w:adjustRightInd/>
        <w:snapToGrid/>
        <w:spacing w:before="40" w:beforeAutospacing="0" w:after="40" w:afterAutospacing="0" w:line="560" w:lineRule="exact"/>
        <w:ind w:firstLine="640" w:firstLineChars="200"/>
        <w:textAlignment w:val="auto"/>
        <w:rPr>
          <w:rFonts w:ascii="Arial" w:hAnsi="Arial" w:eastAsia="宋体" w:cs="Arial"/>
          <w:color w:val="000000"/>
          <w:kern w:val="0"/>
          <w:sz w:val="32"/>
          <w:szCs w:val="32"/>
        </w:rPr>
      </w:pPr>
      <w:r>
        <w:rPr>
          <w:rFonts w:hint="eastAsia" w:ascii="仿宋" w:hAnsi="仿宋" w:eastAsia="仿宋" w:cs="Arial"/>
          <w:color w:val="000000"/>
          <w:kern w:val="0"/>
          <w:sz w:val="32"/>
          <w:szCs w:val="32"/>
        </w:rPr>
        <w:t>3.强化监督管理进一步增强主动公开，定期开展政务公开相关培训，并鼓励干部职工积极参与政府公开信息发布的监督，更好地服务政府、社会和群众。</w:t>
      </w:r>
    </w:p>
    <w:p w14:paraId="28CC483A">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40" w:firstLineChars="200"/>
        <w:jc w:val="left"/>
        <w:textAlignment w:val="auto"/>
        <w:rPr>
          <w:rFonts w:ascii="Arial" w:hAnsi="Arial" w:eastAsia="宋体" w:cs="Arial"/>
          <w:color w:val="000000"/>
          <w:kern w:val="0"/>
          <w:sz w:val="32"/>
          <w:szCs w:val="32"/>
        </w:rPr>
      </w:pPr>
      <w:bookmarkStart w:id="9" w:name="_GoBack"/>
      <w:bookmarkEnd w:id="9"/>
      <w:r>
        <w:rPr>
          <w:rFonts w:hint="eastAsia" w:ascii="黑体" w:hAnsi="黑体" w:eastAsia="黑体" w:cs="Arial"/>
          <w:color w:val="000000"/>
          <w:kern w:val="0"/>
          <w:sz w:val="32"/>
          <w:szCs w:val="32"/>
        </w:rPr>
        <w:t>六、其他需要报告的事项</w:t>
      </w:r>
    </w:p>
    <w:p w14:paraId="3C5A29D5">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1、依据《政府信息公开信息处理费管理办法》，2024年张汪镇未收取信息处理费。</w:t>
      </w:r>
    </w:p>
    <w:p w14:paraId="3F1B48E7">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2、本行政机关落实上级年度政务公开工作要点情况：按照2024年滕州市政务公开总要求，进一步规范了政务信息管理，做好了法定公开内容日常维护等。</w:t>
      </w:r>
    </w:p>
    <w:p w14:paraId="353F7BDA">
      <w:pPr>
        <w:keepNext w:val="0"/>
        <w:keepLines w:val="0"/>
        <w:pageBreakBefore w:val="0"/>
        <w:widowControl/>
        <w:kinsoku/>
        <w:wordWrap/>
        <w:overflowPunct/>
        <w:topLinePunct w:val="0"/>
        <w:autoSpaceDE/>
        <w:autoSpaceDN/>
        <w:bidi w:val="0"/>
        <w:adjustRightInd/>
        <w:snapToGrid/>
        <w:spacing w:before="40" w:beforeAutospacing="0" w:after="40" w:afterAutospacing="0" w:line="560" w:lineRule="exact"/>
        <w:ind w:firstLine="635"/>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3、人大代表建议和政协提案办理情况方面：2024年本单位未收到人大建议和政协提案。</w:t>
      </w:r>
    </w:p>
    <w:p w14:paraId="75D49183">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4、着力推进政务公开在公开形式和公开渠道上的创新，公开形式上采取表格、图解等方式让群众更直观的看到信息公开的相关内容；公开渠道上增加村级、社区、公开场所等区域的公开，让人民群众更方便的了解政府相关决策、文件。</w:t>
      </w:r>
    </w:p>
    <w:p w14:paraId="440850D2">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5.本行政机关政府信息公开工作年度报告数据统计没有需要说明的事项。</w:t>
      </w:r>
    </w:p>
    <w:p w14:paraId="4DDA5573">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6.无需要报告的其他事项。</w:t>
      </w:r>
    </w:p>
    <w:p w14:paraId="7AD80D1B">
      <w:pPr>
        <w:keepNext w:val="0"/>
        <w:keepLines w:val="0"/>
        <w:pageBreakBefore w:val="0"/>
        <w:widowControl/>
        <w:kinsoku/>
        <w:overflowPunct/>
        <w:topLinePunct w:val="0"/>
        <w:autoSpaceDE/>
        <w:autoSpaceDN/>
        <w:bidi w:val="0"/>
        <w:adjustRightInd/>
        <w:snapToGrid/>
        <w:spacing w:before="40" w:beforeAutospacing="0" w:after="40" w:afterAutospacing="0" w:line="560" w:lineRule="exact"/>
        <w:ind w:firstLine="634"/>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7.无其他有关文件专门要求通过政府信息公开工作年度报告予以报告的事项。</w:t>
      </w:r>
    </w:p>
    <w:p w14:paraId="4AC9E3A4">
      <w:pPr>
        <w:keepNext w:val="0"/>
        <w:keepLines w:val="0"/>
        <w:pageBreakBefore w:val="0"/>
        <w:kinsoku/>
        <w:wordWrap w:val="0"/>
        <w:overflowPunct/>
        <w:topLinePunct w:val="0"/>
        <w:autoSpaceDE/>
        <w:autoSpaceDN/>
        <w:bidi w:val="0"/>
        <w:adjustRightInd/>
        <w:snapToGrid/>
        <w:spacing w:before="40" w:beforeAutospacing="0" w:after="40" w:afterAutospacing="0" w:line="560" w:lineRule="exact"/>
        <w:ind w:firstLine="646"/>
        <w:jc w:val="left"/>
        <w:textAlignment w:val="auto"/>
        <w:rPr>
          <w:rFonts w:hint="eastAsia" w:ascii="仿宋" w:hAnsi="仿宋" w:eastAsia="仿宋" w:cs="Arial"/>
          <w:color w:val="000000"/>
          <w:kern w:val="0"/>
          <w:sz w:val="32"/>
          <w:szCs w:val="32"/>
        </w:rPr>
      </w:pPr>
      <w:r>
        <w:rPr>
          <w:rFonts w:hint="eastAsia" w:ascii="仿宋" w:hAnsi="仿宋" w:eastAsia="仿宋" w:cs="Arial"/>
          <w:color w:val="000000"/>
          <w:kern w:val="0"/>
          <w:sz w:val="32"/>
          <w:szCs w:val="32"/>
        </w:rPr>
        <w:t>本报告的电子版可在“中国滕州”（www.tengzhou.gov.cn）网站查询和下载。如对本报告有任何疑问，请与张汪镇人民政府信息公开办公室联系。（地址：山东省滕州市张汪镇人民政府</w:t>
      </w:r>
      <w:r>
        <w:rPr>
          <w:rFonts w:hint="eastAsia" w:ascii="仿宋" w:hAnsi="仿宋" w:eastAsia="仿宋" w:cs="MS Mincho"/>
          <w:color w:val="000000"/>
          <w:kern w:val="0"/>
          <w:sz w:val="32"/>
          <w:szCs w:val="32"/>
        </w:rPr>
        <w:t> </w:t>
      </w:r>
      <w:r>
        <w:rPr>
          <w:rFonts w:hint="eastAsia" w:ascii="仿宋" w:hAnsi="仿宋" w:eastAsia="仿宋" w:cs="Arial"/>
          <w:color w:val="000000"/>
          <w:kern w:val="0"/>
          <w:sz w:val="32"/>
          <w:szCs w:val="32"/>
        </w:rPr>
        <w:t>，联系电话：0632—2804009，电子信箱：tzzw001@163.com）</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382"/>
    <w:rsid w:val="0010384A"/>
    <w:rsid w:val="001346E5"/>
    <w:rsid w:val="0017704E"/>
    <w:rsid w:val="001A0382"/>
    <w:rsid w:val="00223DD6"/>
    <w:rsid w:val="0028233F"/>
    <w:rsid w:val="002F2677"/>
    <w:rsid w:val="003D2EC2"/>
    <w:rsid w:val="00403E62"/>
    <w:rsid w:val="00482F0A"/>
    <w:rsid w:val="004D06F9"/>
    <w:rsid w:val="00531D09"/>
    <w:rsid w:val="005A5075"/>
    <w:rsid w:val="005B203A"/>
    <w:rsid w:val="005B4EE3"/>
    <w:rsid w:val="00644864"/>
    <w:rsid w:val="00820D4E"/>
    <w:rsid w:val="00882BCC"/>
    <w:rsid w:val="008C74B7"/>
    <w:rsid w:val="009074B6"/>
    <w:rsid w:val="00955D5F"/>
    <w:rsid w:val="00A159DC"/>
    <w:rsid w:val="00A64A34"/>
    <w:rsid w:val="00A82085"/>
    <w:rsid w:val="00B054FA"/>
    <w:rsid w:val="00B61704"/>
    <w:rsid w:val="00C17834"/>
    <w:rsid w:val="00CA2601"/>
    <w:rsid w:val="00D92413"/>
    <w:rsid w:val="00DC43CC"/>
    <w:rsid w:val="00DF3535"/>
    <w:rsid w:val="00E6261A"/>
    <w:rsid w:val="00F12804"/>
    <w:rsid w:val="00FC14C3"/>
    <w:rsid w:val="00FC3D60"/>
    <w:rsid w:val="7F08299C"/>
    <w:rsid w:val="FF97F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3199</Words>
  <Characters>3318</Characters>
  <Lines>26</Lines>
  <Paragraphs>7</Paragraphs>
  <TotalTime>97</TotalTime>
  <ScaleCrop>false</ScaleCrop>
  <LinksUpToDate>false</LinksUpToDate>
  <CharactersWithSpaces>3318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2025-01-06T10:02:00Z</dcterms:created>
  <dc:creator>tengzhou</dc:creator>
  <cp:lastModifiedBy>Mr.秦先森</cp:lastModifiedBy>
  <dcterms:modified xsi:type="dcterms:W3CDTF">2025-01-20T08:31:19Z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eyJoZGlkIjoiYWMwNTEzMTM5ZGVmNTU0NTFlOTI1YzVmMTkzNDE2ZDgiLCJ1c2VySWQiOiIyOTgxNDkwOTcifQ==</vt:lpwstr>
  </property>
  <property fmtid="{D5CDD505-2E9C-101B-9397-08002B2CF9AE}" pid="4" name="ICV">
    <vt:lpwstr>C0C94AAB772B4379A5FCEE51F7AF804A_12</vt:lpwstr>
  </property>
</Properties>
</file>