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17"/>
          <w:kern w:val="0"/>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SA"/>
        </w:rPr>
        <w:t>滕州市</w:t>
      </w:r>
      <w:r>
        <w:rPr>
          <w:rFonts w:hint="eastAsia" w:ascii="方正小标宋简体" w:hAnsi="方正小标宋简体" w:eastAsia="方正小标宋简体" w:cs="方正小标宋简体"/>
          <w:b w:val="0"/>
          <w:bCs/>
          <w:i w:val="0"/>
          <w:caps w:val="0"/>
          <w:color w:val="333333"/>
          <w:spacing w:val="-17"/>
          <w:kern w:val="0"/>
          <w:sz w:val="44"/>
          <w:szCs w:val="44"/>
          <w:shd w:val="clear" w:color="auto" w:fill="FFFFFF"/>
          <w:lang w:val="en-US" w:eastAsia="zh-CN" w:bidi="ar-SA"/>
        </w:rPr>
        <w:t>工业和信息化局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kern w:val="0"/>
          <w:sz w:val="44"/>
          <w:szCs w:val="44"/>
          <w:lang w:val="en-US" w:eastAsia="zh-CN" w:bidi="ar-SA"/>
        </w:rPr>
      </w:pPr>
      <w:r>
        <w:rPr>
          <w:rFonts w:hint="eastAsia" w:ascii="方正小标宋简体" w:hAnsi="方正小标宋简体" w:eastAsia="方正小标宋简体" w:cs="方正小标宋简体"/>
          <w:b w:val="0"/>
          <w:bCs/>
          <w:i w:val="0"/>
          <w:caps w:val="0"/>
          <w:color w:val="333333"/>
          <w:spacing w:val="-17"/>
          <w:kern w:val="0"/>
          <w:sz w:val="44"/>
          <w:szCs w:val="44"/>
          <w:shd w:val="clear" w:color="auto" w:fill="FFFFFF"/>
          <w:lang w:val="en-US" w:eastAsia="zh-CN" w:bidi="ar-SA"/>
        </w:rPr>
        <w:t>2024年政府信息公开工作</w:t>
      </w:r>
      <w:r>
        <w:rPr>
          <w:rFonts w:hint="eastAsia" w:ascii="方正小标宋简体" w:hAnsi="方正小标宋简体" w:eastAsia="方正小标宋简体" w:cs="方正小标宋简体"/>
          <w:b w:val="0"/>
          <w:bCs/>
          <w:i w:val="0"/>
          <w:caps w:val="0"/>
          <w:color w:val="333333"/>
          <w:spacing w:val="0"/>
          <w:kern w:val="0"/>
          <w:sz w:val="44"/>
          <w:szCs w:val="44"/>
          <w:shd w:val="clear" w:color="auto" w:fill="FFFFFF"/>
          <w:lang w:val="en-US" w:eastAsia="zh-CN" w:bidi="ar-SA"/>
        </w:rPr>
        <w:t>年度报告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ascii="仿宋_GB2312" w:hAnsi="sans-serif" w:eastAsia="仿宋_GB2312" w:cs="仿宋_GB2312"/>
          <w:i w:val="0"/>
          <w:iCs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640" w:firstLineChars="200"/>
        <w:jc w:val="left"/>
        <w:textAlignment w:val="auto"/>
        <w:rPr>
          <w:rFonts w:ascii="sans-serif" w:hAnsi="sans-serif" w:eastAsia="sans-serif" w:cs="sans-serif"/>
          <w:i w:val="0"/>
          <w:iCs w:val="0"/>
          <w:caps w:val="0"/>
          <w:color w:val="000000"/>
          <w:spacing w:val="0"/>
          <w:sz w:val="32"/>
          <w:szCs w:val="32"/>
        </w:rPr>
      </w:pPr>
      <w:r>
        <w:rPr>
          <w:rFonts w:ascii="仿宋_GB2312" w:hAnsi="sans-serif" w:eastAsia="仿宋_GB2312" w:cs="仿宋_GB2312"/>
          <w:i w:val="0"/>
          <w:iCs w:val="0"/>
          <w:caps w:val="0"/>
          <w:color w:val="000000"/>
          <w:spacing w:val="0"/>
          <w:sz w:val="32"/>
          <w:szCs w:val="32"/>
        </w:rPr>
        <w:t>根据《中华人民共和国政府信息公开条例》规定和省政府办公厅、枣庄市政府办公室、滕州市政府办公室通知要求，特编制滕州市工业和信息化局</w:t>
      </w: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年政府信息公开年度报告并向社会公布。本年度报告中所列数据的统计期限自202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年1月1日起至12月</w:t>
      </w:r>
      <w:r>
        <w:rPr>
          <w:rFonts w:hint="eastAsia" w:hAnsi="sans-serif" w:cs="仿宋_GB2312"/>
          <w:i w:val="0"/>
          <w:iCs w:val="0"/>
          <w:caps w:val="0"/>
          <w:color w:val="000000"/>
          <w:spacing w:val="0"/>
          <w:sz w:val="32"/>
          <w:szCs w:val="32"/>
          <w:lang w:val="en-US" w:eastAsia="zh-CN"/>
        </w:rPr>
        <w:t>3</w:t>
      </w:r>
      <w:r>
        <w:rPr>
          <w:rFonts w:hint="eastAsia" w:ascii="仿宋_GB2312" w:hAnsi="sans-serif" w:eastAsia="仿宋_GB2312" w:cs="仿宋_GB2312"/>
          <w:i w:val="0"/>
          <w:iCs w:val="0"/>
          <w:caps w:val="0"/>
          <w:color w:val="000000"/>
          <w:spacing w:val="0"/>
          <w:sz w:val="32"/>
          <w:szCs w:val="32"/>
        </w:rPr>
        <w:t>1日止。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kern w:val="0"/>
          <w:sz w:val="32"/>
          <w:szCs w:val="32"/>
          <w:lang w:val="en-US" w:eastAsia="zh-CN" w:bidi="ar-SA"/>
        </w:rPr>
      </w:pPr>
      <w:r>
        <w:rPr>
          <w:rFonts w:hint="eastAsia" w:ascii="黑体" w:hAnsi="黑体" w:eastAsia="黑体" w:cs="黑体"/>
          <w:b w:val="0"/>
          <w:bCs/>
          <w:i w:val="0"/>
          <w:caps w:val="0"/>
          <w:color w:val="333333"/>
          <w:spacing w:val="0"/>
          <w:kern w:val="0"/>
          <w:sz w:val="32"/>
          <w:szCs w:val="32"/>
          <w:shd w:val="clear" w:color="auto" w:fill="FFFFFF"/>
          <w:lang w:val="en-US" w:eastAsia="zh-CN" w:bidi="ar-SA"/>
        </w:rPr>
        <w:t>一、总体情况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w:t>
      </w:r>
      <w:r>
        <w:rPr>
          <w:rFonts w:hint="eastAsia" w:hAnsi="sans-serif" w:cs="仿宋_GB2312"/>
          <w:i w:val="0"/>
          <w:iCs w:val="0"/>
          <w:caps w:val="0"/>
          <w:color w:val="000000"/>
          <w:spacing w:val="0"/>
          <w:sz w:val="32"/>
          <w:szCs w:val="32"/>
          <w:lang w:eastAsia="zh-CN"/>
        </w:rPr>
        <w:t>滕州市工业和信息化局</w:t>
      </w:r>
      <w:r>
        <w:rPr>
          <w:rFonts w:hint="eastAsia" w:ascii="仿宋_GB2312" w:hAnsi="sans-serif" w:eastAsia="仿宋_GB2312" w:cs="仿宋_GB2312"/>
          <w:i w:val="0"/>
          <w:iCs w:val="0"/>
          <w:caps w:val="0"/>
          <w:color w:val="auto"/>
          <w:spacing w:val="0"/>
          <w:sz w:val="32"/>
          <w:szCs w:val="32"/>
        </w:rPr>
        <w:t>严格按照《条例》要求，在市政府的</w:t>
      </w:r>
      <w:r>
        <w:rPr>
          <w:rFonts w:hint="eastAsia" w:hAnsi="sans-serif" w:cs="仿宋_GB2312"/>
          <w:i w:val="0"/>
          <w:iCs w:val="0"/>
          <w:caps w:val="0"/>
          <w:color w:val="auto"/>
          <w:spacing w:val="0"/>
          <w:sz w:val="32"/>
          <w:szCs w:val="32"/>
          <w:lang w:eastAsia="zh-CN"/>
        </w:rPr>
        <w:t>坚强</w:t>
      </w:r>
      <w:r>
        <w:rPr>
          <w:rFonts w:hint="eastAsia" w:ascii="仿宋_GB2312" w:hAnsi="sans-serif" w:eastAsia="仿宋_GB2312" w:cs="仿宋_GB2312"/>
          <w:i w:val="0"/>
          <w:iCs w:val="0"/>
          <w:caps w:val="0"/>
          <w:color w:val="auto"/>
          <w:spacing w:val="0"/>
          <w:sz w:val="32"/>
          <w:szCs w:val="32"/>
        </w:rPr>
        <w:t>领导下，坚持以公开为常态、不公开为例外，遵循</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公正</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公平</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合法</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便民</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的原则，</w:t>
      </w:r>
      <w:r>
        <w:rPr>
          <w:rFonts w:hint="eastAsia" w:hAnsi="sans-serif" w:cs="仿宋_GB2312"/>
          <w:i w:val="0"/>
          <w:iCs w:val="0"/>
          <w:caps w:val="0"/>
          <w:color w:val="auto"/>
          <w:spacing w:val="0"/>
          <w:sz w:val="32"/>
          <w:szCs w:val="32"/>
          <w:lang w:eastAsia="zh-CN"/>
        </w:rPr>
        <w:t>深入</w:t>
      </w:r>
      <w:r>
        <w:rPr>
          <w:rFonts w:hint="eastAsia" w:ascii="仿宋_GB2312" w:hAnsi="sans-serif" w:eastAsia="仿宋_GB2312" w:cs="仿宋_GB2312"/>
          <w:i w:val="0"/>
          <w:iCs w:val="0"/>
          <w:caps w:val="0"/>
          <w:color w:val="auto"/>
          <w:spacing w:val="0"/>
          <w:sz w:val="32"/>
          <w:szCs w:val="32"/>
        </w:rPr>
        <w:t>推进政府信息公开工作，</w:t>
      </w:r>
      <w:r>
        <w:rPr>
          <w:rFonts w:hint="eastAsia" w:hAnsi="sans-serif" w:cs="仿宋_GB2312"/>
          <w:i w:val="0"/>
          <w:iCs w:val="0"/>
          <w:caps w:val="0"/>
          <w:color w:val="auto"/>
          <w:spacing w:val="0"/>
          <w:sz w:val="32"/>
          <w:szCs w:val="32"/>
          <w:lang w:eastAsia="zh-CN"/>
        </w:rPr>
        <w:t>依托政务公开页面</w:t>
      </w:r>
      <w:r>
        <w:rPr>
          <w:rFonts w:hint="eastAsia" w:ascii="仿宋_GB2312" w:hAnsi="sans-serif" w:eastAsia="仿宋_GB2312" w:cs="仿宋_GB2312"/>
          <w:i w:val="0"/>
          <w:iCs w:val="0"/>
          <w:caps w:val="0"/>
          <w:color w:val="auto"/>
          <w:spacing w:val="0"/>
          <w:sz w:val="32"/>
          <w:szCs w:val="32"/>
        </w:rPr>
        <w:t>、微信公众号等做好主动公开工作；加强政府信息公开的规范化、标准化、信息化管理，切实做好依申请公开工作</w:t>
      </w:r>
      <w:r>
        <w:rPr>
          <w:rFonts w:hint="eastAsia" w:hAnsi="sans-serif"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截至202</w:t>
      </w:r>
      <w:r>
        <w:rPr>
          <w:rFonts w:hint="eastAsia" w:hAnsi="sans-serif" w:cs="仿宋_GB2312"/>
          <w:i w:val="0"/>
          <w:iCs w:val="0"/>
          <w:caps w:val="0"/>
          <w:color w:val="auto"/>
          <w:spacing w:val="0"/>
          <w:sz w:val="32"/>
          <w:szCs w:val="32"/>
          <w:lang w:val="en-US" w:eastAsia="zh-CN"/>
        </w:rPr>
        <w:t>4</w:t>
      </w:r>
      <w:r>
        <w:rPr>
          <w:rFonts w:hint="eastAsia" w:ascii="仿宋_GB2312" w:hAnsi="sans-serif" w:eastAsia="仿宋_GB2312" w:cs="仿宋_GB2312"/>
          <w:i w:val="0"/>
          <w:iCs w:val="0"/>
          <w:caps w:val="0"/>
          <w:color w:val="auto"/>
          <w:spacing w:val="0"/>
          <w:sz w:val="32"/>
          <w:szCs w:val="32"/>
        </w:rPr>
        <w:t>年12月</w:t>
      </w:r>
      <w:r>
        <w:rPr>
          <w:rFonts w:hint="eastAsia" w:hAnsi="sans-serif" w:cs="仿宋_GB2312"/>
          <w:i w:val="0"/>
          <w:iCs w:val="0"/>
          <w:caps w:val="0"/>
          <w:color w:val="auto"/>
          <w:spacing w:val="0"/>
          <w:sz w:val="32"/>
          <w:szCs w:val="32"/>
          <w:lang w:val="en-US" w:eastAsia="zh-CN"/>
        </w:rPr>
        <w:t>3</w:t>
      </w:r>
      <w:r>
        <w:rPr>
          <w:rFonts w:hint="eastAsia" w:ascii="仿宋_GB2312" w:hAnsi="sans-serif" w:eastAsia="仿宋_GB2312" w:cs="仿宋_GB2312"/>
          <w:i w:val="0"/>
          <w:iCs w:val="0"/>
          <w:caps w:val="0"/>
          <w:color w:val="auto"/>
          <w:spacing w:val="0"/>
          <w:sz w:val="32"/>
          <w:szCs w:val="32"/>
        </w:rPr>
        <w:t>1日，</w:t>
      </w:r>
      <w:r>
        <w:rPr>
          <w:rFonts w:hint="eastAsia" w:hAnsi="sans-serif" w:cs="仿宋_GB2312"/>
          <w:i w:val="0"/>
          <w:iCs w:val="0"/>
          <w:caps w:val="0"/>
          <w:color w:val="auto"/>
          <w:spacing w:val="0"/>
          <w:sz w:val="32"/>
          <w:szCs w:val="32"/>
          <w:lang w:eastAsia="zh-CN"/>
        </w:rPr>
        <w:t>滕州市工业和信息化局</w:t>
      </w:r>
      <w:r>
        <w:rPr>
          <w:rFonts w:hint="eastAsia" w:ascii="仿宋_GB2312" w:hAnsi="sans-serif" w:eastAsia="仿宋_GB2312" w:cs="仿宋_GB2312"/>
          <w:i w:val="0"/>
          <w:iCs w:val="0"/>
          <w:caps w:val="0"/>
          <w:color w:val="auto"/>
          <w:spacing w:val="0"/>
          <w:sz w:val="32"/>
          <w:szCs w:val="32"/>
        </w:rPr>
        <w:t>政府信</w:t>
      </w:r>
      <w:r>
        <w:rPr>
          <w:rFonts w:hint="eastAsia" w:ascii="仿宋_GB2312" w:hAnsi="sans-serif" w:eastAsia="仿宋_GB2312" w:cs="仿宋_GB2312"/>
          <w:i w:val="0"/>
          <w:iCs w:val="0"/>
          <w:caps w:val="0"/>
          <w:color w:val="000000"/>
          <w:spacing w:val="0"/>
          <w:sz w:val="32"/>
          <w:szCs w:val="32"/>
        </w:rPr>
        <w:t>息公开工作运行正常，相关工作持续稳步开展。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lang w:eastAsia="zh-CN"/>
        </w:rPr>
      </w:pPr>
      <w:r>
        <w:rPr>
          <w:rFonts w:hint="eastAsia" w:ascii="楷体_GB2312" w:hAnsi="sans-serif" w:eastAsia="楷体_GB2312" w:cs="楷体_GB2312"/>
          <w:i w:val="0"/>
          <w:iCs w:val="0"/>
          <w:caps w:val="0"/>
          <w:color w:val="000000"/>
          <w:spacing w:val="0"/>
          <w:sz w:val="32"/>
          <w:szCs w:val="32"/>
        </w:rPr>
        <w:t>（一）主动公开</w:t>
      </w:r>
      <w:r>
        <w:rPr>
          <w:rFonts w:hint="eastAsia" w:ascii="楷体_GB2312" w:hAnsi="sans-serif" w:eastAsia="楷体_GB2312" w:cs="楷体_GB2312"/>
          <w:i w:val="0"/>
          <w:iCs w:val="0"/>
          <w:caps w:val="0"/>
          <w:color w:val="000000"/>
          <w:spacing w:val="0"/>
          <w:sz w:val="32"/>
          <w:szCs w:val="32"/>
          <w:lang w:eastAsia="zh-CN"/>
        </w:rPr>
        <w:t>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sans-serif" w:eastAsia="仿宋_GB2312" w:cs="仿宋_GB2312"/>
          <w:i w:val="0"/>
          <w:iCs w:val="0"/>
          <w:caps w:val="0"/>
          <w:color w:val="auto"/>
          <w:spacing w:val="0"/>
          <w:sz w:val="32"/>
          <w:szCs w:val="32"/>
          <w:highlight w:val="none"/>
          <w:lang w:eastAsia="zh-CN"/>
        </w:rPr>
      </w:pPr>
      <w:r>
        <w:rPr>
          <w:rFonts w:hint="eastAsia" w:ascii="仿宋_GB2312" w:hAnsi="sans-serif" w:eastAsia="仿宋_GB2312" w:cs="仿宋_GB2312"/>
          <w:i w:val="0"/>
          <w:iCs w:val="0"/>
          <w:caps w:val="0"/>
          <w:color w:val="auto"/>
          <w:spacing w:val="0"/>
          <w:sz w:val="32"/>
          <w:szCs w:val="32"/>
          <w:highlight w:val="none"/>
        </w:rPr>
        <w:t>坚持依法公开、客观公正、内外有别、注重实效、方便监督</w:t>
      </w:r>
      <w:r>
        <w:rPr>
          <w:rFonts w:hint="eastAsia" w:hAnsi="sans-serif" w:cs="仿宋_GB2312"/>
          <w:i w:val="0"/>
          <w:iCs w:val="0"/>
          <w:caps w:val="0"/>
          <w:color w:val="auto"/>
          <w:spacing w:val="0"/>
          <w:sz w:val="32"/>
          <w:szCs w:val="32"/>
          <w:highlight w:val="none"/>
          <w:lang w:eastAsia="zh-CN"/>
        </w:rPr>
        <w:t>的</w:t>
      </w:r>
      <w:r>
        <w:rPr>
          <w:rFonts w:hint="eastAsia" w:ascii="仿宋_GB2312" w:hAnsi="sans-serif" w:eastAsia="仿宋_GB2312" w:cs="仿宋_GB2312"/>
          <w:i w:val="0"/>
          <w:iCs w:val="0"/>
          <w:caps w:val="0"/>
          <w:color w:val="auto"/>
          <w:spacing w:val="0"/>
          <w:sz w:val="32"/>
          <w:szCs w:val="32"/>
          <w:highlight w:val="none"/>
        </w:rPr>
        <w:t>原则，积极主动开展政府信息公开工作。全年主动公开政府信息</w:t>
      </w:r>
      <w:r>
        <w:rPr>
          <w:rFonts w:hint="eastAsia" w:hAnsi="sans-serif" w:cs="仿宋_GB2312"/>
          <w:i w:val="0"/>
          <w:iCs w:val="0"/>
          <w:caps w:val="0"/>
          <w:color w:val="auto"/>
          <w:spacing w:val="0"/>
          <w:sz w:val="32"/>
          <w:szCs w:val="32"/>
          <w:highlight w:val="none"/>
          <w:lang w:val="en-US" w:eastAsia="zh-CN"/>
        </w:rPr>
        <w:t>489</w:t>
      </w:r>
      <w:r>
        <w:rPr>
          <w:rFonts w:hint="eastAsia" w:ascii="仿宋_GB2312" w:hAnsi="sans-serif" w:eastAsia="仿宋_GB2312" w:cs="仿宋_GB2312"/>
          <w:i w:val="0"/>
          <w:iCs w:val="0"/>
          <w:caps w:val="0"/>
          <w:color w:val="auto"/>
          <w:spacing w:val="0"/>
          <w:sz w:val="32"/>
          <w:szCs w:val="32"/>
          <w:highlight w:val="none"/>
        </w:rPr>
        <w:t>条</w:t>
      </w:r>
      <w:r>
        <w:rPr>
          <w:rFonts w:hint="eastAsia" w:hAnsi="sans-serif" w:cs="仿宋_GB2312"/>
          <w:i w:val="0"/>
          <w:iCs w:val="0"/>
          <w:caps w:val="0"/>
          <w:color w:val="auto"/>
          <w:spacing w:val="0"/>
          <w:sz w:val="32"/>
          <w:szCs w:val="32"/>
          <w:highlight w:val="none"/>
          <w:lang w:eastAsia="zh-CN"/>
        </w:rPr>
        <w:t>，</w:t>
      </w:r>
      <w:r>
        <w:rPr>
          <w:rFonts w:hint="eastAsia" w:ascii="仿宋_GB2312" w:hAnsi="sans-serif" w:eastAsia="仿宋_GB2312" w:cs="仿宋_GB2312"/>
          <w:i w:val="0"/>
          <w:iCs w:val="0"/>
          <w:caps w:val="0"/>
          <w:color w:val="auto"/>
          <w:spacing w:val="0"/>
          <w:sz w:val="32"/>
          <w:szCs w:val="32"/>
          <w:highlight w:val="none"/>
        </w:rPr>
        <w:t>其中，通过</w:t>
      </w:r>
      <w:r>
        <w:rPr>
          <w:rFonts w:hint="eastAsia" w:hAnsi="sans-serif" w:cs="仿宋_GB2312"/>
          <w:i w:val="0"/>
          <w:iCs w:val="0"/>
          <w:caps w:val="0"/>
          <w:color w:val="auto"/>
          <w:spacing w:val="0"/>
          <w:sz w:val="32"/>
          <w:szCs w:val="32"/>
          <w:highlight w:val="none"/>
          <w:lang w:eastAsia="zh-CN"/>
        </w:rPr>
        <w:t>滕州市人民政府官网“本市动态”栏目“滕州市工业和信息化局”页面</w:t>
      </w:r>
      <w:r>
        <w:rPr>
          <w:rFonts w:hint="eastAsia" w:ascii="仿宋_GB2312" w:hAnsi="sans-serif" w:eastAsia="仿宋_GB2312" w:cs="仿宋_GB2312"/>
          <w:i w:val="0"/>
          <w:iCs w:val="0"/>
          <w:caps w:val="0"/>
          <w:color w:val="auto"/>
          <w:spacing w:val="0"/>
          <w:sz w:val="32"/>
          <w:szCs w:val="32"/>
          <w:highlight w:val="none"/>
        </w:rPr>
        <w:t>公开信息</w:t>
      </w:r>
      <w:r>
        <w:rPr>
          <w:rFonts w:hint="eastAsia" w:hAnsi="sans-serif" w:cs="仿宋_GB2312"/>
          <w:i w:val="0"/>
          <w:iCs w:val="0"/>
          <w:caps w:val="0"/>
          <w:color w:val="auto"/>
          <w:spacing w:val="0"/>
          <w:sz w:val="32"/>
          <w:szCs w:val="32"/>
          <w:highlight w:val="none"/>
          <w:lang w:val="en-US" w:eastAsia="zh-CN"/>
        </w:rPr>
        <w:t>94</w:t>
      </w:r>
      <w:r>
        <w:rPr>
          <w:rFonts w:hint="eastAsia" w:ascii="仿宋_GB2312" w:hAnsi="sans-serif" w:eastAsia="仿宋_GB2312" w:cs="仿宋_GB2312"/>
          <w:i w:val="0"/>
          <w:iCs w:val="0"/>
          <w:caps w:val="0"/>
          <w:color w:val="auto"/>
          <w:spacing w:val="0"/>
          <w:sz w:val="32"/>
          <w:szCs w:val="32"/>
          <w:highlight w:val="none"/>
        </w:rPr>
        <w:t>条，通过</w:t>
      </w:r>
      <w:r>
        <w:rPr>
          <w:rFonts w:hint="eastAsia" w:hAnsi="sans-serif" w:cs="仿宋_GB2312"/>
          <w:i w:val="0"/>
          <w:iCs w:val="0"/>
          <w:caps w:val="0"/>
          <w:color w:val="auto"/>
          <w:spacing w:val="0"/>
          <w:sz w:val="32"/>
          <w:szCs w:val="32"/>
          <w:highlight w:val="none"/>
          <w:lang w:eastAsia="zh-CN"/>
        </w:rPr>
        <w:t>滕州市人民政府官网信息公开页面</w:t>
      </w:r>
      <w:r>
        <w:rPr>
          <w:rFonts w:hint="eastAsia" w:ascii="仿宋_GB2312" w:hAnsi="sans-serif" w:eastAsia="仿宋_GB2312" w:cs="仿宋_GB2312"/>
          <w:i w:val="0"/>
          <w:iCs w:val="0"/>
          <w:caps w:val="0"/>
          <w:color w:val="auto"/>
          <w:spacing w:val="0"/>
          <w:sz w:val="32"/>
          <w:szCs w:val="32"/>
          <w:highlight w:val="none"/>
        </w:rPr>
        <w:t>公开信息</w:t>
      </w:r>
      <w:r>
        <w:rPr>
          <w:rFonts w:hint="eastAsia" w:hAnsi="sans-serif" w:cs="仿宋_GB2312"/>
          <w:i w:val="0"/>
          <w:iCs w:val="0"/>
          <w:caps w:val="0"/>
          <w:color w:val="auto"/>
          <w:spacing w:val="0"/>
          <w:sz w:val="32"/>
          <w:szCs w:val="32"/>
          <w:highlight w:val="none"/>
          <w:lang w:val="en-US" w:eastAsia="zh-CN"/>
        </w:rPr>
        <w:t>118</w:t>
      </w:r>
      <w:r>
        <w:rPr>
          <w:rFonts w:hint="eastAsia" w:ascii="仿宋_GB2312" w:hAnsi="sans-serif" w:eastAsia="仿宋_GB2312" w:cs="仿宋_GB2312"/>
          <w:i w:val="0"/>
          <w:iCs w:val="0"/>
          <w:caps w:val="0"/>
          <w:color w:val="auto"/>
          <w:spacing w:val="0"/>
          <w:sz w:val="32"/>
          <w:szCs w:val="32"/>
          <w:highlight w:val="none"/>
        </w:rPr>
        <w:t>条，通过</w:t>
      </w:r>
      <w:r>
        <w:rPr>
          <w:rFonts w:hint="eastAsia" w:hAnsi="sans-serif" w:cs="仿宋_GB2312"/>
          <w:i w:val="0"/>
          <w:iCs w:val="0"/>
          <w:caps w:val="0"/>
          <w:color w:val="auto"/>
          <w:spacing w:val="0"/>
          <w:sz w:val="32"/>
          <w:szCs w:val="32"/>
          <w:highlight w:val="none"/>
          <w:lang w:eastAsia="zh-CN"/>
        </w:rPr>
        <w:t>滕州市工业和信息化</w:t>
      </w:r>
      <w:r>
        <w:rPr>
          <w:rFonts w:hint="eastAsia" w:ascii="仿宋_GB2312" w:hAnsi="sans-serif" w:eastAsia="仿宋_GB2312" w:cs="仿宋_GB2312"/>
          <w:i w:val="0"/>
          <w:iCs w:val="0"/>
          <w:caps w:val="0"/>
          <w:color w:val="auto"/>
          <w:spacing w:val="0"/>
          <w:sz w:val="32"/>
          <w:szCs w:val="32"/>
          <w:highlight w:val="none"/>
        </w:rPr>
        <w:t>局</w:t>
      </w:r>
      <w:r>
        <w:rPr>
          <w:rFonts w:hint="eastAsia" w:hAnsi="sans-serif" w:cs="仿宋_GB2312"/>
          <w:i w:val="0"/>
          <w:iCs w:val="0"/>
          <w:caps w:val="0"/>
          <w:color w:val="auto"/>
          <w:spacing w:val="0"/>
          <w:sz w:val="32"/>
          <w:szCs w:val="32"/>
          <w:highlight w:val="none"/>
          <w:lang w:eastAsia="zh-CN"/>
        </w:rPr>
        <w:t>官方</w:t>
      </w:r>
      <w:r>
        <w:rPr>
          <w:rFonts w:hint="eastAsia" w:ascii="仿宋_GB2312" w:hAnsi="sans-serif" w:eastAsia="仿宋_GB2312" w:cs="仿宋_GB2312"/>
          <w:i w:val="0"/>
          <w:iCs w:val="0"/>
          <w:caps w:val="0"/>
          <w:color w:val="auto"/>
          <w:spacing w:val="0"/>
          <w:sz w:val="32"/>
          <w:szCs w:val="32"/>
          <w:highlight w:val="none"/>
        </w:rPr>
        <w:t>微信公众号公开信息</w:t>
      </w:r>
      <w:r>
        <w:rPr>
          <w:rFonts w:hint="eastAsia" w:hAnsi="sans-serif" w:cs="仿宋_GB2312"/>
          <w:i w:val="0"/>
          <w:iCs w:val="0"/>
          <w:caps w:val="0"/>
          <w:color w:val="auto"/>
          <w:spacing w:val="0"/>
          <w:sz w:val="32"/>
          <w:szCs w:val="32"/>
          <w:highlight w:val="none"/>
          <w:lang w:val="en-US" w:eastAsia="zh-CN"/>
        </w:rPr>
        <w:t>277</w:t>
      </w:r>
      <w:r>
        <w:rPr>
          <w:rFonts w:hint="eastAsia" w:ascii="仿宋_GB2312" w:hAnsi="sans-serif" w:eastAsia="仿宋_GB2312" w:cs="仿宋_GB2312"/>
          <w:i w:val="0"/>
          <w:iCs w:val="0"/>
          <w:caps w:val="0"/>
          <w:color w:val="auto"/>
          <w:spacing w:val="0"/>
          <w:sz w:val="32"/>
          <w:szCs w:val="32"/>
          <w:highlight w:val="none"/>
        </w:rPr>
        <w:t>条。</w:t>
      </w:r>
    </w:p>
    <w:p>
      <w:pPr>
        <w:pStyle w:val="7"/>
        <w:keepNext w:val="0"/>
        <w:keepLines w:val="0"/>
        <w:widowControl/>
        <w:suppressLineNumbers w:val="0"/>
        <w:spacing w:line="315"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ascii="sans-serif" w:hAnsi="sans-serif" w:eastAsia="宋体" w:cs="sans-serif"/>
          <w:i w:val="0"/>
          <w:iCs w:val="0"/>
          <w:caps w:val="0"/>
          <w:color w:val="000000"/>
          <w:spacing w:val="0"/>
          <w:sz w:val="27"/>
          <w:szCs w:val="27"/>
          <w:lang w:eastAsia="zh-CN"/>
        </w:rPr>
        <w:drawing>
          <wp:inline distT="0" distB="0" distL="114300" distR="114300">
            <wp:extent cx="5079365" cy="2775585"/>
            <wp:effectExtent l="4445" t="4445" r="21590"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7"/>
        <w:keepNext w:val="0"/>
        <w:keepLines w:val="0"/>
        <w:widowControl/>
        <w:suppressLineNumbers w:val="0"/>
        <w:spacing w:line="600" w:lineRule="atLeast"/>
        <w:ind w:lef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4</w:t>
      </w:r>
      <w:r>
        <w:rPr>
          <w:rFonts w:hint="eastAsia" w:ascii="黑体" w:hAnsi="宋体" w:eastAsia="黑体" w:cs="黑体"/>
          <w:i w:val="0"/>
          <w:iCs w:val="0"/>
          <w:caps w:val="0"/>
          <w:color w:val="000000"/>
          <w:spacing w:val="0"/>
          <w:sz w:val="24"/>
          <w:szCs w:val="24"/>
        </w:rPr>
        <w:t>年</w:t>
      </w:r>
      <w:r>
        <w:rPr>
          <w:rFonts w:hint="eastAsia" w:ascii="黑体" w:hAnsi="宋体" w:eastAsia="黑体" w:cs="黑体"/>
          <w:i w:val="0"/>
          <w:iCs w:val="0"/>
          <w:caps w:val="0"/>
          <w:color w:val="000000"/>
          <w:spacing w:val="0"/>
          <w:sz w:val="24"/>
          <w:szCs w:val="24"/>
          <w:lang w:eastAsia="zh-CN"/>
        </w:rPr>
        <w:t>市工信</w:t>
      </w:r>
      <w:r>
        <w:rPr>
          <w:rFonts w:hint="eastAsia" w:ascii="黑体" w:hAnsi="宋体" w:eastAsia="黑体" w:cs="黑体"/>
          <w:i w:val="0"/>
          <w:iCs w:val="0"/>
          <w:caps w:val="0"/>
          <w:color w:val="000000"/>
          <w:spacing w:val="0"/>
          <w:sz w:val="24"/>
          <w:szCs w:val="24"/>
        </w:rPr>
        <w:t>局政府信息主动公开情况分布图</w:t>
      </w:r>
    </w:p>
    <w:p>
      <w:pPr>
        <w:pStyle w:val="7"/>
        <w:keepNext w:val="0"/>
        <w:keepLines w:val="0"/>
        <w:widowControl/>
        <w:suppressLineNumbers w:val="0"/>
        <w:spacing w:line="600" w:lineRule="atLeast"/>
        <w:ind w:left="0" w:firstLine="0"/>
        <w:jc w:val="center"/>
        <w:rPr>
          <w:rFonts w:hint="eastAsia" w:ascii="黑体" w:hAnsi="宋体" w:eastAsia="黑体" w:cs="黑体"/>
          <w:i w:val="0"/>
          <w:iCs w:val="0"/>
          <w:caps w:val="0"/>
          <w:color w:val="000000"/>
          <w:spacing w:val="0"/>
          <w:sz w:val="24"/>
          <w:szCs w:val="24"/>
        </w:rPr>
      </w:pPr>
    </w:p>
    <w:p>
      <w:pPr>
        <w:pStyle w:val="7"/>
        <w:keepNext w:val="0"/>
        <w:keepLines w:val="0"/>
        <w:widowControl/>
        <w:suppressLineNumbers w:val="0"/>
        <w:spacing w:line="600" w:lineRule="atLeast"/>
        <w:ind w:left="0" w:firstLine="0"/>
        <w:jc w:val="center"/>
        <w:rPr>
          <w:rFonts w:hint="eastAsia" w:ascii="黑体" w:hAnsi="宋体" w:eastAsia="黑体" w:cs="黑体"/>
          <w:i w:val="0"/>
          <w:iCs w:val="0"/>
          <w:caps w:val="0"/>
          <w:color w:val="000000"/>
          <w:spacing w:val="0"/>
          <w:sz w:val="24"/>
          <w:szCs w:val="24"/>
          <w:lang w:eastAsia="zh-CN"/>
        </w:rPr>
      </w:pPr>
      <w:r>
        <w:rPr>
          <w:rFonts w:hint="eastAsia" w:ascii="黑体" w:hAnsi="宋体" w:eastAsia="黑体" w:cs="黑体"/>
          <w:i w:val="0"/>
          <w:iCs w:val="0"/>
          <w:caps w:val="0"/>
          <w:color w:val="000000"/>
          <w:spacing w:val="0"/>
          <w:sz w:val="24"/>
          <w:szCs w:val="24"/>
          <w:lang w:eastAsia="zh-CN"/>
        </w:rPr>
        <w:drawing>
          <wp:inline distT="0" distB="0" distL="114300" distR="114300">
            <wp:extent cx="5592445" cy="3204210"/>
            <wp:effectExtent l="0" t="0" r="8255" b="15240"/>
            <wp:docPr id="11" name="图片 11" descr="截图_选择区域_2025010710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截图_选择区域_20250107105707"/>
                    <pic:cNvPicPr>
                      <a:picLocks noChangeAspect="1"/>
                    </pic:cNvPicPr>
                  </pic:nvPicPr>
                  <pic:blipFill>
                    <a:blip r:embed="rId6"/>
                    <a:stretch>
                      <a:fillRect/>
                    </a:stretch>
                  </pic:blipFill>
                  <pic:spPr>
                    <a:xfrm>
                      <a:off x="0" y="0"/>
                      <a:ext cx="5592445" cy="3204210"/>
                    </a:xfrm>
                    <a:prstGeom prst="rect">
                      <a:avLst/>
                    </a:prstGeom>
                  </pic:spPr>
                </pic:pic>
              </a:graphicData>
            </a:graphic>
          </wp:inline>
        </w:drawing>
      </w: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4</w:t>
      </w:r>
      <w:r>
        <w:rPr>
          <w:rFonts w:hint="eastAsia" w:ascii="黑体" w:hAnsi="宋体" w:eastAsia="黑体" w:cs="黑体"/>
          <w:i w:val="0"/>
          <w:iCs w:val="0"/>
          <w:caps w:val="0"/>
          <w:color w:val="000000"/>
          <w:spacing w:val="0"/>
          <w:sz w:val="24"/>
          <w:szCs w:val="24"/>
        </w:rPr>
        <w:t>年</w:t>
      </w:r>
      <w:r>
        <w:rPr>
          <w:rFonts w:hint="eastAsia" w:ascii="黑体" w:hAnsi="宋体" w:eastAsia="黑体" w:cs="黑体"/>
          <w:i w:val="0"/>
          <w:iCs w:val="0"/>
          <w:caps w:val="0"/>
          <w:color w:val="000000"/>
          <w:spacing w:val="0"/>
          <w:sz w:val="24"/>
          <w:szCs w:val="24"/>
          <w:lang w:eastAsia="zh-CN"/>
        </w:rPr>
        <w:t>在滕州市人民政府官网“本市动态”栏目“滕州市工业和信息化局”页面公开信息</w:t>
      </w:r>
      <w:r>
        <w:rPr>
          <w:rFonts w:hint="eastAsia" w:ascii="黑体" w:hAnsi="宋体" w:eastAsia="黑体" w:cs="黑体"/>
          <w:i w:val="0"/>
          <w:iCs w:val="0"/>
          <w:caps w:val="0"/>
          <w:color w:val="000000"/>
          <w:spacing w:val="0"/>
          <w:sz w:val="24"/>
          <w:szCs w:val="24"/>
        </w:rPr>
        <w:t>发布情况（部分）</w:t>
      </w:r>
    </w:p>
    <w:p>
      <w:pPr>
        <w:pStyle w:val="7"/>
        <w:keepNext w:val="0"/>
        <w:keepLines w:val="0"/>
        <w:widowControl/>
        <w:suppressLineNumbers w:val="0"/>
        <w:spacing w:line="600"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ascii="sans-serif" w:hAnsi="sans-serif" w:eastAsia="宋体" w:cs="sans-serif"/>
          <w:i w:val="0"/>
          <w:iCs w:val="0"/>
          <w:caps w:val="0"/>
          <w:color w:val="000000"/>
          <w:spacing w:val="0"/>
          <w:sz w:val="27"/>
          <w:szCs w:val="27"/>
          <w:lang w:eastAsia="zh-CN"/>
        </w:rPr>
        <w:drawing>
          <wp:inline distT="0" distB="0" distL="114300" distR="114300">
            <wp:extent cx="4761230" cy="3668395"/>
            <wp:effectExtent l="0" t="0" r="1270" b="8255"/>
            <wp:docPr id="6" name="图片 6" descr="截图_选择区域_2025011309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截图_选择区域_20250113090323"/>
                    <pic:cNvPicPr>
                      <a:picLocks noChangeAspect="1"/>
                    </pic:cNvPicPr>
                  </pic:nvPicPr>
                  <pic:blipFill>
                    <a:blip r:embed="rId7"/>
                    <a:stretch>
                      <a:fillRect/>
                    </a:stretch>
                  </pic:blipFill>
                  <pic:spPr>
                    <a:xfrm>
                      <a:off x="0" y="0"/>
                      <a:ext cx="4761230" cy="3668395"/>
                    </a:xfrm>
                    <a:prstGeom prst="rect">
                      <a:avLst/>
                    </a:prstGeom>
                  </pic:spPr>
                </pic:pic>
              </a:graphicData>
            </a:graphic>
          </wp:inline>
        </w:drawing>
      </w:r>
    </w:p>
    <w:p>
      <w:pPr>
        <w:pStyle w:val="7"/>
        <w:keepNext w:val="0"/>
        <w:keepLines w:val="0"/>
        <w:widowControl/>
        <w:suppressLineNumbers w:val="0"/>
        <w:spacing w:line="600" w:lineRule="atLeast"/>
        <w:ind w:left="0" w:firstLine="0"/>
        <w:jc w:val="center"/>
        <w:rPr>
          <w:rFonts w:hint="eastAsia" w:ascii="黑体" w:hAnsi="宋体" w:eastAsia="黑体" w:cs="黑体"/>
          <w:i w:val="0"/>
          <w:iCs w:val="0"/>
          <w:caps w:val="0"/>
          <w:color w:val="000000"/>
          <w:spacing w:val="0"/>
          <w:sz w:val="24"/>
          <w:szCs w:val="24"/>
        </w:rPr>
      </w:pP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4</w:t>
      </w:r>
      <w:r>
        <w:rPr>
          <w:rFonts w:hint="eastAsia" w:ascii="黑体" w:hAnsi="宋体" w:eastAsia="黑体" w:cs="黑体"/>
          <w:i w:val="0"/>
          <w:iCs w:val="0"/>
          <w:caps w:val="0"/>
          <w:color w:val="000000"/>
          <w:spacing w:val="0"/>
          <w:sz w:val="24"/>
          <w:szCs w:val="24"/>
        </w:rPr>
        <w:t>年</w:t>
      </w:r>
      <w:r>
        <w:rPr>
          <w:rFonts w:hint="eastAsia" w:ascii="黑体" w:hAnsi="宋体" w:eastAsia="黑体" w:cs="黑体"/>
          <w:i w:val="0"/>
          <w:iCs w:val="0"/>
          <w:caps w:val="0"/>
          <w:color w:val="000000"/>
          <w:spacing w:val="0"/>
          <w:sz w:val="24"/>
          <w:szCs w:val="24"/>
          <w:lang w:eastAsia="zh-CN"/>
        </w:rPr>
        <w:t>在滕州市人民政府官网信息公开页面公开信息</w:t>
      </w:r>
      <w:r>
        <w:rPr>
          <w:rFonts w:hint="eastAsia" w:ascii="黑体" w:hAnsi="宋体" w:eastAsia="黑体" w:cs="黑体"/>
          <w:i w:val="0"/>
          <w:iCs w:val="0"/>
          <w:caps w:val="0"/>
          <w:color w:val="000000"/>
          <w:spacing w:val="0"/>
          <w:sz w:val="24"/>
          <w:szCs w:val="24"/>
        </w:rPr>
        <w:t>发布情况（部分）</w:t>
      </w:r>
    </w:p>
    <w:p>
      <w:pPr>
        <w:pStyle w:val="7"/>
        <w:keepNext w:val="0"/>
        <w:keepLines w:val="0"/>
        <w:widowControl/>
        <w:suppressLineNumbers w:val="0"/>
        <w:spacing w:line="315"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ascii="sans-serif" w:hAnsi="sans-serif" w:eastAsia="宋体" w:cs="sans-serif"/>
          <w:i w:val="0"/>
          <w:iCs w:val="0"/>
          <w:caps w:val="0"/>
          <w:color w:val="000000"/>
          <w:spacing w:val="0"/>
          <w:sz w:val="27"/>
          <w:szCs w:val="27"/>
          <w:lang w:eastAsia="zh-CN"/>
        </w:rPr>
        <w:drawing>
          <wp:inline distT="0" distB="0" distL="114300" distR="114300">
            <wp:extent cx="4946015" cy="3293745"/>
            <wp:effectExtent l="0" t="0" r="6985" b="1905"/>
            <wp:docPr id="2" name="图片 2" descr="截图_选择区域_2024111909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图_选择区域_20241119094749"/>
                    <pic:cNvPicPr>
                      <a:picLocks noChangeAspect="1"/>
                    </pic:cNvPicPr>
                  </pic:nvPicPr>
                  <pic:blipFill>
                    <a:blip r:embed="rId8"/>
                    <a:stretch>
                      <a:fillRect/>
                    </a:stretch>
                  </pic:blipFill>
                  <pic:spPr>
                    <a:xfrm>
                      <a:off x="0" y="0"/>
                      <a:ext cx="4946015" cy="3293745"/>
                    </a:xfrm>
                    <a:prstGeom prst="rect">
                      <a:avLst/>
                    </a:prstGeom>
                  </pic:spPr>
                </pic:pic>
              </a:graphicData>
            </a:graphic>
          </wp:inline>
        </w:drawing>
      </w:r>
    </w:p>
    <w:p>
      <w:pPr>
        <w:pStyle w:val="7"/>
        <w:keepNext w:val="0"/>
        <w:keepLines w:val="0"/>
        <w:widowControl/>
        <w:suppressLineNumbers w:val="0"/>
        <w:spacing w:line="600"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24"/>
          <w:szCs w:val="24"/>
        </w:rPr>
        <w:t>202</w:t>
      </w:r>
      <w:r>
        <w:rPr>
          <w:rFonts w:hint="eastAsia" w:ascii="黑体" w:hAnsi="宋体" w:eastAsia="黑体" w:cs="黑体"/>
          <w:i w:val="0"/>
          <w:iCs w:val="0"/>
          <w:caps w:val="0"/>
          <w:color w:val="000000"/>
          <w:spacing w:val="0"/>
          <w:sz w:val="24"/>
          <w:szCs w:val="24"/>
          <w:lang w:val="en-US" w:eastAsia="zh-CN"/>
        </w:rPr>
        <w:t>4</w:t>
      </w:r>
      <w:r>
        <w:rPr>
          <w:rFonts w:hint="eastAsia" w:ascii="黑体" w:hAnsi="宋体" w:eastAsia="黑体" w:cs="黑体"/>
          <w:i w:val="0"/>
          <w:iCs w:val="0"/>
          <w:caps w:val="0"/>
          <w:color w:val="000000"/>
          <w:spacing w:val="0"/>
          <w:sz w:val="24"/>
          <w:szCs w:val="24"/>
        </w:rPr>
        <w:t>年“滕州工信”官方公众号发布信息情况（部分）</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highlight w:val="none"/>
          <w:lang w:eastAsia="zh-CN"/>
        </w:rPr>
      </w:pPr>
      <w:r>
        <w:rPr>
          <w:rFonts w:hint="eastAsia" w:ascii="楷体_GB2312" w:hAnsi="sans-serif" w:eastAsia="楷体_GB2312" w:cs="楷体_GB2312"/>
          <w:i w:val="0"/>
          <w:iCs w:val="0"/>
          <w:caps w:val="0"/>
          <w:color w:val="000000"/>
          <w:spacing w:val="0"/>
          <w:sz w:val="32"/>
          <w:szCs w:val="32"/>
          <w:highlight w:val="none"/>
        </w:rPr>
        <w:t>（二）依申请公开</w:t>
      </w:r>
      <w:r>
        <w:rPr>
          <w:rFonts w:hint="eastAsia" w:ascii="楷体_GB2312" w:hAnsi="sans-serif" w:eastAsia="楷体_GB2312" w:cs="楷体_GB2312"/>
          <w:i w:val="0"/>
          <w:iCs w:val="0"/>
          <w:caps w:val="0"/>
          <w:color w:val="000000"/>
          <w:spacing w:val="0"/>
          <w:sz w:val="32"/>
          <w:szCs w:val="32"/>
          <w:highlight w:val="none"/>
          <w:lang w:eastAsia="zh-CN"/>
        </w:rPr>
        <w:t>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sans-serif" w:hAnsi="sans-serif" w:eastAsia="仿宋_GB2312" w:cs="sans-serif"/>
          <w:i w:val="0"/>
          <w:iCs w:val="0"/>
          <w:caps w:val="0"/>
          <w:color w:val="000000"/>
          <w:spacing w:val="0"/>
          <w:sz w:val="32"/>
          <w:szCs w:val="32"/>
          <w:highlight w:val="none"/>
          <w:lang w:eastAsia="zh-CN"/>
        </w:rPr>
      </w:pPr>
      <w:r>
        <w:rPr>
          <w:rFonts w:hint="eastAsia" w:ascii="仿宋_GB2312" w:hAnsi="sans-serif" w:eastAsia="仿宋_GB2312" w:cs="仿宋_GB2312"/>
          <w:i w:val="0"/>
          <w:iCs w:val="0"/>
          <w:caps w:val="0"/>
          <w:color w:val="000000"/>
          <w:spacing w:val="0"/>
          <w:sz w:val="32"/>
          <w:szCs w:val="32"/>
        </w:rPr>
        <w:t>20</w:t>
      </w:r>
      <w:r>
        <w:rPr>
          <w:rFonts w:hint="eastAsia" w:ascii="仿宋_GB2312" w:hAnsi="sans-serif" w:eastAsia="仿宋_GB2312" w:cs="仿宋_GB2312"/>
          <w:i w:val="0"/>
          <w:iCs w:val="0"/>
          <w:caps w:val="0"/>
          <w:color w:val="000000"/>
          <w:spacing w:val="0"/>
          <w:sz w:val="32"/>
          <w:szCs w:val="32"/>
          <w:highlight w:val="none"/>
        </w:rPr>
        <w:t>2</w:t>
      </w:r>
      <w:r>
        <w:rPr>
          <w:rFonts w:hint="eastAsia" w:hAnsi="sans-serif" w:cs="仿宋_GB2312"/>
          <w:i w:val="0"/>
          <w:iCs w:val="0"/>
          <w:caps w:val="0"/>
          <w:color w:val="000000"/>
          <w:spacing w:val="0"/>
          <w:sz w:val="32"/>
          <w:szCs w:val="32"/>
          <w:highlight w:val="none"/>
          <w:lang w:val="en-US" w:eastAsia="zh-CN"/>
        </w:rPr>
        <w:t>4</w:t>
      </w:r>
      <w:r>
        <w:rPr>
          <w:rFonts w:hint="eastAsia" w:ascii="仿宋_GB2312" w:hAnsi="sans-serif" w:eastAsia="仿宋_GB2312" w:cs="仿宋_GB2312"/>
          <w:i w:val="0"/>
          <w:iCs w:val="0"/>
          <w:caps w:val="0"/>
          <w:color w:val="000000"/>
          <w:spacing w:val="0"/>
          <w:sz w:val="32"/>
          <w:szCs w:val="32"/>
          <w:highlight w:val="none"/>
        </w:rPr>
        <w:t>年，</w:t>
      </w:r>
      <w:r>
        <w:rPr>
          <w:rFonts w:hint="eastAsia" w:hAnsi="sans-serif" w:cs="仿宋_GB2312"/>
          <w:i w:val="0"/>
          <w:iCs w:val="0"/>
          <w:caps w:val="0"/>
          <w:color w:val="000000"/>
          <w:spacing w:val="0"/>
          <w:sz w:val="32"/>
          <w:szCs w:val="32"/>
          <w:highlight w:val="none"/>
          <w:lang w:eastAsia="zh-CN"/>
        </w:rPr>
        <w:t>办理</w:t>
      </w:r>
      <w:r>
        <w:rPr>
          <w:rFonts w:hint="eastAsia" w:ascii="仿宋_GB2312" w:hAnsi="sans-serif" w:eastAsia="仿宋_GB2312" w:cs="仿宋_GB2312"/>
          <w:i w:val="0"/>
          <w:iCs w:val="0"/>
          <w:caps w:val="0"/>
          <w:color w:val="000000"/>
          <w:spacing w:val="0"/>
          <w:sz w:val="32"/>
          <w:szCs w:val="32"/>
          <w:highlight w:val="none"/>
        </w:rPr>
        <w:t>政府信息公开依申请事项</w:t>
      </w:r>
      <w:r>
        <w:rPr>
          <w:rFonts w:hint="eastAsia" w:hAnsi="sans-serif" w:cs="仿宋_GB2312"/>
          <w:i w:val="0"/>
          <w:iCs w:val="0"/>
          <w:caps w:val="0"/>
          <w:color w:val="000000"/>
          <w:spacing w:val="0"/>
          <w:sz w:val="32"/>
          <w:szCs w:val="32"/>
          <w:highlight w:val="none"/>
          <w:lang w:val="en-US" w:eastAsia="zh-CN"/>
        </w:rPr>
        <w:t>1件，予以公开1件，</w:t>
      </w:r>
      <w:r>
        <w:rPr>
          <w:rFonts w:hint="eastAsia" w:ascii="仿宋_GB2312" w:hAnsi="sans-serif" w:eastAsia="仿宋_GB2312" w:cs="仿宋_GB2312"/>
          <w:i w:val="0"/>
          <w:iCs w:val="0"/>
          <w:caps w:val="0"/>
          <w:color w:val="000000"/>
          <w:spacing w:val="0"/>
          <w:sz w:val="32"/>
          <w:szCs w:val="32"/>
          <w:highlight w:val="none"/>
        </w:rPr>
        <w:t>与往年相比数量</w:t>
      </w:r>
      <w:r>
        <w:rPr>
          <w:rFonts w:hint="eastAsia" w:hAnsi="sans-serif" w:cs="仿宋_GB2312"/>
          <w:i w:val="0"/>
          <w:iCs w:val="0"/>
          <w:caps w:val="0"/>
          <w:color w:val="000000"/>
          <w:spacing w:val="0"/>
          <w:sz w:val="32"/>
          <w:szCs w:val="32"/>
          <w:highlight w:val="none"/>
          <w:lang w:eastAsia="zh-CN"/>
        </w:rPr>
        <w:t>增加</w:t>
      </w:r>
      <w:r>
        <w:rPr>
          <w:rFonts w:hint="eastAsia" w:hAnsi="sans-serif" w:cs="仿宋_GB2312"/>
          <w:i w:val="0"/>
          <w:iCs w:val="0"/>
          <w:caps w:val="0"/>
          <w:color w:val="000000"/>
          <w:spacing w:val="0"/>
          <w:sz w:val="32"/>
          <w:szCs w:val="32"/>
          <w:highlight w:val="none"/>
          <w:lang w:val="en-US" w:eastAsia="zh-CN"/>
        </w:rPr>
        <w:t>1件</w:t>
      </w:r>
      <w:r>
        <w:rPr>
          <w:rFonts w:hint="eastAsia" w:ascii="仿宋_GB2312" w:hAnsi="sans-serif" w:eastAsia="仿宋_GB2312" w:cs="仿宋_GB2312"/>
          <w:i w:val="0"/>
          <w:iCs w:val="0"/>
          <w:caps w:val="0"/>
          <w:color w:val="000000"/>
          <w:spacing w:val="0"/>
          <w:sz w:val="32"/>
          <w:szCs w:val="32"/>
          <w:highlight w:val="none"/>
        </w:rPr>
        <w:t>。全年未发生针对本部门有关政府信息公开事务的行政复议案及行政诉讼案。</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lang w:eastAsia="zh-CN"/>
        </w:rPr>
      </w:pPr>
      <w:r>
        <w:rPr>
          <w:rFonts w:hint="eastAsia" w:ascii="楷体_GB2312" w:hAnsi="sans-serif" w:eastAsia="楷体_GB2312" w:cs="楷体_GB2312"/>
          <w:i w:val="0"/>
          <w:iCs w:val="0"/>
          <w:caps w:val="0"/>
          <w:color w:val="000000"/>
          <w:spacing w:val="0"/>
          <w:sz w:val="32"/>
          <w:szCs w:val="32"/>
        </w:rPr>
        <w:t>（三）政府信息管理</w:t>
      </w:r>
      <w:r>
        <w:rPr>
          <w:rFonts w:hint="eastAsia" w:ascii="楷体_GB2312" w:hAnsi="sans-serif" w:eastAsia="楷体_GB2312" w:cs="楷体_GB2312"/>
          <w:i w:val="0"/>
          <w:iCs w:val="0"/>
          <w:caps w:val="0"/>
          <w:color w:val="000000"/>
          <w:spacing w:val="0"/>
          <w:sz w:val="32"/>
          <w:szCs w:val="32"/>
          <w:lang w:eastAsia="zh-CN"/>
        </w:rPr>
        <w:t>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000000"/>
          <w:spacing w:val="0"/>
          <w:sz w:val="32"/>
          <w:szCs w:val="32"/>
        </w:rPr>
        <w:t>为提高部门信息公开规</w:t>
      </w:r>
      <w:r>
        <w:rPr>
          <w:rFonts w:hint="eastAsia" w:ascii="仿宋_GB2312" w:hAnsi="sans-serif" w:eastAsia="仿宋_GB2312" w:cs="仿宋_GB2312"/>
          <w:i w:val="0"/>
          <w:iCs w:val="0"/>
          <w:caps w:val="0"/>
          <w:color w:val="000000"/>
          <w:spacing w:val="0"/>
          <w:sz w:val="32"/>
          <w:szCs w:val="32"/>
          <w:highlight w:val="none"/>
        </w:rPr>
        <w:t>范化水平，</w:t>
      </w:r>
      <w:r>
        <w:rPr>
          <w:rFonts w:hint="eastAsia" w:hAnsi="sans-serif" w:cs="仿宋_GB2312"/>
          <w:i w:val="0"/>
          <w:iCs w:val="0"/>
          <w:caps w:val="0"/>
          <w:color w:val="000000"/>
          <w:spacing w:val="0"/>
          <w:sz w:val="32"/>
          <w:szCs w:val="32"/>
          <w:highlight w:val="none"/>
          <w:lang w:eastAsia="zh-CN"/>
        </w:rPr>
        <w:t>滕州市工业和信息化局</w:t>
      </w:r>
      <w:r>
        <w:rPr>
          <w:rFonts w:hint="eastAsia" w:ascii="仿宋_GB2312" w:hAnsi="sans-serif" w:eastAsia="仿宋_GB2312" w:cs="仿宋_GB2312"/>
          <w:i w:val="0"/>
          <w:iCs w:val="0"/>
          <w:caps w:val="0"/>
          <w:color w:val="000000"/>
          <w:spacing w:val="0"/>
          <w:sz w:val="32"/>
          <w:szCs w:val="32"/>
          <w:highlight w:val="none"/>
        </w:rPr>
        <w:t>不断完善细化政府信息公开工作制度，编制了《滕州市工业和信息化局信息公开指南》</w:t>
      </w:r>
      <w:r>
        <w:rPr>
          <w:rFonts w:hint="eastAsia" w:hAnsi="sans-serif" w:cs="仿宋_GB2312"/>
          <w:i w:val="0"/>
          <w:iCs w:val="0"/>
          <w:caps w:val="0"/>
          <w:color w:val="000000"/>
          <w:spacing w:val="0"/>
          <w:sz w:val="32"/>
          <w:szCs w:val="32"/>
          <w:highlight w:val="none"/>
          <w:lang w:eastAsia="zh-CN"/>
        </w:rPr>
        <w:t>、《滕州市工业</w:t>
      </w:r>
      <w:r>
        <w:rPr>
          <w:rFonts w:hint="eastAsia" w:hAnsi="sans-serif" w:cs="仿宋_GB2312"/>
          <w:i w:val="0"/>
          <w:iCs w:val="0"/>
          <w:caps w:val="0"/>
          <w:color w:val="000000"/>
          <w:spacing w:val="0"/>
          <w:sz w:val="32"/>
          <w:szCs w:val="32"/>
          <w:lang w:eastAsia="zh-CN"/>
        </w:rPr>
        <w:t>和信息化局主动公开基本目录》等</w:t>
      </w:r>
      <w:r>
        <w:rPr>
          <w:rFonts w:hint="eastAsia" w:ascii="仿宋_GB2312" w:hAnsi="sans-serif" w:eastAsia="仿宋_GB2312" w:cs="仿宋_GB2312"/>
          <w:i w:val="0"/>
          <w:iCs w:val="0"/>
          <w:caps w:val="0"/>
          <w:color w:val="000000"/>
          <w:spacing w:val="0"/>
          <w:sz w:val="32"/>
          <w:szCs w:val="32"/>
        </w:rPr>
        <w:t>，</w:t>
      </w:r>
      <w:r>
        <w:rPr>
          <w:rFonts w:hint="eastAsia" w:hAnsi="sans-serif" w:cs="仿宋_GB2312"/>
          <w:i w:val="0"/>
          <w:iCs w:val="0"/>
          <w:caps w:val="0"/>
          <w:color w:val="000000"/>
          <w:spacing w:val="0"/>
          <w:sz w:val="32"/>
          <w:szCs w:val="32"/>
          <w:lang w:eastAsia="zh-CN"/>
        </w:rPr>
        <w:t>切实</w:t>
      </w:r>
      <w:r>
        <w:rPr>
          <w:rFonts w:hint="eastAsia" w:ascii="仿宋_GB2312" w:hAnsi="sans-serif" w:eastAsia="仿宋_GB2312" w:cs="仿宋_GB2312"/>
          <w:i w:val="0"/>
          <w:iCs w:val="0"/>
          <w:caps w:val="0"/>
          <w:color w:val="auto"/>
          <w:spacing w:val="0"/>
          <w:sz w:val="32"/>
          <w:szCs w:val="32"/>
        </w:rPr>
        <w:t>落实政府信息全生命周期管理制度。</w:t>
      </w:r>
      <w:r>
        <w:rPr>
          <w:rFonts w:hint="eastAsia" w:ascii="仿宋_GB2312" w:hAnsi="sans-serif" w:eastAsia="仿宋_GB2312" w:cs="仿宋_GB2312"/>
          <w:i w:val="0"/>
          <w:iCs w:val="0"/>
          <w:caps w:val="0"/>
          <w:color w:val="auto"/>
          <w:spacing w:val="0"/>
          <w:sz w:val="32"/>
          <w:szCs w:val="32"/>
          <w:lang w:val="en-US" w:eastAsia="zh-CN"/>
        </w:rPr>
        <w:t>在信息审核环节，严格执行 “谁公开、谁审查、谁负责”“先审查、后公开”“一事一审” 的保密审查制度。对于拟公开的政府信息，首先由承办科室对信息的准确性、完整性、保密性进行初步审核；然后由信息公开操作人员进行二次审查，重点检查信息格式、内容合规性等；最后报信息公开负责领导进行最终审批。层层把关</w:t>
      </w:r>
      <w:r>
        <w:rPr>
          <w:rFonts w:hint="eastAsia" w:hAnsi="sans-serif" w:cs="仿宋_GB2312"/>
          <w:i w:val="0"/>
          <w:iCs w:val="0"/>
          <w:caps w:val="0"/>
          <w:color w:val="auto"/>
          <w:spacing w:val="0"/>
          <w:sz w:val="32"/>
          <w:szCs w:val="32"/>
          <w:lang w:val="en-US" w:eastAsia="zh-CN"/>
        </w:rPr>
        <w:t>、严格</w:t>
      </w:r>
      <w:r>
        <w:rPr>
          <w:rFonts w:hint="eastAsia" w:ascii="仿宋_GB2312" w:hAnsi="sans-serif" w:eastAsia="仿宋_GB2312" w:cs="仿宋_GB2312"/>
          <w:i w:val="0"/>
          <w:iCs w:val="0"/>
          <w:caps w:val="0"/>
          <w:color w:val="auto"/>
          <w:spacing w:val="0"/>
          <w:sz w:val="32"/>
          <w:szCs w:val="32"/>
          <w:lang w:val="en-US" w:eastAsia="zh-CN"/>
        </w:rPr>
        <w:t>审核，有力推动政府信息公开工作朝着</w:t>
      </w:r>
      <w:r>
        <w:rPr>
          <w:rFonts w:hint="eastAsia" w:hAnsi="sans-serif" w:cs="仿宋_GB2312"/>
          <w:i w:val="0"/>
          <w:iCs w:val="0"/>
          <w:caps w:val="0"/>
          <w:color w:val="auto"/>
          <w:spacing w:val="0"/>
          <w:sz w:val="32"/>
          <w:szCs w:val="32"/>
          <w:lang w:val="en-US" w:eastAsia="zh-CN"/>
        </w:rPr>
        <w:t>标准化、</w:t>
      </w:r>
      <w:r>
        <w:rPr>
          <w:rFonts w:hint="eastAsia" w:ascii="仿宋_GB2312" w:hAnsi="sans-serif" w:eastAsia="仿宋_GB2312" w:cs="仿宋_GB2312"/>
          <w:i w:val="0"/>
          <w:iCs w:val="0"/>
          <w:caps w:val="0"/>
          <w:color w:val="auto"/>
          <w:spacing w:val="0"/>
          <w:sz w:val="32"/>
          <w:szCs w:val="32"/>
          <w:lang w:val="en-US" w:eastAsia="zh-CN"/>
        </w:rPr>
        <w:t>制度化方向发展。</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lang w:eastAsia="zh-CN"/>
        </w:rPr>
      </w:pPr>
      <w:r>
        <w:rPr>
          <w:rFonts w:hint="eastAsia" w:ascii="楷体_GB2312" w:hAnsi="sans-serif" w:eastAsia="楷体_GB2312" w:cs="楷体_GB2312"/>
          <w:i w:val="0"/>
          <w:iCs w:val="0"/>
          <w:caps w:val="0"/>
          <w:color w:val="000000"/>
          <w:spacing w:val="0"/>
          <w:sz w:val="32"/>
          <w:szCs w:val="32"/>
        </w:rPr>
        <w:t>（四）</w:t>
      </w:r>
      <w:r>
        <w:rPr>
          <w:rFonts w:hint="eastAsia" w:ascii="楷体_GB2312" w:hAnsi="sans-serif" w:eastAsia="楷体_GB2312" w:cs="楷体_GB2312"/>
          <w:i w:val="0"/>
          <w:iCs w:val="0"/>
          <w:caps w:val="0"/>
          <w:color w:val="000000"/>
          <w:spacing w:val="0"/>
          <w:sz w:val="32"/>
          <w:szCs w:val="32"/>
          <w:lang w:eastAsia="zh-CN"/>
        </w:rPr>
        <w:t>公开</w:t>
      </w:r>
      <w:r>
        <w:rPr>
          <w:rFonts w:hint="eastAsia" w:ascii="楷体_GB2312" w:hAnsi="sans-serif" w:eastAsia="楷体_GB2312" w:cs="楷体_GB2312"/>
          <w:i w:val="0"/>
          <w:iCs w:val="0"/>
          <w:caps w:val="0"/>
          <w:color w:val="000000"/>
          <w:spacing w:val="0"/>
          <w:sz w:val="32"/>
          <w:szCs w:val="32"/>
        </w:rPr>
        <w:t>平台建设</w:t>
      </w:r>
      <w:r>
        <w:rPr>
          <w:rFonts w:hint="eastAsia" w:ascii="楷体_GB2312" w:hAnsi="sans-serif" w:eastAsia="楷体_GB2312" w:cs="楷体_GB2312"/>
          <w:i w:val="0"/>
          <w:iCs w:val="0"/>
          <w:caps w:val="0"/>
          <w:color w:val="000000"/>
          <w:spacing w:val="0"/>
          <w:sz w:val="32"/>
          <w:szCs w:val="32"/>
          <w:lang w:eastAsia="zh-CN"/>
        </w:rPr>
        <w:t>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sans-serif" w:eastAsia="仿宋_GB2312" w:cs="仿宋_GB2312"/>
          <w:i w:val="0"/>
          <w:iCs w:val="0"/>
          <w:caps w:val="0"/>
          <w:color w:val="0000FF"/>
          <w:spacing w:val="0"/>
          <w:sz w:val="32"/>
          <w:szCs w:val="32"/>
          <w:highlight w:val="none"/>
        </w:rPr>
      </w:pPr>
      <w:r>
        <w:rPr>
          <w:rFonts w:hint="eastAsia" w:ascii="仿宋_GB2312" w:hAnsi="sans-serif" w:eastAsia="仿宋_GB2312" w:cs="仿宋_GB2312"/>
          <w:i w:val="0"/>
          <w:iCs w:val="0"/>
          <w:caps w:val="0"/>
          <w:color w:val="000000"/>
          <w:spacing w:val="0"/>
          <w:sz w:val="32"/>
          <w:szCs w:val="32"/>
        </w:rPr>
        <w:t>秉持因地制宜、科学高效、方便群众的原则，积极探索创新信息公开方式，不断丰富信息公开载体，着力打造内容</w:t>
      </w:r>
      <w:r>
        <w:rPr>
          <w:rFonts w:hint="eastAsia" w:hAnsi="sans-serif" w:cs="仿宋_GB2312"/>
          <w:i w:val="0"/>
          <w:iCs w:val="0"/>
          <w:caps w:val="0"/>
          <w:color w:val="000000"/>
          <w:spacing w:val="0"/>
          <w:sz w:val="32"/>
          <w:szCs w:val="32"/>
          <w:lang w:eastAsia="zh-CN"/>
        </w:rPr>
        <w:t>丰</w:t>
      </w:r>
      <w:r>
        <w:rPr>
          <w:rFonts w:hint="eastAsia" w:hAnsi="sans-serif" w:cs="仿宋_GB2312"/>
          <w:i w:val="0"/>
          <w:iCs w:val="0"/>
          <w:caps w:val="0"/>
          <w:color w:val="auto"/>
          <w:spacing w:val="0"/>
          <w:sz w:val="32"/>
          <w:szCs w:val="32"/>
          <w:lang w:eastAsia="zh-CN"/>
        </w:rPr>
        <w:t>富</w:t>
      </w:r>
      <w:r>
        <w:rPr>
          <w:rFonts w:hint="eastAsia" w:ascii="仿宋_GB2312" w:hAnsi="sans-serif" w:eastAsia="仿宋_GB2312" w:cs="仿宋_GB2312"/>
          <w:i w:val="0"/>
          <w:iCs w:val="0"/>
          <w:caps w:val="0"/>
          <w:color w:val="auto"/>
          <w:spacing w:val="0"/>
          <w:sz w:val="32"/>
          <w:szCs w:val="32"/>
        </w:rPr>
        <w:t>、功能</w:t>
      </w:r>
      <w:r>
        <w:rPr>
          <w:rFonts w:hint="eastAsia" w:hAnsi="sans-serif" w:cs="仿宋_GB2312"/>
          <w:i w:val="0"/>
          <w:iCs w:val="0"/>
          <w:caps w:val="0"/>
          <w:color w:val="auto"/>
          <w:spacing w:val="0"/>
          <w:sz w:val="32"/>
          <w:szCs w:val="32"/>
          <w:lang w:eastAsia="zh-CN"/>
        </w:rPr>
        <w:t>多样</w:t>
      </w:r>
      <w:r>
        <w:rPr>
          <w:rFonts w:hint="eastAsia" w:ascii="仿宋_GB2312" w:hAnsi="sans-serif" w:eastAsia="仿宋_GB2312" w:cs="仿宋_GB2312"/>
          <w:i w:val="0"/>
          <w:iCs w:val="0"/>
          <w:caps w:val="0"/>
          <w:color w:val="auto"/>
          <w:spacing w:val="0"/>
          <w:sz w:val="32"/>
          <w:szCs w:val="32"/>
        </w:rPr>
        <w:t>、运行稳定的政府信息公开平台。按照《条例》的要求，</w:t>
      </w:r>
      <w:r>
        <w:rPr>
          <w:rFonts w:hint="eastAsia" w:hAnsi="sans-serif" w:cs="仿宋_GB2312"/>
          <w:i w:val="0"/>
          <w:iCs w:val="0"/>
          <w:caps w:val="0"/>
          <w:color w:val="auto"/>
          <w:spacing w:val="0"/>
          <w:sz w:val="32"/>
          <w:szCs w:val="32"/>
          <w:lang w:eastAsia="zh-CN"/>
        </w:rPr>
        <w:t>由</w:t>
      </w:r>
      <w:r>
        <w:rPr>
          <w:rFonts w:hint="eastAsia" w:ascii="仿宋_GB2312" w:hAnsi="sans-serif" w:eastAsia="仿宋_GB2312" w:cs="仿宋_GB2312"/>
          <w:i w:val="0"/>
          <w:iCs w:val="0"/>
          <w:caps w:val="0"/>
          <w:color w:val="auto"/>
          <w:spacing w:val="0"/>
          <w:sz w:val="32"/>
          <w:szCs w:val="32"/>
        </w:rPr>
        <w:t>专人负责政府信息公开平台的日常内容更新工作，确保信息及时、准确发布。积极构建新媒体宣传工作新格局</w:t>
      </w:r>
      <w:r>
        <w:rPr>
          <w:rFonts w:hint="eastAsia" w:hAnsi="sans-serif" w:cs="仿宋_GB2312"/>
          <w:i w:val="0"/>
          <w:iCs w:val="0"/>
          <w:caps w:val="0"/>
          <w:color w:val="auto"/>
          <w:spacing w:val="0"/>
          <w:sz w:val="32"/>
          <w:szCs w:val="32"/>
          <w:lang w:eastAsia="zh-CN"/>
        </w:rPr>
        <w:t>，</w:t>
      </w:r>
      <w:r>
        <w:rPr>
          <w:rFonts w:hint="eastAsia" w:hAnsi="sans-serif" w:cs="仿宋_GB2312"/>
          <w:i w:val="0"/>
          <w:iCs w:val="0"/>
          <w:caps w:val="0"/>
          <w:color w:val="000000"/>
          <w:spacing w:val="0"/>
          <w:sz w:val="32"/>
          <w:szCs w:val="32"/>
          <w:lang w:eastAsia="zh-CN"/>
        </w:rPr>
        <w:t>运营</w:t>
      </w:r>
      <w:r>
        <w:rPr>
          <w:rFonts w:hint="eastAsia" w:ascii="仿宋_GB2312" w:hAnsi="sans-serif" w:eastAsia="仿宋_GB2312" w:cs="仿宋_GB2312"/>
          <w:i w:val="0"/>
          <w:iCs w:val="0"/>
          <w:caps w:val="0"/>
          <w:color w:val="000000"/>
          <w:spacing w:val="0"/>
          <w:sz w:val="32"/>
          <w:szCs w:val="32"/>
        </w:rPr>
        <w:t>“滕州工信”微信</w:t>
      </w:r>
      <w:r>
        <w:rPr>
          <w:rFonts w:hint="eastAsia" w:hAnsi="sans-serif" w:cs="仿宋_GB2312"/>
          <w:i w:val="0"/>
          <w:iCs w:val="0"/>
          <w:caps w:val="0"/>
          <w:color w:val="000000"/>
          <w:spacing w:val="0"/>
          <w:sz w:val="32"/>
          <w:szCs w:val="32"/>
          <w:lang w:eastAsia="zh-CN"/>
        </w:rPr>
        <w:t>订阅号，</w:t>
      </w:r>
      <w:r>
        <w:rPr>
          <w:rFonts w:hint="eastAsia" w:ascii="仿宋_GB2312" w:hAnsi="sans-serif" w:eastAsia="仿宋_GB2312" w:cs="仿宋_GB2312"/>
          <w:i w:val="0"/>
          <w:iCs w:val="0"/>
          <w:caps w:val="0"/>
          <w:color w:val="auto"/>
          <w:spacing w:val="0"/>
          <w:sz w:val="32"/>
          <w:szCs w:val="32"/>
          <w:highlight w:val="none"/>
        </w:rPr>
        <w:t>定期发布工信领域动态</w:t>
      </w:r>
      <w:r>
        <w:rPr>
          <w:rFonts w:hint="eastAsia" w:hAnsi="sans-serif" w:cs="仿宋_GB2312"/>
          <w:i w:val="0"/>
          <w:iCs w:val="0"/>
          <w:caps w:val="0"/>
          <w:color w:val="auto"/>
          <w:spacing w:val="0"/>
          <w:sz w:val="32"/>
          <w:szCs w:val="32"/>
          <w:highlight w:val="none"/>
          <w:lang w:eastAsia="zh-CN"/>
        </w:rPr>
        <w:t>信息</w:t>
      </w:r>
      <w:r>
        <w:rPr>
          <w:rFonts w:hint="eastAsia" w:ascii="仿宋_GB2312" w:hAnsi="sans-serif" w:eastAsia="仿宋_GB2312" w:cs="仿宋_GB2312"/>
          <w:i w:val="0"/>
          <w:iCs w:val="0"/>
          <w:caps w:val="0"/>
          <w:color w:val="auto"/>
          <w:spacing w:val="0"/>
          <w:sz w:val="32"/>
          <w:szCs w:val="32"/>
          <w:highlight w:val="none"/>
        </w:rPr>
        <w:t>、解读各级</w:t>
      </w:r>
      <w:r>
        <w:rPr>
          <w:rFonts w:hint="eastAsia" w:hAnsi="sans-serif" w:cs="仿宋_GB2312"/>
          <w:i w:val="0"/>
          <w:iCs w:val="0"/>
          <w:caps w:val="0"/>
          <w:color w:val="auto"/>
          <w:spacing w:val="0"/>
          <w:sz w:val="32"/>
          <w:szCs w:val="32"/>
          <w:highlight w:val="none"/>
          <w:lang w:eastAsia="zh-CN"/>
        </w:rPr>
        <w:t>工业</w:t>
      </w:r>
      <w:r>
        <w:rPr>
          <w:rFonts w:hint="eastAsia" w:ascii="仿宋_GB2312" w:hAnsi="sans-serif" w:eastAsia="仿宋_GB2312" w:cs="仿宋_GB2312"/>
          <w:i w:val="0"/>
          <w:iCs w:val="0"/>
          <w:caps w:val="0"/>
          <w:color w:val="auto"/>
          <w:spacing w:val="0"/>
          <w:sz w:val="32"/>
          <w:szCs w:val="32"/>
          <w:highlight w:val="none"/>
        </w:rPr>
        <w:t>惠企政策，为广大群众和企业提供了一个便捷的信息获取渠道</w:t>
      </w:r>
      <w:r>
        <w:rPr>
          <w:rFonts w:hint="eastAsia" w:hAnsi="sans-serif" w:cs="仿宋_GB2312"/>
          <w:i w:val="0"/>
          <w:iCs w:val="0"/>
          <w:caps w:val="0"/>
          <w:color w:val="auto"/>
          <w:spacing w:val="0"/>
          <w:sz w:val="32"/>
          <w:szCs w:val="32"/>
          <w:highlight w:val="none"/>
          <w:lang w:eastAsia="zh-CN"/>
        </w:rPr>
        <w:t>。</w:t>
      </w:r>
      <w:r>
        <w:rPr>
          <w:rFonts w:hint="eastAsia" w:ascii="仿宋_GB2312" w:hAnsi="sans-serif" w:eastAsia="仿宋_GB2312" w:cs="仿宋_GB2312"/>
          <w:i w:val="0"/>
          <w:iCs w:val="0"/>
          <w:caps w:val="0"/>
          <w:color w:val="auto"/>
          <w:spacing w:val="0"/>
          <w:sz w:val="32"/>
          <w:szCs w:val="32"/>
        </w:rPr>
        <w:t>截至</w:t>
      </w:r>
      <w:r>
        <w:rPr>
          <w:rFonts w:hint="eastAsia" w:ascii="仿宋_GB2312" w:hAnsi="sans-serif" w:eastAsia="仿宋_GB2312" w:cs="仿宋_GB2312"/>
          <w:i w:val="0"/>
          <w:iCs w:val="0"/>
          <w:caps w:val="0"/>
          <w:color w:val="000000"/>
          <w:spacing w:val="0"/>
          <w:sz w:val="32"/>
          <w:szCs w:val="32"/>
        </w:rPr>
        <w:t>2024年底，“滕州工信”拥有粉丝1353名</w:t>
      </w:r>
      <w:r>
        <w:rPr>
          <w:rFonts w:hint="eastAsia" w:ascii="仿宋_GB2312" w:hAnsi="sans-serif" w:eastAsia="仿宋_GB2312" w:cs="仿宋_GB2312"/>
          <w:i w:val="0"/>
          <w:iCs w:val="0"/>
          <w:caps w:val="0"/>
          <w:color w:val="auto"/>
          <w:spacing w:val="0"/>
          <w:sz w:val="32"/>
          <w:szCs w:val="32"/>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lang w:eastAsia="zh-CN"/>
        </w:rPr>
      </w:pPr>
      <w:r>
        <w:rPr>
          <w:rFonts w:hint="eastAsia" w:ascii="楷体_GB2312" w:hAnsi="sans-serif" w:eastAsia="楷体_GB2312" w:cs="楷体_GB2312"/>
          <w:i w:val="0"/>
          <w:iCs w:val="0"/>
          <w:caps w:val="0"/>
          <w:color w:val="000000"/>
          <w:spacing w:val="0"/>
          <w:sz w:val="32"/>
          <w:szCs w:val="32"/>
        </w:rPr>
        <w:t>（五）监督保障</w:t>
      </w:r>
      <w:r>
        <w:rPr>
          <w:rFonts w:hint="eastAsia" w:ascii="楷体_GB2312" w:hAnsi="sans-serif" w:eastAsia="楷体_GB2312" w:cs="楷体_GB2312"/>
          <w:i w:val="0"/>
          <w:iCs w:val="0"/>
          <w:caps w:val="0"/>
          <w:color w:val="000000"/>
          <w:spacing w:val="0"/>
          <w:sz w:val="32"/>
          <w:szCs w:val="32"/>
          <w:lang w:eastAsia="zh-CN"/>
        </w:rPr>
        <w:t>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sans-serif" w:eastAsia="仿宋_GB2312" w:cs="仿宋_GB2312"/>
          <w:i w:val="0"/>
          <w:iCs w:val="0"/>
          <w:caps w:val="0"/>
          <w:color w:val="000000"/>
          <w:spacing w:val="0"/>
          <w:sz w:val="32"/>
          <w:szCs w:val="32"/>
        </w:rPr>
      </w:pPr>
      <w:r>
        <w:rPr>
          <w:rFonts w:hint="eastAsia" w:hAnsi="sans-serif" w:cs="仿宋_GB2312"/>
          <w:i w:val="0"/>
          <w:iCs w:val="0"/>
          <w:caps w:val="0"/>
          <w:color w:val="000000"/>
          <w:spacing w:val="0"/>
          <w:sz w:val="32"/>
          <w:szCs w:val="32"/>
          <w:highlight w:val="none"/>
          <w:lang w:eastAsia="zh-CN"/>
        </w:rPr>
        <w:t>建立</w:t>
      </w:r>
      <w:r>
        <w:rPr>
          <w:rFonts w:hint="eastAsia" w:ascii="仿宋_GB2312" w:hAnsi="sans-serif" w:eastAsia="仿宋_GB2312" w:cs="仿宋_GB2312"/>
          <w:i w:val="0"/>
          <w:iCs w:val="0"/>
          <w:caps w:val="0"/>
          <w:color w:val="000000"/>
          <w:spacing w:val="0"/>
          <w:sz w:val="32"/>
          <w:szCs w:val="32"/>
          <w:highlight w:val="none"/>
        </w:rPr>
        <w:t>形成</w:t>
      </w:r>
      <w:r>
        <w:rPr>
          <w:rFonts w:hint="eastAsia" w:hAnsi="sans-serif" w:cs="仿宋_GB2312"/>
          <w:i w:val="0"/>
          <w:iCs w:val="0"/>
          <w:caps w:val="0"/>
          <w:color w:val="000000"/>
          <w:spacing w:val="0"/>
          <w:sz w:val="32"/>
          <w:szCs w:val="32"/>
          <w:highlight w:val="none"/>
          <w:lang w:eastAsia="zh-CN"/>
        </w:rPr>
        <w:t>“</w:t>
      </w:r>
      <w:r>
        <w:rPr>
          <w:rFonts w:hint="eastAsia" w:ascii="仿宋_GB2312" w:hAnsi="sans-serif" w:eastAsia="仿宋_GB2312" w:cs="仿宋_GB2312"/>
          <w:i w:val="0"/>
          <w:iCs w:val="0"/>
          <w:caps w:val="0"/>
          <w:color w:val="000000"/>
          <w:spacing w:val="0"/>
          <w:sz w:val="32"/>
          <w:szCs w:val="32"/>
          <w:highlight w:val="none"/>
        </w:rPr>
        <w:t>主要领导亲自抓，分管领导具体抓，各科室各司其职</w:t>
      </w:r>
      <w:r>
        <w:rPr>
          <w:rFonts w:hint="eastAsia" w:hAnsi="sans-serif" w:cs="仿宋_GB2312"/>
          <w:i w:val="0"/>
          <w:iCs w:val="0"/>
          <w:caps w:val="0"/>
          <w:color w:val="000000"/>
          <w:spacing w:val="0"/>
          <w:sz w:val="32"/>
          <w:szCs w:val="32"/>
          <w:lang w:eastAsia="zh-CN"/>
        </w:rPr>
        <w:t>”</w:t>
      </w:r>
      <w:r>
        <w:rPr>
          <w:rFonts w:hint="eastAsia" w:ascii="仿宋_GB2312" w:hAnsi="sans-serif" w:eastAsia="仿宋_GB2312" w:cs="仿宋_GB2312"/>
          <w:i w:val="0"/>
          <w:iCs w:val="0"/>
          <w:caps w:val="0"/>
          <w:color w:val="000000"/>
          <w:spacing w:val="0"/>
          <w:sz w:val="32"/>
          <w:szCs w:val="32"/>
        </w:rPr>
        <w:t>的工作机制。实行统一归口管理，从组织架构上确保政务公开工作的有序推进。2024年，滕州市工业和信息化局未发生因信息公开审查不当或保密审查机构未履行保密审查职责而引起的失泄密情况。2024年度未进行社会评议，未发生责任追究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20" w:firstLineChars="100"/>
        <w:jc w:val="both"/>
        <w:rPr>
          <w:rFonts w:hint="eastAsia" w:ascii="黑体" w:hAnsi="黑体" w:eastAsia="黑体" w:cs="黑体"/>
          <w:b w:val="0"/>
          <w:bCs/>
          <w:i w:val="0"/>
          <w:caps w:val="0"/>
          <w:color w:val="333333"/>
          <w:spacing w:val="0"/>
          <w:kern w:val="0"/>
          <w:sz w:val="32"/>
          <w:szCs w:val="32"/>
          <w:lang w:val="en-US" w:eastAsia="zh-CN" w:bidi="ar-SA"/>
        </w:rPr>
      </w:pPr>
      <w:r>
        <w:rPr>
          <w:rFonts w:hint="eastAsia" w:ascii="黑体" w:hAnsi="黑体" w:eastAsia="黑体" w:cs="黑体"/>
          <w:b w:val="0"/>
          <w:bCs/>
          <w:i w:val="0"/>
          <w:caps w:val="0"/>
          <w:color w:val="333333"/>
          <w:spacing w:val="0"/>
          <w:kern w:val="0"/>
          <w:sz w:val="32"/>
          <w:szCs w:val="32"/>
          <w:shd w:val="clear" w:color="auto" w:fill="FFFFFF"/>
          <w:lang w:val="en-US" w:eastAsia="zh-CN" w:bidi="ar-SA"/>
        </w:rPr>
        <w:t>二、主动公开政府信息情况</w:t>
      </w: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黑体" w:hAnsi="黑体" w:eastAsia="黑体" w:cs="宋体"/>
                <w:color w:val="000000"/>
                <w:kern w:val="0"/>
                <w:sz w:val="21"/>
                <w:szCs w:val="21"/>
                <w:lang w:val="en-US" w:eastAsia="zh-CN" w:bidi="ar-SA"/>
              </w:rPr>
            </w:pPr>
            <w:r>
              <w:rPr>
                <w:rFonts w:hint="eastAsia" w:ascii="黑体" w:hAnsi="黑体" w:eastAsia="黑体" w:cs="宋体"/>
                <w:color w:val="000000"/>
                <w:kern w:val="0"/>
                <w:sz w:val="21"/>
                <w:szCs w:val="21"/>
                <w:lang w:val="en-US" w:eastAsia="zh-CN" w:bidi="ar-SA"/>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信息内容</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规章</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1"/>
                <w:szCs w:val="21"/>
                <w:lang w:val="en-US" w:eastAsia="zh-CN" w:bidi="ar-SA"/>
              </w:rPr>
            </w:pPr>
            <w:r>
              <w:rPr>
                <w:rFonts w:hint="eastAsia" w:hAnsi="宋体" w:cs="宋体"/>
                <w:color w:val="auto"/>
                <w:kern w:val="0"/>
                <w:sz w:val="21"/>
                <w:szCs w:val="21"/>
                <w:lang w:val="en-US" w:eastAsia="zh-CN" w:bidi="ar-SA"/>
              </w:rPr>
              <w:t>0</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hAnsi="宋体" w:cs="宋体"/>
                <w:color w:val="auto"/>
                <w:kern w:val="0"/>
                <w:sz w:val="21"/>
                <w:szCs w:val="21"/>
                <w:lang w:val="en-US" w:eastAsia="zh-CN" w:bidi="ar-SA"/>
              </w:rPr>
              <w:t>0</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Calibri" w:eastAsia="仿宋_GB2312" w:cs="Calibri"/>
                <w:color w:val="auto"/>
                <w:kern w:val="0"/>
                <w:sz w:val="21"/>
                <w:szCs w:val="21"/>
                <w:lang w:val="en-US" w:eastAsia="zh-CN" w:bidi="ar-SA"/>
              </w:rPr>
            </w:pPr>
            <w:r>
              <w:rPr>
                <w:rFonts w:hint="eastAsia" w:hAnsi="宋体" w:cs="宋体"/>
                <w:color w:val="auto"/>
                <w:kern w:val="0"/>
                <w:sz w:val="21"/>
                <w:szCs w:val="21"/>
                <w:lang w:val="en-US" w:eastAsia="zh-CN" w:bidi="ar-SA"/>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1"/>
                <w:szCs w:val="21"/>
                <w:lang w:val="en-US" w:eastAsia="zh-CN" w:bidi="ar-SA"/>
              </w:rPr>
            </w:pPr>
            <w:r>
              <w:rPr>
                <w:rFonts w:hint="eastAsia" w:hAnsi="宋体" w:cs="宋体"/>
                <w:color w:val="auto"/>
                <w:kern w:val="0"/>
                <w:sz w:val="21"/>
                <w:szCs w:val="21"/>
                <w:lang w:val="en-US" w:eastAsia="zh-CN" w:bidi="ar-SA"/>
              </w:rPr>
              <w:t>0</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1"/>
                <w:szCs w:val="21"/>
                <w:lang w:val="en-US" w:eastAsia="zh-CN" w:bidi="ar-SA"/>
              </w:rPr>
            </w:pPr>
            <w:r>
              <w:rPr>
                <w:rFonts w:hint="eastAsia" w:hAnsi="宋体" w:cs="宋体"/>
                <w:color w:val="auto"/>
                <w:kern w:val="0"/>
                <w:sz w:val="21"/>
                <w:szCs w:val="21"/>
                <w:lang w:val="en-US" w:eastAsia="zh-CN" w:bidi="ar-SA"/>
              </w:rPr>
              <w:t>0</w:t>
            </w:r>
          </w:p>
        </w:tc>
        <w:tc>
          <w:tcPr>
            <w:tcW w:w="220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宋体" w:eastAsia="仿宋_GB2312" w:cs="宋体"/>
                <w:color w:val="auto"/>
                <w:kern w:val="0"/>
                <w:sz w:val="21"/>
                <w:szCs w:val="21"/>
                <w:lang w:val="en-US" w:eastAsia="zh-CN" w:bidi="ar-SA"/>
              </w:rPr>
            </w:pPr>
            <w:r>
              <w:rPr>
                <w:rFonts w:hint="eastAsia" w:hAnsi="宋体" w:cs="宋体"/>
                <w:color w:val="auto"/>
                <w:kern w:val="0"/>
                <w:sz w:val="21"/>
                <w:szCs w:val="21"/>
                <w:lang w:val="en-US" w:eastAsia="zh-CN" w:bidi="ar-SA"/>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黑体" w:hAnsi="黑体" w:eastAsia="黑体" w:cs="宋体"/>
                <w:color w:val="auto"/>
                <w:kern w:val="0"/>
                <w:sz w:val="21"/>
                <w:szCs w:val="21"/>
                <w:lang w:val="en-US" w:eastAsia="zh-CN" w:bidi="ar-SA"/>
              </w:rPr>
            </w:pPr>
            <w:r>
              <w:rPr>
                <w:rFonts w:hint="eastAsia" w:ascii="黑体" w:hAnsi="黑体" w:eastAsia="黑体" w:cs="宋体"/>
                <w:color w:val="auto"/>
                <w:kern w:val="0"/>
                <w:sz w:val="21"/>
                <w:szCs w:val="21"/>
                <w:lang w:val="en-US" w:eastAsia="zh-CN" w:bidi="ar-SA"/>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Calibri" w:eastAsia="仿宋_GB2312" w:cs="Calibri"/>
                <w:color w:val="auto"/>
                <w:kern w:val="0"/>
                <w:sz w:val="21"/>
                <w:szCs w:val="21"/>
                <w:lang w:val="en-US" w:eastAsia="zh-CN" w:bidi="ar-SA"/>
              </w:rPr>
            </w:pPr>
            <w:r>
              <w:rPr>
                <w:rFonts w:hint="eastAsia" w:hAnsi="Calibri" w:cs="Calibri"/>
                <w:color w:val="auto"/>
                <w:kern w:val="0"/>
                <w:sz w:val="21"/>
                <w:szCs w:val="21"/>
                <w:lang w:val="en-US" w:eastAsia="zh-CN" w:bidi="ar-SA"/>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黑体" w:hAnsi="黑体" w:eastAsia="黑体" w:cs="宋体"/>
                <w:color w:val="auto"/>
                <w:kern w:val="0"/>
                <w:sz w:val="21"/>
                <w:szCs w:val="21"/>
                <w:lang w:val="en-US" w:eastAsia="zh-CN" w:bidi="ar-SA"/>
              </w:rPr>
            </w:pPr>
            <w:r>
              <w:rPr>
                <w:rFonts w:hint="eastAsia" w:ascii="黑体" w:hAnsi="黑体" w:eastAsia="黑体" w:cs="宋体"/>
                <w:color w:val="auto"/>
                <w:kern w:val="0"/>
                <w:sz w:val="21"/>
                <w:szCs w:val="21"/>
                <w:lang w:val="en-US" w:eastAsia="zh-CN" w:bidi="ar-SA"/>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Calibri" w:eastAsia="仿宋_GB2312" w:cs="Calibri"/>
                <w:color w:val="auto"/>
                <w:kern w:val="0"/>
                <w:sz w:val="21"/>
                <w:szCs w:val="21"/>
                <w:lang w:val="en-US" w:eastAsia="zh-CN" w:bidi="ar-SA"/>
              </w:rPr>
            </w:pPr>
            <w:r>
              <w:rPr>
                <w:rFonts w:hint="eastAsia" w:hAnsi="Calibri" w:cs="Calibri"/>
                <w:color w:val="auto"/>
                <w:kern w:val="0"/>
                <w:sz w:val="21"/>
                <w:szCs w:val="21"/>
                <w:lang w:val="en-US" w:eastAsia="zh-CN" w:bidi="ar-SA"/>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Calibri" w:eastAsia="仿宋_GB2312" w:cs="Calibri"/>
                <w:color w:val="auto"/>
                <w:kern w:val="0"/>
                <w:sz w:val="21"/>
                <w:szCs w:val="21"/>
                <w:lang w:val="en-US" w:eastAsia="zh-CN" w:bidi="ar-SA"/>
              </w:rPr>
            </w:pPr>
            <w:r>
              <w:rPr>
                <w:rFonts w:hint="eastAsia" w:hAnsi="Calibri" w:cs="Calibri"/>
                <w:color w:val="auto"/>
                <w:kern w:val="0"/>
                <w:sz w:val="21"/>
                <w:szCs w:val="21"/>
                <w:lang w:val="en-US" w:eastAsia="zh-CN" w:bidi="ar-SA"/>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黑体" w:hAnsi="黑体" w:eastAsia="黑体" w:cs="宋体"/>
                <w:color w:val="auto"/>
                <w:kern w:val="0"/>
                <w:sz w:val="21"/>
                <w:szCs w:val="21"/>
                <w:lang w:val="en-US" w:eastAsia="zh-CN" w:bidi="ar-SA"/>
              </w:rPr>
            </w:pPr>
            <w:r>
              <w:rPr>
                <w:rFonts w:hint="eastAsia" w:ascii="黑体" w:hAnsi="黑体" w:eastAsia="黑体" w:cs="宋体"/>
                <w:color w:val="auto"/>
                <w:kern w:val="0"/>
                <w:sz w:val="21"/>
                <w:szCs w:val="21"/>
                <w:lang w:val="en-US" w:eastAsia="zh-CN" w:bidi="ar-SA"/>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firstLine="0" w:firstLineChars="0"/>
              <w:jc w:val="left"/>
              <w:rPr>
                <w:rFonts w:hint="default" w:ascii="仿宋_GB2312" w:hAnsi="宋体" w:eastAsia="仿宋_GB2312" w:cs="宋体"/>
                <w:color w:val="auto"/>
                <w:kern w:val="0"/>
                <w:sz w:val="21"/>
                <w:szCs w:val="21"/>
                <w:lang w:val="en-US" w:eastAsia="zh-CN" w:bidi="ar-SA"/>
              </w:rPr>
            </w:pPr>
            <w:r>
              <w:rPr>
                <w:rFonts w:hint="eastAsia" w:ascii="仿宋_GB2312" w:hAnsi="宋体" w:eastAsia="仿宋_GB2312" w:cs="宋体"/>
                <w:color w:val="auto"/>
                <w:kern w:val="0"/>
                <w:sz w:val="21"/>
                <w:szCs w:val="21"/>
                <w:lang w:val="en-US" w:eastAsia="zh-CN" w:bidi="ar-SA"/>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仿宋_GB2312" w:hAnsi="Calibri" w:eastAsia="仿宋_GB2312" w:cs="Calibri"/>
                <w:color w:val="auto"/>
                <w:kern w:val="0"/>
                <w:sz w:val="21"/>
                <w:szCs w:val="21"/>
                <w:lang w:val="en-US" w:eastAsia="zh-CN" w:bidi="ar-SA"/>
              </w:rPr>
            </w:pPr>
            <w:r>
              <w:rPr>
                <w:rFonts w:hint="eastAsia" w:hAnsi="Calibri" w:cs="Calibri"/>
                <w:color w:val="auto"/>
                <w:kern w:val="0"/>
                <w:sz w:val="21"/>
                <w:szCs w:val="21"/>
                <w:lang w:val="en-US" w:eastAsia="zh-CN" w:bidi="ar-SA"/>
              </w:rPr>
              <w:t>0</w:t>
            </w:r>
          </w:p>
        </w:tc>
      </w:tr>
    </w:tbl>
    <w:p>
      <w:pPr>
        <w:ind w:firstLine="320" w:firstLineChars="100"/>
        <w:rPr>
          <w:rFonts w:hint="eastAsia" w:ascii="黑体" w:hAnsi="宋体" w:eastAsia="黑体" w:cs="黑体"/>
          <w:i w:val="0"/>
          <w:iCs w:val="0"/>
          <w:caps w:val="0"/>
          <w:color w:val="000000"/>
          <w:spacing w:val="0"/>
          <w:sz w:val="31"/>
          <w:szCs w:val="31"/>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三、收到和处理政府信息公开申请情况</w:t>
      </w:r>
    </w:p>
    <w:tbl>
      <w:tblPr>
        <w:tblStyle w:val="8"/>
        <w:tblW w:w="95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15"/>
        <w:gridCol w:w="1697"/>
        <w:gridCol w:w="2969"/>
        <w:gridCol w:w="745"/>
        <w:gridCol w:w="4"/>
        <w:gridCol w:w="533"/>
        <w:gridCol w:w="4"/>
        <w:gridCol w:w="533"/>
        <w:gridCol w:w="718"/>
        <w:gridCol w:w="673"/>
        <w:gridCol w:w="524"/>
        <w:gridCol w:w="699"/>
        <w:gridCol w:w="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1" w:type="dxa"/>
            <w:gridSpan w:val="3"/>
            <w:vMerge w:val="restart"/>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楷体_GB2312" w:hAnsi="宋体" w:eastAsia="楷体_GB2312" w:cs="Times New Roman"/>
                <w:kern w:val="0"/>
                <w:sz w:val="21"/>
                <w:szCs w:val="21"/>
              </w:rPr>
            </w:pPr>
            <w:r>
              <w:rPr>
                <w:rFonts w:hint="eastAsia" w:ascii="楷体_GB2312" w:hAnsi="宋体" w:eastAsia="楷体_GB2312" w:cs="楷体_GB2312"/>
                <w:kern w:val="0"/>
                <w:sz w:val="21"/>
                <w:szCs w:val="21"/>
                <w:lang w:val="en-US" w:eastAsia="zh-CN" w:bidi="ar"/>
              </w:rPr>
              <w:t>（本列数据的勾稽关系为：第一项加第二项之和，</w:t>
            </w:r>
          </w:p>
          <w:p>
            <w:pPr>
              <w:keepNext w:val="0"/>
              <w:keepLines w:val="0"/>
              <w:widowControl/>
              <w:suppressLineNumbers w:val="0"/>
              <w:spacing w:before="0" w:beforeAutospacing="0" w:after="0" w:afterAutospacing="0"/>
              <w:ind w:left="0" w:right="0"/>
              <w:jc w:val="center"/>
              <w:rPr>
                <w:rFonts w:hint="eastAsia" w:ascii="仿宋_GB2312" w:hAnsi="Times New Roman" w:eastAsia="仿宋_GB2312" w:cs="Times New Roman"/>
                <w:kern w:val="2"/>
                <w:sz w:val="21"/>
                <w:szCs w:val="21"/>
              </w:rPr>
            </w:pPr>
            <w:r>
              <w:rPr>
                <w:rFonts w:hint="eastAsia" w:ascii="楷体_GB2312" w:hAnsi="宋体" w:eastAsia="楷体_GB2312" w:cs="楷体_GB2312"/>
                <w:kern w:val="0"/>
                <w:sz w:val="21"/>
                <w:szCs w:val="21"/>
                <w:lang w:val="en-US" w:eastAsia="zh-CN" w:bidi="ar"/>
              </w:rPr>
              <w:t>等于第三项加第四项之和）</w:t>
            </w:r>
          </w:p>
        </w:tc>
        <w:tc>
          <w:tcPr>
            <w:tcW w:w="4452" w:type="dxa"/>
            <w:gridSpan w:val="10"/>
            <w:tcBorders>
              <w:top w:val="single" w:color="auto" w:sz="8"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25" w:hRule="atLeast"/>
          <w:jc w:val="center"/>
        </w:trPr>
        <w:tc>
          <w:tcPr>
            <w:tcW w:w="5081" w:type="dxa"/>
            <w:gridSpan w:val="3"/>
            <w:vMerge w:val="continue"/>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5"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自然人</w:t>
            </w:r>
          </w:p>
        </w:tc>
        <w:tc>
          <w:tcPr>
            <w:tcW w:w="2989"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法人或其他组织</w:t>
            </w:r>
          </w:p>
        </w:tc>
        <w:tc>
          <w:tcPr>
            <w:tcW w:w="699"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总计</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22" w:hRule="atLeast"/>
          <w:jc w:val="center"/>
        </w:trPr>
        <w:tc>
          <w:tcPr>
            <w:tcW w:w="5081" w:type="dxa"/>
            <w:gridSpan w:val="3"/>
            <w:vMerge w:val="continue"/>
            <w:tcBorders>
              <w:top w:val="single" w:color="auto" w:sz="8"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45"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黑体"/>
                <w:kern w:val="0"/>
                <w:sz w:val="21"/>
                <w:szCs w:val="21"/>
                <w:lang w:val="en-US" w:eastAsia="zh-CN" w:bidi="ar"/>
              </w:rPr>
            </w:pPr>
            <w:r>
              <w:rPr>
                <w:rFonts w:hint="eastAsia" w:ascii="黑体" w:hAnsi="宋体" w:eastAsia="黑体" w:cs="黑体"/>
                <w:kern w:val="0"/>
                <w:sz w:val="21"/>
                <w:szCs w:val="21"/>
                <w:lang w:val="en-US" w:eastAsia="zh-CN" w:bidi="ar"/>
              </w:rPr>
              <w:t>商业</w:t>
            </w:r>
          </w:p>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企业</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黑体"/>
                <w:kern w:val="0"/>
                <w:sz w:val="21"/>
                <w:szCs w:val="21"/>
                <w:lang w:val="en-US" w:eastAsia="zh-CN" w:bidi="ar"/>
              </w:rPr>
            </w:pPr>
            <w:r>
              <w:rPr>
                <w:rFonts w:hint="eastAsia" w:ascii="黑体" w:hAnsi="宋体" w:eastAsia="黑体" w:cs="黑体"/>
                <w:kern w:val="0"/>
                <w:sz w:val="21"/>
                <w:szCs w:val="21"/>
                <w:lang w:val="en-US" w:eastAsia="zh-CN" w:bidi="ar"/>
              </w:rPr>
              <w:t>科研</w:t>
            </w:r>
          </w:p>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机构</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163" w:leftChars="-51" w:right="-163" w:rightChars="-51"/>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社会公益组织</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162" w:leftChars="-51" w:right="-163" w:rightChars="-51" w:hanging="1"/>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法律服务机构</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60" w:lineRule="exact"/>
              <w:ind w:left="-96" w:leftChars="-30" w:right="-205" w:rightChars="-64"/>
              <w:jc w:val="center"/>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其他</w:t>
            </w:r>
          </w:p>
        </w:tc>
        <w:tc>
          <w:tcPr>
            <w:tcW w:w="699" w:type="dxa"/>
            <w:vMerge w:val="continue"/>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5081" w:type="dxa"/>
            <w:gridSpan w:val="3"/>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一、本年新收政府信息公开申请数量</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1</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lang w:val="en-US"/>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lang w:val="en-US" w:eastAsia="zh-CN"/>
                <w14:textFill>
                  <w14:solidFill>
                    <w14:schemeClr w14:val="tx1"/>
                  </w14:solidFill>
                </w14:textFill>
              </w:rPr>
            </w:pPr>
            <w:r>
              <w:rPr>
                <w:rFonts w:hint="eastAsia" w:hAnsi="Times New Roman" w:cs="Times New Roman"/>
                <w:color w:val="000000" w:themeColor="text1"/>
                <w:kern w:val="2"/>
                <w:sz w:val="21"/>
                <w:szCs w:val="21"/>
                <w:lang w:val="en-US" w:eastAsia="zh-CN"/>
                <w14:textFill>
                  <w14:solidFill>
                    <w14:schemeClr w14:val="tx1"/>
                  </w14:solidFill>
                </w14:textFill>
              </w:rPr>
              <w:t>1</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20" w:hRule="atLeast"/>
          <w:jc w:val="center"/>
        </w:trPr>
        <w:tc>
          <w:tcPr>
            <w:tcW w:w="5081" w:type="dxa"/>
            <w:gridSpan w:val="3"/>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二、上年结转政府信息公开申请数量</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restart"/>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三、本年度办理结果</w:t>
            </w:r>
          </w:p>
        </w:tc>
        <w:tc>
          <w:tcPr>
            <w:tcW w:w="466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（一）予以公开</w:t>
            </w: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1</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1</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66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（二）部分公开（区分处理的，只计这一情形，不计其他情形）</w:t>
            </w:r>
          </w:p>
        </w:tc>
        <w:tc>
          <w:tcPr>
            <w:tcW w:w="74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（三）不予公开</w:t>
            </w: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1.属于国家秘密</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2.其他法律行政法规禁止公开</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3.危及“三安全一稳定”</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4.保护第三方合法权益</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5.属于三类内部事务信息</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6.属于四类过程性信息</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7.属于行政执法案卷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8.属于行政查询事项</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（四）无法提供</w:t>
            </w: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1.本机关不掌握相关政府信息</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2.没有现成信息需要另行制作</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3.补正后申请内容仍不明确</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163" w:leftChars="-51" w:right="0"/>
              <w:jc w:val="both"/>
              <w:rPr>
                <w:rFonts w:hint="eastAsia" w:ascii="黑体" w:hAnsi="宋体" w:eastAsia="黑体" w:cs="Times New Roman"/>
                <w:kern w:val="2"/>
                <w:sz w:val="21"/>
                <w:szCs w:val="21"/>
              </w:rPr>
            </w:pPr>
            <w:r>
              <w:rPr>
                <w:rFonts w:hint="eastAsia" w:ascii="黑体" w:hAnsi="宋体" w:eastAsia="黑体" w:cs="黑体"/>
                <w:kern w:val="0"/>
                <w:sz w:val="21"/>
                <w:szCs w:val="21"/>
                <w:lang w:val="en-US" w:eastAsia="zh-CN" w:bidi="ar"/>
              </w:rPr>
              <w:t>（五）不予处理</w:t>
            </w: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1.信访举报投诉类申请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2.重复申请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2"/>
                <w:sz w:val="21"/>
                <w:szCs w:val="21"/>
              </w:rPr>
            </w:pPr>
            <w:r>
              <w:rPr>
                <w:rFonts w:hint="eastAsia" w:ascii="仿宋_GB2312" w:hAnsi="宋体" w:eastAsia="仿宋_GB2312" w:cs="仿宋_GB2312"/>
                <w:kern w:val="0"/>
                <w:sz w:val="21"/>
                <w:szCs w:val="21"/>
                <w:lang w:val="en-US" w:eastAsia="zh-CN" w:bidi="ar"/>
              </w:rPr>
              <w:t>3.要求提供公开出版物</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trHeight w:val="397" w:hRule="atLeast"/>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200" w:lineRule="exact"/>
              <w:ind w:left="0" w:right="0"/>
              <w:jc w:val="both"/>
              <w:rPr>
                <w:rFonts w:hint="eastAsia" w:ascii="仿宋_GB2312" w:hAnsi="宋体" w:eastAsia="仿宋_GB2312" w:cs="Times New Roman"/>
                <w:kern w:val="2"/>
                <w:sz w:val="21"/>
                <w:szCs w:val="21"/>
              </w:rPr>
            </w:pPr>
            <w:r>
              <w:rPr>
                <w:rFonts w:hint="eastAsia" w:ascii="仿宋_GB2312" w:hAnsi="宋体" w:eastAsia="仿宋_GB2312" w:cs="仿宋_GB2312"/>
                <w:kern w:val="0"/>
                <w:sz w:val="21"/>
                <w:szCs w:val="21"/>
                <w:lang w:val="en-US" w:eastAsia="zh-CN" w:bidi="ar"/>
              </w:rPr>
              <w:t>4.无正当理由大量反复申请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9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kern w:val="0"/>
                <w:sz w:val="21"/>
                <w:szCs w:val="21"/>
              </w:rPr>
            </w:pPr>
            <w:r>
              <w:rPr>
                <w:rFonts w:hint="eastAsia" w:ascii="仿宋_GB2312" w:hAnsi="宋体" w:eastAsia="仿宋_GB2312" w:cs="仿宋_GB2312"/>
                <w:kern w:val="0"/>
                <w:sz w:val="21"/>
                <w:szCs w:val="21"/>
                <w:lang w:val="en-US" w:eastAsia="zh-CN" w:bidi="ar"/>
              </w:rPr>
              <w:t>5.要求行政机关确认或重新</w:t>
            </w:r>
          </w:p>
          <w:p>
            <w:pPr>
              <w:keepNext w:val="0"/>
              <w:keepLines w:val="0"/>
              <w:widowControl/>
              <w:suppressLineNumbers w:val="0"/>
              <w:spacing w:before="0" w:beforeAutospacing="0" w:after="0" w:afterAutospacing="0" w:line="300" w:lineRule="exact"/>
              <w:ind w:left="0" w:right="0" w:firstLine="210" w:firstLineChars="100"/>
              <w:jc w:val="both"/>
              <w:rPr>
                <w:rFonts w:hint="eastAsia" w:ascii="仿宋_GB2312" w:hAnsi="宋体" w:eastAsia="仿宋_GB2312" w:cs="Times New Roman"/>
                <w:kern w:val="2"/>
                <w:sz w:val="21"/>
                <w:szCs w:val="21"/>
              </w:rPr>
            </w:pPr>
            <w:r>
              <w:rPr>
                <w:rFonts w:hint="eastAsia" w:ascii="仿宋_GB2312" w:hAnsi="宋体" w:eastAsia="仿宋_GB2312" w:cs="仿宋_GB2312"/>
                <w:kern w:val="0"/>
                <w:sz w:val="21"/>
                <w:szCs w:val="21"/>
                <w:lang w:val="en-US" w:eastAsia="zh-CN" w:bidi="ar"/>
              </w:rPr>
              <w:t>出具已获取信息</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kern w:val="2"/>
                <w:sz w:val="21"/>
                <w:szCs w:val="21"/>
              </w:rPr>
            </w:pPr>
            <w:r>
              <w:rPr>
                <w:rFonts w:hint="eastAsia" w:ascii="仿宋_GB2312" w:hAnsi="Times New Roman" w:eastAsia="仿宋_GB2312" w:cs="仿宋_GB2312"/>
                <w:kern w:val="2"/>
                <w:sz w:val="21"/>
                <w:szCs w:val="21"/>
                <w:lang w:val="en-US" w:eastAsia="zh-CN" w:bidi="ar"/>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（六）其他处理</w:t>
            </w:r>
          </w:p>
        </w:tc>
        <w:tc>
          <w:tcPr>
            <w:tcW w:w="2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楷体" w:eastAsia="仿宋_GB2312" w:cs="Times New Roman"/>
                <w:color w:val="000000" w:themeColor="text1"/>
                <w:kern w:val="2"/>
                <w:sz w:val="21"/>
                <w:szCs w:val="21"/>
                <w14:textFill>
                  <w14:solidFill>
                    <w14:schemeClr w14:val="tx1"/>
                  </w14:solidFill>
                </w14:textFill>
              </w:rPr>
            </w:pPr>
            <w:r>
              <w:rPr>
                <w:rFonts w:hint="eastAsia" w:ascii="仿宋_GB2312" w:hAnsi="楷体" w:eastAsia="仿宋_GB2312" w:cs="仿宋_GB2312"/>
                <w:color w:val="000000" w:themeColor="text1"/>
                <w:kern w:val="2"/>
                <w:sz w:val="21"/>
                <w:szCs w:val="21"/>
                <w:lang w:val="en-US" w:eastAsia="zh-CN" w:bidi="ar"/>
                <w14:textFill>
                  <w14:solidFill>
                    <w14:schemeClr w14:val="tx1"/>
                  </w14:solidFill>
                </w14:textFill>
              </w:rPr>
              <w:t>1.申请人无正当理由逾期不补正、行政机关不再处理其政府信息公开申请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color w:val="000000" w:themeColor="text1"/>
                <w:kern w:val="0"/>
                <w:sz w:val="21"/>
                <w:szCs w:val="21"/>
                <w14:textFill>
                  <w14:solidFill>
                    <w14:schemeClr w14:val="tx1"/>
                  </w14:solidFill>
                </w14:textFill>
              </w:rPr>
            </w:pPr>
            <w:r>
              <w:rPr>
                <w:rFonts w:hint="eastAsia" w:ascii="仿宋_GB2312" w:hAnsi="楷体" w:eastAsia="仿宋_GB2312" w:cs="仿宋_GB2312"/>
                <w:color w:val="000000" w:themeColor="text1"/>
                <w:kern w:val="2"/>
                <w:sz w:val="21"/>
                <w:szCs w:val="21"/>
                <w:lang w:val="en-US" w:eastAsia="zh-CN" w:bidi="ar"/>
                <w14:textFill>
                  <w14:solidFill>
                    <w14:schemeClr w14:val="tx1"/>
                  </w14:solidFill>
                </w14:textFill>
              </w:rPr>
              <w:t>2.申请人逾期未按收费通知要求缴纳费用、行政机关不再处理其政府信息公开申请</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1697"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2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00" w:lineRule="exact"/>
              <w:ind w:left="0" w:right="0"/>
              <w:jc w:val="both"/>
              <w:rPr>
                <w:rFonts w:hint="eastAsia" w:ascii="仿宋_GB2312" w:hAnsi="宋体" w:eastAsia="仿宋_GB2312" w:cs="Times New Roman"/>
                <w:color w:val="000000" w:themeColor="text1"/>
                <w:kern w:val="0"/>
                <w:sz w:val="21"/>
                <w:szCs w:val="21"/>
                <w14:textFill>
                  <w14:solidFill>
                    <w14:schemeClr w14:val="tx1"/>
                  </w14:solidFill>
                </w14:textFill>
              </w:rPr>
            </w:pPr>
            <w:r>
              <w:rPr>
                <w:rFonts w:hint="eastAsia" w:ascii="仿宋_GB2312" w:hAnsi="楷体" w:eastAsia="仿宋_GB2312" w:cs="仿宋_GB2312"/>
                <w:color w:val="000000" w:themeColor="text1"/>
                <w:kern w:val="2"/>
                <w:sz w:val="21"/>
                <w:szCs w:val="21"/>
                <w:lang w:val="en-US" w:eastAsia="zh-CN" w:bidi="ar"/>
                <w14:textFill>
                  <w14:solidFill>
                    <w14:schemeClr w14:val="tx1"/>
                  </w14:solidFill>
                </w14:textFill>
              </w:rPr>
              <w:t>3.其他</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lang w:val="en-US"/>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415" w:type="dxa"/>
            <w:vMerge w:val="continue"/>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c>
          <w:tcPr>
            <w:tcW w:w="466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（七）总计</w:t>
            </w:r>
          </w:p>
        </w:tc>
        <w:tc>
          <w:tcPr>
            <w:tcW w:w="74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lang w:val="en-US" w:eastAsia="zh-CN"/>
                <w14:textFill>
                  <w14:solidFill>
                    <w14:schemeClr w14:val="tx1"/>
                  </w14:solidFill>
                </w14:textFill>
              </w:rPr>
            </w:pPr>
            <w:r>
              <w:rPr>
                <w:rFonts w:hint="eastAsia" w:hAnsi="Times New Roman" w:cs="Times New Roman"/>
                <w:color w:val="000000" w:themeColor="text1"/>
                <w:kern w:val="2"/>
                <w:sz w:val="21"/>
                <w:szCs w:val="21"/>
                <w:lang w:val="en-US" w:eastAsia="zh-CN"/>
                <w14:textFill>
                  <w14:solidFill>
                    <w14:schemeClr w14:val="tx1"/>
                  </w14:solidFill>
                </w14:textFill>
              </w:rPr>
              <w:t>1</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lang w:val="en-US"/>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lang w:val="en-US" w:eastAsia="zh-CN"/>
                <w14:textFill>
                  <w14:solidFill>
                    <w14:schemeClr w14:val="tx1"/>
                  </w14:solidFill>
                </w14:textFill>
              </w:rPr>
            </w:pPr>
            <w:r>
              <w:rPr>
                <w:rFonts w:hint="eastAsia" w:hAnsi="Times New Roman" w:cs="Times New Roman"/>
                <w:color w:val="000000" w:themeColor="text1"/>
                <w:kern w:val="2"/>
                <w:sz w:val="21"/>
                <w:szCs w:val="21"/>
                <w:lang w:val="en-US" w:eastAsia="zh-CN"/>
                <w14:textFill>
                  <w14:solidFill>
                    <w14:schemeClr w14:val="tx1"/>
                  </w14:solidFill>
                </w14:textFill>
              </w:rPr>
              <w:t>0</w:t>
            </w:r>
          </w:p>
        </w:tc>
        <w:tc>
          <w:tcPr>
            <w:tcW w:w="71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default" w:ascii="仿宋_GB2312" w:hAnsi="Times New Roman" w:eastAsia="仿宋_GB2312" w:cs="Times New Roman"/>
                <w:color w:val="000000" w:themeColor="text1"/>
                <w:kern w:val="2"/>
                <w:sz w:val="21"/>
                <w:szCs w:val="21"/>
                <w:lang w:val="en-US"/>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1</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5081" w:type="dxa"/>
            <w:gridSpan w:val="3"/>
            <w:tcBorders>
              <w:top w:val="single" w:color="auto" w:sz="4" w:space="0"/>
              <w:left w:val="single" w:color="auto" w:sz="8"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00" w:lineRule="exact"/>
              <w:ind w:left="0" w:right="0"/>
              <w:jc w:val="both"/>
              <w:rPr>
                <w:rFonts w:hint="eastAsia" w:ascii="黑体" w:hAnsi="宋体" w:eastAsia="黑体" w:cs="Times New Roman"/>
                <w:color w:val="000000" w:themeColor="text1"/>
                <w:kern w:val="0"/>
                <w:sz w:val="21"/>
                <w:szCs w:val="21"/>
                <w14:textFill>
                  <w14:solidFill>
                    <w14:schemeClr w14:val="tx1"/>
                  </w14:solidFill>
                </w14:textFill>
              </w:rPr>
            </w:pPr>
            <w:r>
              <w:rPr>
                <w:rFonts w:hint="eastAsia" w:ascii="黑体" w:hAnsi="宋体" w:eastAsia="黑体" w:cs="黑体"/>
                <w:color w:val="000000" w:themeColor="text1"/>
                <w:kern w:val="0"/>
                <w:sz w:val="21"/>
                <w:szCs w:val="21"/>
                <w:lang w:val="en-US" w:eastAsia="zh-CN" w:bidi="ar"/>
                <w14:textFill>
                  <w14:solidFill>
                    <w14:schemeClr w14:val="tx1"/>
                  </w14:solidFill>
                </w14:textFill>
              </w:rPr>
              <w:t>四、结转下年度继续办理</w:t>
            </w:r>
          </w:p>
        </w:tc>
        <w:tc>
          <w:tcPr>
            <w:tcW w:w="745"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537" w:type="dxa"/>
            <w:gridSpan w:val="2"/>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718"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73"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524" w:type="dxa"/>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ascii="仿宋_GB2312" w:hAnsi="Times New Roman" w:eastAsia="仿宋_GB2312" w:cs="仿宋_GB2312"/>
                <w:color w:val="000000" w:themeColor="text1"/>
                <w:kern w:val="2"/>
                <w:sz w:val="21"/>
                <w:szCs w:val="21"/>
                <w:lang w:val="en-US" w:eastAsia="zh-CN" w:bidi="ar"/>
                <w14:textFill>
                  <w14:solidFill>
                    <w14:schemeClr w14:val="tx1"/>
                  </w14:solidFill>
                </w14:textFill>
              </w:rPr>
              <w:t>0</w:t>
            </w:r>
          </w:p>
        </w:tc>
        <w:tc>
          <w:tcPr>
            <w:tcW w:w="699" w:type="dxa"/>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autoSpaceDE w:val="0"/>
              <w:autoSpaceDN/>
              <w:spacing w:before="0" w:beforeAutospacing="0" w:after="0" w:afterAutospacing="0" w:line="240" w:lineRule="exact"/>
              <w:ind w:left="0" w:right="0"/>
              <w:jc w:val="center"/>
              <w:rPr>
                <w:rFonts w:hint="eastAsia" w:ascii="仿宋_GB2312" w:hAnsi="Times New Roman" w:eastAsia="仿宋_GB2312" w:cs="Times New Roman"/>
                <w:color w:val="000000" w:themeColor="text1"/>
                <w:kern w:val="2"/>
                <w:sz w:val="21"/>
                <w:szCs w:val="21"/>
                <w14:textFill>
                  <w14:solidFill>
                    <w14:schemeClr w14:val="tx1"/>
                  </w14:solidFill>
                </w14:textFill>
              </w:rPr>
            </w:pPr>
            <w:r>
              <w:rPr>
                <w:rFonts w:hint="eastAsia" w:hAnsi="Times New Roman" w:cs="仿宋_GB2312"/>
                <w:color w:val="000000" w:themeColor="text1"/>
                <w:kern w:val="2"/>
                <w:sz w:val="21"/>
                <w:szCs w:val="21"/>
                <w:lang w:val="en-US" w:eastAsia="zh-CN" w:bidi="ar"/>
                <w14:textFill>
                  <w14:solidFill>
                    <w14:schemeClr w14:val="tx1"/>
                  </w14:solidFill>
                </w14:textFill>
              </w:rPr>
              <w:t>0</w:t>
            </w:r>
          </w:p>
        </w:tc>
        <w:tc>
          <w:tcPr>
            <w:tcW w:w="1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themeColor="text1"/>
                <w:sz w:val="20"/>
                <w:szCs w:val="20"/>
                <w14:textFill>
                  <w14:solidFill>
                    <w14:schemeClr w14:val="tx1"/>
                  </w14:solidFill>
                </w14:textFill>
              </w:rPr>
            </w:pPr>
          </w:p>
        </w:tc>
      </w:tr>
    </w:tbl>
    <w:p>
      <w:pPr>
        <w:ind w:firstLine="320" w:firstLineChars="100"/>
        <w:rPr>
          <w:rFonts w:hint="default" w:ascii="黑体" w:hAnsi="宋体" w:eastAsia="黑体" w:cs="黑体"/>
          <w:i w:val="0"/>
          <w:iCs w:val="0"/>
          <w:caps w:val="0"/>
          <w:color w:val="000000"/>
          <w:spacing w:val="0"/>
          <w:sz w:val="31"/>
          <w:szCs w:val="31"/>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四、政府信息公开行政复议、行政诉讼情况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227" w:leftChars="-71" w:right="-259" w:rightChars="-81"/>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227" w:leftChars="-71" w:right="-259" w:rightChars="-81"/>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66" w:leftChars="-21" w:right="-202" w:rightChars="-63" w:hanging="1"/>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66" w:leftChars="-21" w:right="-202" w:rightChars="-63" w:hanging="1"/>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25" w:leftChars="-39" w:right="-147" w:rightChars="-46"/>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其他</w:t>
            </w:r>
          </w:p>
          <w:p>
            <w:pPr>
              <w:keepNext w:val="0"/>
              <w:keepLines w:val="0"/>
              <w:widowControl/>
              <w:suppressLineNumbers w:val="0"/>
              <w:spacing w:before="0" w:beforeAutospacing="0" w:after="0" w:afterAutospacing="0"/>
              <w:ind w:left="-125" w:leftChars="-39" w:right="-147" w:rightChars="-46"/>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79" w:leftChars="-56" w:right="-179" w:rightChars="-56"/>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尚未</w:t>
            </w:r>
          </w:p>
          <w:p>
            <w:pPr>
              <w:keepNext w:val="0"/>
              <w:keepLines w:val="0"/>
              <w:widowControl/>
              <w:suppressLineNumbers w:val="0"/>
              <w:spacing w:before="0" w:beforeAutospacing="0" w:after="0" w:afterAutospacing="0"/>
              <w:ind w:left="-179" w:leftChars="-56" w:right="-179" w:rightChars="-56"/>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总</w:t>
            </w:r>
          </w:p>
          <w:p>
            <w:pPr>
              <w:keepNext w:val="0"/>
              <w:keepLines w:val="0"/>
              <w:widowControl/>
              <w:suppressLineNumbers w:val="0"/>
              <w:spacing w:before="0" w:beforeAutospacing="0" w:after="0" w:afterAutospacing="0" w:line="320" w:lineRule="exact"/>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bookmarkStart w:id="0" w:name="_Hlk67039688"/>
            <w:r>
              <w:rPr>
                <w:rFonts w:hint="eastAsia" w:ascii="黑体" w:hAnsi="宋体" w:eastAsia="黑体" w:cs="黑体"/>
                <w:kern w:val="0"/>
                <w:sz w:val="20"/>
                <w:szCs w:val="20"/>
                <w:lang w:val="en-US" w:eastAsia="zh-CN" w:bidi="ar"/>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60" w:leftChars="-50" w:right="-192" w:rightChars="-6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160" w:leftChars="-50" w:right="-192" w:rightChars="-6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31" w:leftChars="-41" w:right="-134" w:rightChars="-42"/>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131" w:leftChars="-41" w:right="-134" w:rightChars="-42"/>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92" w:leftChars="-60" w:right="-208" w:rightChars="-65"/>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其他</w:t>
            </w:r>
          </w:p>
          <w:p>
            <w:pPr>
              <w:keepNext w:val="0"/>
              <w:keepLines w:val="0"/>
              <w:widowControl/>
              <w:suppressLineNumbers w:val="0"/>
              <w:spacing w:before="0" w:beforeAutospacing="0" w:after="0" w:afterAutospacing="0"/>
              <w:ind w:left="-192" w:leftChars="-60" w:right="-208" w:rightChars="-65"/>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249" w:leftChars="-78" w:right="-234" w:rightChars="-73"/>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尚未</w:t>
            </w:r>
          </w:p>
          <w:p>
            <w:pPr>
              <w:keepNext w:val="0"/>
              <w:keepLines w:val="0"/>
              <w:widowControl/>
              <w:suppressLineNumbers w:val="0"/>
              <w:spacing w:before="0" w:beforeAutospacing="0" w:after="0" w:afterAutospacing="0"/>
              <w:ind w:left="-249" w:leftChars="-78" w:right="-234" w:rightChars="-73"/>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50" w:leftChars="-47" w:right="-118" w:rightChars="-37"/>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150" w:leftChars="-47" w:right="-118" w:rightChars="-37"/>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208" w:leftChars="-65" w:right="-189" w:rightChars="-59"/>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结果</w:t>
            </w:r>
          </w:p>
          <w:p>
            <w:pPr>
              <w:keepNext w:val="0"/>
              <w:keepLines w:val="0"/>
              <w:widowControl/>
              <w:suppressLineNumbers w:val="0"/>
              <w:spacing w:before="0" w:beforeAutospacing="0" w:after="0" w:afterAutospacing="0"/>
              <w:ind w:left="-208" w:leftChars="-65" w:right="-189" w:rightChars="-59"/>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265" w:leftChars="-83" w:right="-205" w:rightChars="-64" w:hanging="1"/>
              <w:jc w:val="center"/>
              <w:rPr>
                <w:rFonts w:hint="eastAsia" w:ascii="黑体" w:hAnsi="宋体" w:eastAsia="黑体" w:cs="Times New Roman"/>
                <w:kern w:val="0"/>
                <w:sz w:val="20"/>
                <w:szCs w:val="20"/>
              </w:rPr>
            </w:pPr>
            <w:r>
              <w:rPr>
                <w:rFonts w:hint="eastAsia" w:ascii="黑体" w:hAnsi="宋体" w:eastAsia="黑体" w:cs="黑体"/>
                <w:kern w:val="0"/>
                <w:sz w:val="20"/>
                <w:szCs w:val="20"/>
                <w:lang w:val="en-US" w:eastAsia="zh-CN" w:bidi="ar"/>
              </w:rPr>
              <w:t>其他</w:t>
            </w:r>
          </w:p>
          <w:p>
            <w:pPr>
              <w:keepNext w:val="0"/>
              <w:keepLines w:val="0"/>
              <w:widowControl/>
              <w:suppressLineNumbers w:val="0"/>
              <w:spacing w:before="0" w:beforeAutospacing="0" w:after="0" w:afterAutospacing="0"/>
              <w:ind w:left="-265" w:leftChars="-83" w:right="-205" w:rightChars="-64" w:hanging="1"/>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104" w:leftChars="-33" w:right="-160" w:rightChars="-50" w:hanging="2" w:hangingChars="1"/>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尚未</w:t>
            </w:r>
          </w:p>
          <w:p>
            <w:pPr>
              <w:keepNext w:val="0"/>
              <w:keepLines w:val="0"/>
              <w:widowControl/>
              <w:suppressLineNumbers w:val="0"/>
              <w:spacing w:before="0" w:beforeAutospacing="0" w:after="0" w:afterAutospacing="0"/>
              <w:ind w:left="-104" w:leftChars="-33" w:right="-160" w:rightChars="-50" w:hanging="2" w:hangingChars="1"/>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ascii="黑体" w:hAnsi="宋体" w:eastAsia="黑体" w:cs="Times New Roman"/>
                <w:kern w:val="2"/>
                <w:sz w:val="21"/>
                <w:szCs w:val="21"/>
              </w:rPr>
            </w:pPr>
            <w:r>
              <w:rPr>
                <w:rFonts w:hint="eastAsia" w:ascii="黑体" w:hAnsi="宋体" w:eastAsia="黑体" w:cs="黑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180" w:afterAutospacing="0"/>
              <w:ind w:left="0" w:right="0"/>
              <w:jc w:val="center"/>
              <w:rPr>
                <w:rFonts w:hint="eastAsia" w:ascii="Times New Roman" w:hAnsi="Times New Roman" w:eastAsia="宋体" w:cs="Times New Roman"/>
                <w:kern w:val="2"/>
                <w:sz w:val="21"/>
                <w:szCs w:val="21"/>
                <w:lang w:val="en-US" w:eastAsia="zh-CN"/>
              </w:rPr>
            </w:pPr>
            <w:r>
              <w:rPr>
                <w:rFonts w:hint="eastAsia" w:ascii="Times New Roman" w:hAnsi="Times New Roman" w:eastAsia="宋体" w:cs="Times New Roman"/>
                <w:kern w:val="2"/>
                <w:sz w:val="21"/>
                <w:szCs w:val="21"/>
                <w:lang w:val="en-US" w:eastAsia="zh-CN"/>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320" w:firstLineChars="100"/>
        <w:jc w:val="both"/>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五、存在的主要问题及改进情况</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楷体_GB2312" w:hAnsi="sans-serif" w:eastAsia="楷体_GB2312" w:cs="楷体_GB2312"/>
          <w:i w:val="0"/>
          <w:iCs w:val="0"/>
          <w:caps w:val="0"/>
          <w:color w:val="000000"/>
          <w:spacing w:val="0"/>
          <w:sz w:val="32"/>
          <w:szCs w:val="32"/>
        </w:rPr>
      </w:pPr>
      <w:r>
        <w:rPr>
          <w:rFonts w:hint="eastAsia" w:ascii="楷体_GB2312" w:hAnsi="sans-serif" w:eastAsia="楷体_GB2312" w:cs="楷体_GB2312"/>
          <w:i w:val="0"/>
          <w:iCs w:val="0"/>
          <w:caps w:val="0"/>
          <w:color w:val="000000"/>
          <w:spacing w:val="0"/>
          <w:sz w:val="32"/>
          <w:szCs w:val="32"/>
        </w:rPr>
        <w:t>（一）存在问题</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sans-serif" w:eastAsia="仿宋_GB2312" w:cs="仿宋_GB2312"/>
          <w:i w:val="0"/>
          <w:iCs w:val="0"/>
          <w:caps w:val="0"/>
          <w:color w:val="auto"/>
          <w:spacing w:val="0"/>
          <w:sz w:val="32"/>
          <w:szCs w:val="32"/>
          <w:highlight w:val="none"/>
        </w:rPr>
      </w:pPr>
      <w:bookmarkStart w:id="1" w:name="_GoBack"/>
      <w:bookmarkEnd w:id="1"/>
      <w:r>
        <w:rPr>
          <w:rFonts w:hint="eastAsia" w:ascii="仿宋_GB2312" w:hAnsi="sans-serif" w:eastAsia="仿宋_GB2312" w:cs="仿宋_GB2312"/>
          <w:i w:val="0"/>
          <w:iCs w:val="0"/>
          <w:caps w:val="0"/>
          <w:color w:val="auto"/>
          <w:spacing w:val="0"/>
          <w:sz w:val="32"/>
          <w:szCs w:val="32"/>
          <w:highlight w:val="none"/>
        </w:rPr>
        <w:t>政府信息公开工作存在的主要问题：</w:t>
      </w:r>
      <w:r>
        <w:rPr>
          <w:rFonts w:hint="eastAsia" w:ascii="仿宋_GB2312" w:hAnsi="sans-serif" w:eastAsia="仿宋_GB2312" w:cs="仿宋_GB2312"/>
          <w:b/>
          <w:bCs/>
          <w:i w:val="0"/>
          <w:iCs w:val="0"/>
          <w:caps w:val="0"/>
          <w:color w:val="auto"/>
          <w:spacing w:val="0"/>
          <w:sz w:val="32"/>
          <w:szCs w:val="32"/>
          <w:highlight w:val="none"/>
        </w:rPr>
        <w:t>一是</w:t>
      </w:r>
      <w:r>
        <w:rPr>
          <w:rFonts w:hint="eastAsia" w:ascii="仿宋_GB2312" w:hAnsi="sans-serif" w:eastAsia="仿宋_GB2312" w:cs="仿宋_GB2312"/>
          <w:i w:val="0"/>
          <w:iCs w:val="0"/>
          <w:caps w:val="0"/>
          <w:color w:val="auto"/>
          <w:spacing w:val="0"/>
          <w:sz w:val="32"/>
          <w:szCs w:val="32"/>
          <w:highlight w:val="none"/>
        </w:rPr>
        <w:t>信息公开规范性、</w:t>
      </w:r>
      <w:r>
        <w:rPr>
          <w:rFonts w:hint="eastAsia" w:hAnsi="sans-serif" w:cs="仿宋_GB2312"/>
          <w:i w:val="0"/>
          <w:iCs w:val="0"/>
          <w:caps w:val="0"/>
          <w:color w:val="auto"/>
          <w:spacing w:val="0"/>
          <w:sz w:val="32"/>
          <w:szCs w:val="32"/>
          <w:highlight w:val="none"/>
          <w:lang w:eastAsia="zh-CN"/>
        </w:rPr>
        <w:t>信息发布时效性</w:t>
      </w:r>
      <w:r>
        <w:rPr>
          <w:rFonts w:hint="eastAsia" w:ascii="仿宋_GB2312" w:hAnsi="sans-serif" w:eastAsia="仿宋_GB2312" w:cs="仿宋_GB2312"/>
          <w:i w:val="0"/>
          <w:iCs w:val="0"/>
          <w:caps w:val="0"/>
          <w:color w:val="auto"/>
          <w:spacing w:val="0"/>
          <w:sz w:val="32"/>
          <w:szCs w:val="32"/>
          <w:highlight w:val="none"/>
        </w:rPr>
        <w:t>还有提升空间；</w:t>
      </w:r>
      <w:r>
        <w:rPr>
          <w:rFonts w:hint="eastAsia" w:ascii="仿宋_GB2312" w:hAnsi="sans-serif" w:eastAsia="仿宋_GB2312" w:cs="仿宋_GB2312"/>
          <w:b/>
          <w:bCs/>
          <w:i w:val="0"/>
          <w:iCs w:val="0"/>
          <w:caps w:val="0"/>
          <w:color w:val="auto"/>
          <w:spacing w:val="0"/>
          <w:sz w:val="32"/>
          <w:szCs w:val="32"/>
          <w:highlight w:val="none"/>
        </w:rPr>
        <w:t>二是</w:t>
      </w:r>
      <w:r>
        <w:rPr>
          <w:rFonts w:hint="eastAsia" w:ascii="仿宋_GB2312" w:hAnsi="sans-serif" w:eastAsia="仿宋_GB2312" w:cs="仿宋_GB2312"/>
          <w:i w:val="0"/>
          <w:iCs w:val="0"/>
          <w:caps w:val="0"/>
          <w:color w:val="auto"/>
          <w:spacing w:val="0"/>
          <w:sz w:val="32"/>
          <w:szCs w:val="32"/>
          <w:highlight w:val="none"/>
        </w:rPr>
        <w:t>信息公开内容的深度和广度需进一步</w:t>
      </w:r>
      <w:r>
        <w:rPr>
          <w:rFonts w:hint="eastAsia" w:hAnsi="sans-serif" w:cs="仿宋_GB2312"/>
          <w:i w:val="0"/>
          <w:iCs w:val="0"/>
          <w:caps w:val="0"/>
          <w:color w:val="auto"/>
          <w:spacing w:val="0"/>
          <w:sz w:val="32"/>
          <w:szCs w:val="32"/>
          <w:highlight w:val="none"/>
          <w:lang w:eastAsia="zh-CN"/>
        </w:rPr>
        <w:t>拓展</w:t>
      </w:r>
      <w:r>
        <w:rPr>
          <w:rFonts w:hint="eastAsia" w:ascii="仿宋_GB2312" w:hAnsi="sans-serif" w:eastAsia="仿宋_GB2312" w:cs="仿宋_GB2312"/>
          <w:i w:val="0"/>
          <w:iCs w:val="0"/>
          <w:caps w:val="0"/>
          <w:color w:val="auto"/>
          <w:spacing w:val="0"/>
          <w:sz w:val="32"/>
          <w:szCs w:val="32"/>
          <w:highlight w:val="none"/>
        </w:rPr>
        <w:t>；</w:t>
      </w:r>
      <w:r>
        <w:rPr>
          <w:rFonts w:hint="eastAsia" w:ascii="仿宋_GB2312" w:hAnsi="sans-serif" w:eastAsia="仿宋_GB2312" w:cs="仿宋_GB2312"/>
          <w:b/>
          <w:bCs/>
          <w:i w:val="0"/>
          <w:iCs w:val="0"/>
          <w:caps w:val="0"/>
          <w:color w:val="auto"/>
          <w:spacing w:val="0"/>
          <w:sz w:val="32"/>
          <w:szCs w:val="32"/>
          <w:highlight w:val="none"/>
        </w:rPr>
        <w:t>三是</w:t>
      </w:r>
      <w:r>
        <w:rPr>
          <w:rFonts w:hint="eastAsia" w:ascii="仿宋_GB2312" w:hAnsi="sans-serif" w:eastAsia="仿宋_GB2312" w:cs="仿宋_GB2312"/>
          <w:i w:val="0"/>
          <w:iCs w:val="0"/>
          <w:caps w:val="0"/>
          <w:color w:val="auto"/>
          <w:spacing w:val="0"/>
          <w:sz w:val="32"/>
          <w:szCs w:val="32"/>
          <w:highlight w:val="none"/>
        </w:rPr>
        <w:t>信息公开工作的组织建设仍需改进。</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outlineLvl w:val="1"/>
        <w:rPr>
          <w:rFonts w:hint="eastAsia" w:ascii="仿宋_GB2312" w:hAnsi="sans-serif" w:eastAsia="仿宋_GB2312" w:cs="仿宋_GB2312"/>
          <w:i w:val="0"/>
          <w:iCs w:val="0"/>
          <w:caps w:val="0"/>
          <w:color w:val="auto"/>
          <w:spacing w:val="0"/>
          <w:sz w:val="32"/>
          <w:szCs w:val="32"/>
          <w:highlight w:val="none"/>
        </w:rPr>
      </w:pPr>
      <w:r>
        <w:rPr>
          <w:rFonts w:hint="eastAsia" w:ascii="楷体_GB2312" w:hAnsi="sans-serif" w:eastAsia="楷体_GB2312" w:cs="楷体_GB2312"/>
          <w:i w:val="0"/>
          <w:iCs w:val="0"/>
          <w:caps w:val="0"/>
          <w:color w:val="auto"/>
          <w:spacing w:val="0"/>
          <w:sz w:val="32"/>
          <w:szCs w:val="32"/>
          <w:highlight w:val="none"/>
        </w:rPr>
        <w:t>（二）整改措施</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2" w:firstLineChars="200"/>
        <w:textAlignment w:val="auto"/>
        <w:rPr>
          <w:rFonts w:hint="eastAsia" w:ascii="仿宋_GB2312" w:hAnsi="sans-serif" w:eastAsia="仿宋_GB2312" w:cs="仿宋_GB2312"/>
          <w:i w:val="0"/>
          <w:iCs w:val="0"/>
          <w:caps w:val="0"/>
          <w:color w:val="auto"/>
          <w:spacing w:val="0"/>
          <w:sz w:val="32"/>
          <w:szCs w:val="32"/>
          <w:highlight w:val="none"/>
          <w:lang w:eastAsia="zh-CN"/>
        </w:rPr>
      </w:pPr>
      <w:r>
        <w:rPr>
          <w:rFonts w:hint="eastAsia" w:ascii="仿宋_GB2312" w:hAnsi="sans-serif" w:eastAsia="仿宋_GB2312" w:cs="仿宋_GB2312"/>
          <w:b/>
          <w:bCs/>
          <w:i w:val="0"/>
          <w:iCs w:val="0"/>
          <w:caps w:val="0"/>
          <w:color w:val="auto"/>
          <w:spacing w:val="0"/>
          <w:sz w:val="32"/>
          <w:szCs w:val="32"/>
          <w:highlight w:val="none"/>
        </w:rPr>
        <w:t>一是</w:t>
      </w:r>
      <w:r>
        <w:rPr>
          <w:rFonts w:hint="eastAsia" w:ascii="仿宋_GB2312" w:hAnsi="sans-serif" w:eastAsia="仿宋_GB2312" w:cs="仿宋_GB2312"/>
          <w:i w:val="0"/>
          <w:iCs w:val="0"/>
          <w:caps w:val="0"/>
          <w:color w:val="auto"/>
          <w:spacing w:val="0"/>
          <w:sz w:val="32"/>
          <w:szCs w:val="32"/>
          <w:highlight w:val="none"/>
        </w:rPr>
        <w:t>优化政府信息管理、信息发布、解读回应、依申请公开、公众参与、监督考核等工作流程，进一步强化政府信息公开工作规范化；</w:t>
      </w:r>
      <w:r>
        <w:rPr>
          <w:rFonts w:hint="eastAsia" w:ascii="仿宋_GB2312" w:hAnsi="sans-serif" w:eastAsia="仿宋_GB2312" w:cs="仿宋_GB2312"/>
          <w:b/>
          <w:bCs/>
          <w:i w:val="0"/>
          <w:iCs w:val="0"/>
          <w:caps w:val="0"/>
          <w:color w:val="auto"/>
          <w:spacing w:val="0"/>
          <w:sz w:val="32"/>
          <w:szCs w:val="32"/>
          <w:highlight w:val="none"/>
        </w:rPr>
        <w:t>二是</w:t>
      </w:r>
      <w:r>
        <w:rPr>
          <w:rFonts w:hint="eastAsia" w:ascii="仿宋_GB2312" w:hAnsi="sans-serif" w:eastAsia="仿宋_GB2312" w:cs="仿宋_GB2312"/>
          <w:i w:val="0"/>
          <w:iCs w:val="0"/>
          <w:caps w:val="0"/>
          <w:color w:val="auto"/>
          <w:spacing w:val="0"/>
          <w:sz w:val="32"/>
          <w:szCs w:val="32"/>
          <w:highlight w:val="none"/>
        </w:rPr>
        <w:t>以社会关注度高、公共利益大的政策措施作为突破口，着力提高工信领域政府信息公开质量；</w:t>
      </w:r>
      <w:r>
        <w:rPr>
          <w:rFonts w:hint="eastAsia" w:ascii="仿宋_GB2312" w:hAnsi="sans-serif" w:eastAsia="仿宋_GB2312" w:cs="仿宋_GB2312"/>
          <w:b/>
          <w:bCs/>
          <w:i w:val="0"/>
          <w:iCs w:val="0"/>
          <w:caps w:val="0"/>
          <w:color w:val="auto"/>
          <w:spacing w:val="0"/>
          <w:sz w:val="32"/>
          <w:szCs w:val="32"/>
          <w:highlight w:val="none"/>
        </w:rPr>
        <w:t>三是</w:t>
      </w:r>
      <w:r>
        <w:rPr>
          <w:rFonts w:hint="eastAsia" w:ascii="仿宋_GB2312" w:hAnsi="sans-serif" w:eastAsia="仿宋_GB2312" w:cs="仿宋_GB2312"/>
          <w:i w:val="0"/>
          <w:iCs w:val="0"/>
          <w:caps w:val="0"/>
          <w:color w:val="auto"/>
          <w:spacing w:val="0"/>
          <w:sz w:val="32"/>
          <w:szCs w:val="32"/>
          <w:highlight w:val="none"/>
        </w:rPr>
        <w:t>加强培训学习，通过</w:t>
      </w:r>
      <w:r>
        <w:rPr>
          <w:rFonts w:hint="eastAsia" w:hAnsi="sans-serif" w:cs="仿宋_GB2312"/>
          <w:i w:val="0"/>
          <w:iCs w:val="0"/>
          <w:caps w:val="0"/>
          <w:color w:val="auto"/>
          <w:spacing w:val="0"/>
          <w:sz w:val="32"/>
          <w:szCs w:val="32"/>
          <w:highlight w:val="none"/>
          <w:lang w:eastAsia="zh-CN"/>
        </w:rPr>
        <w:t>组织召开</w:t>
      </w:r>
      <w:r>
        <w:rPr>
          <w:rFonts w:hint="eastAsia" w:ascii="仿宋_GB2312" w:hAnsi="sans-serif" w:eastAsia="仿宋_GB2312" w:cs="仿宋_GB2312"/>
          <w:i w:val="0"/>
          <w:iCs w:val="0"/>
          <w:caps w:val="0"/>
          <w:color w:val="auto"/>
          <w:spacing w:val="0"/>
          <w:sz w:val="32"/>
          <w:szCs w:val="32"/>
          <w:highlight w:val="none"/>
        </w:rPr>
        <w:t>政务公开专题培训会等方式，推动全局广大干部进一步领会和贯彻《条例》精神，提升业务能力和水平。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kern w:val="0"/>
          <w:sz w:val="32"/>
          <w:szCs w:val="32"/>
          <w:shd w:val="clear" w:color="auto" w:fill="FFFFFF"/>
          <w:lang w:val="en-US" w:eastAsia="zh-CN" w:bidi="ar"/>
        </w:rPr>
      </w:pPr>
      <w:r>
        <w:rPr>
          <w:rFonts w:hint="eastAsia" w:ascii="黑体" w:hAnsi="黑体" w:eastAsia="黑体" w:cs="黑体"/>
          <w:b w:val="0"/>
          <w:bCs/>
          <w:i w:val="0"/>
          <w:caps w:val="0"/>
          <w:color w:val="333333"/>
          <w:spacing w:val="0"/>
          <w:kern w:val="0"/>
          <w:sz w:val="32"/>
          <w:szCs w:val="32"/>
          <w:shd w:val="clear" w:color="auto" w:fill="FFFFFF"/>
          <w:lang w:val="en-US" w:eastAsia="zh-CN" w:bidi="ar"/>
        </w:rPr>
        <w:t>六、其他需要报告的事项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1.收取信息处理费情况方面。202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年度，本单位未收取信息处理费。</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2.落实上级年度政务公开工作要点情况。对照《枣庄市202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年政务公开政务公开工作要点》、《滕州市202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年政务公开工作要点》，围绕重点领域信息公开、政策发布解读等方面开展政务公开工作。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3.人大代表建议和政协提案办理情况方面。202</w:t>
      </w:r>
      <w:r>
        <w:rPr>
          <w:rFonts w:hint="eastAsia" w:hAnsi="sans-serif" w:cs="仿宋_GB2312"/>
          <w:i w:val="0"/>
          <w:iCs w:val="0"/>
          <w:caps w:val="0"/>
          <w:color w:val="000000"/>
          <w:spacing w:val="0"/>
          <w:sz w:val="32"/>
          <w:szCs w:val="32"/>
          <w:lang w:val="en-US" w:eastAsia="zh-CN"/>
        </w:rPr>
        <w:t>4</w:t>
      </w:r>
      <w:r>
        <w:rPr>
          <w:rFonts w:hint="eastAsia" w:ascii="仿宋_GB2312" w:hAnsi="sans-serif" w:eastAsia="仿宋_GB2312" w:cs="仿宋_GB2312"/>
          <w:i w:val="0"/>
          <w:iCs w:val="0"/>
          <w:caps w:val="0"/>
          <w:color w:val="000000"/>
          <w:spacing w:val="0"/>
          <w:sz w:val="32"/>
          <w:szCs w:val="32"/>
        </w:rPr>
        <w:t>年，滕州市工业和信息化局</w:t>
      </w:r>
      <w:r>
        <w:rPr>
          <w:rFonts w:hint="eastAsia" w:hAnsi="sans-serif" w:cs="仿宋_GB2312"/>
          <w:i w:val="0"/>
          <w:iCs w:val="0"/>
          <w:caps w:val="0"/>
          <w:color w:val="000000"/>
          <w:spacing w:val="0"/>
          <w:sz w:val="32"/>
          <w:szCs w:val="32"/>
          <w:lang w:eastAsia="zh-CN"/>
        </w:rPr>
        <w:t>办理</w:t>
      </w:r>
      <w:r>
        <w:rPr>
          <w:rFonts w:hint="eastAsia" w:ascii="仿宋_GB2312" w:hAnsi="sans-serif" w:eastAsia="仿宋_GB2312" w:cs="仿宋_GB2312"/>
          <w:i w:val="0"/>
          <w:iCs w:val="0"/>
          <w:caps w:val="0"/>
          <w:color w:val="000000"/>
          <w:spacing w:val="0"/>
          <w:sz w:val="32"/>
          <w:szCs w:val="32"/>
        </w:rPr>
        <w:t>枣庄政协提案5件</w:t>
      </w:r>
      <w:r>
        <w:rPr>
          <w:rFonts w:hint="eastAsia" w:hAnsi="sans-serif" w:cs="仿宋_GB2312"/>
          <w:i w:val="0"/>
          <w:iCs w:val="0"/>
          <w:caps w:val="0"/>
          <w:color w:val="000000"/>
          <w:spacing w:val="0"/>
          <w:sz w:val="32"/>
          <w:szCs w:val="32"/>
          <w:lang w:eastAsia="zh-CN"/>
        </w:rPr>
        <w:t>、</w:t>
      </w:r>
      <w:r>
        <w:rPr>
          <w:rFonts w:hint="eastAsia" w:ascii="仿宋_GB2312" w:hAnsi="sans-serif" w:eastAsia="仿宋_GB2312" w:cs="仿宋_GB2312"/>
          <w:i w:val="0"/>
          <w:iCs w:val="0"/>
          <w:caps w:val="0"/>
          <w:color w:val="000000"/>
          <w:spacing w:val="0"/>
          <w:sz w:val="32"/>
          <w:szCs w:val="32"/>
        </w:rPr>
        <w:t>滕州人大建议7件</w:t>
      </w:r>
      <w:r>
        <w:rPr>
          <w:rFonts w:hint="eastAsia" w:hAnsi="sans-serif" w:cs="仿宋_GB2312"/>
          <w:i w:val="0"/>
          <w:iCs w:val="0"/>
          <w:caps w:val="0"/>
          <w:color w:val="000000"/>
          <w:spacing w:val="0"/>
          <w:sz w:val="32"/>
          <w:szCs w:val="32"/>
          <w:lang w:eastAsia="zh-CN"/>
        </w:rPr>
        <w:t>、</w:t>
      </w:r>
      <w:r>
        <w:rPr>
          <w:rFonts w:hint="eastAsia" w:ascii="仿宋_GB2312" w:hAnsi="sans-serif" w:eastAsia="仿宋_GB2312" w:cs="仿宋_GB2312"/>
          <w:i w:val="0"/>
          <w:iCs w:val="0"/>
          <w:caps w:val="0"/>
          <w:color w:val="000000"/>
          <w:spacing w:val="0"/>
          <w:sz w:val="32"/>
          <w:szCs w:val="32"/>
        </w:rPr>
        <w:t>滕州政协提案</w:t>
      </w:r>
      <w:r>
        <w:rPr>
          <w:rFonts w:hint="eastAsia" w:hAnsi="sans-serif" w:cs="仿宋_GB2312"/>
          <w:i w:val="0"/>
          <w:iCs w:val="0"/>
          <w:caps w:val="0"/>
          <w:color w:val="000000"/>
          <w:spacing w:val="0"/>
          <w:sz w:val="32"/>
          <w:szCs w:val="32"/>
          <w:lang w:val="en-US" w:eastAsia="zh-CN"/>
        </w:rPr>
        <w:t>19</w:t>
      </w:r>
      <w:r>
        <w:rPr>
          <w:rFonts w:hint="eastAsia" w:ascii="仿宋_GB2312" w:hAnsi="sans-serif" w:eastAsia="仿宋_GB2312" w:cs="仿宋_GB2312"/>
          <w:i w:val="0"/>
          <w:iCs w:val="0"/>
          <w:caps w:val="0"/>
          <w:color w:val="000000"/>
          <w:spacing w:val="0"/>
          <w:sz w:val="32"/>
          <w:szCs w:val="32"/>
        </w:rPr>
        <w:t>件，均已办结。</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4.开展政务公开创新方面。滕州市工业和信息化局采取线上线下相结合等方式，不断创新公开形式，完善公开目录，保障信息公开工作</w:t>
      </w:r>
      <w:r>
        <w:rPr>
          <w:rFonts w:hint="eastAsia" w:hAnsi="sans-serif" w:cs="仿宋_GB2312"/>
          <w:i w:val="0"/>
          <w:iCs w:val="0"/>
          <w:caps w:val="0"/>
          <w:color w:val="000000"/>
          <w:spacing w:val="0"/>
          <w:sz w:val="32"/>
          <w:szCs w:val="32"/>
          <w:lang w:eastAsia="zh-CN"/>
        </w:rPr>
        <w:t>规范、有序开展</w:t>
      </w:r>
      <w:r>
        <w:rPr>
          <w:rFonts w:hint="eastAsia" w:ascii="仿宋_GB2312" w:hAnsi="sans-serif" w:eastAsia="仿宋_GB2312" w:cs="仿宋_GB2312"/>
          <w:i w:val="0"/>
          <w:iCs w:val="0"/>
          <w:caps w:val="0"/>
          <w:color w:val="000000"/>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5.本单位政府信息公开工作年度报告数据统计需要说明的事项：无。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6.其他有关文件专门要求通过政府信息公开工作年度报告予以报告的事项：无。</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7.本报告的电子版可在“中国滕州网”（www.tengzhou.gov.cn）网站查询和下载。如对本报告有任何疑问，请与滕州市工业和信息化局综合法规科联系。（地址：山东省滕州市北辛中路政务中心0529房间，联系电话：0632—5502160，电子邮箱：tzjxjzhk@163.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2MyMWZhNGY4OTcyOWQzYWM0YjhlMjAxM2RlODQifQ=="/>
  </w:docVars>
  <w:rsids>
    <w:rsidRoot w:val="00000000"/>
    <w:rsid w:val="00B5373B"/>
    <w:rsid w:val="02232ACA"/>
    <w:rsid w:val="0324475C"/>
    <w:rsid w:val="03A320AB"/>
    <w:rsid w:val="057B7A05"/>
    <w:rsid w:val="05CF793B"/>
    <w:rsid w:val="06490DA5"/>
    <w:rsid w:val="07E51502"/>
    <w:rsid w:val="0A5A5CE7"/>
    <w:rsid w:val="0C541CC6"/>
    <w:rsid w:val="0C810032"/>
    <w:rsid w:val="0DC45C7F"/>
    <w:rsid w:val="0EAD0922"/>
    <w:rsid w:val="0EBF3DF5"/>
    <w:rsid w:val="0ED4186F"/>
    <w:rsid w:val="0F977B31"/>
    <w:rsid w:val="11162173"/>
    <w:rsid w:val="11360C84"/>
    <w:rsid w:val="12A644BF"/>
    <w:rsid w:val="149B66DD"/>
    <w:rsid w:val="18721A3A"/>
    <w:rsid w:val="18874ECB"/>
    <w:rsid w:val="1B112B91"/>
    <w:rsid w:val="1D3846F6"/>
    <w:rsid w:val="1E0068A1"/>
    <w:rsid w:val="1ED41333"/>
    <w:rsid w:val="1EFA0DBC"/>
    <w:rsid w:val="206A4930"/>
    <w:rsid w:val="22617B2B"/>
    <w:rsid w:val="22794E74"/>
    <w:rsid w:val="228F28EA"/>
    <w:rsid w:val="24A50EE7"/>
    <w:rsid w:val="24F20F0E"/>
    <w:rsid w:val="256708C6"/>
    <w:rsid w:val="27851763"/>
    <w:rsid w:val="28956780"/>
    <w:rsid w:val="28A71BB2"/>
    <w:rsid w:val="28C606E7"/>
    <w:rsid w:val="2B3B360F"/>
    <w:rsid w:val="2F616747"/>
    <w:rsid w:val="31BB1031"/>
    <w:rsid w:val="32D714C8"/>
    <w:rsid w:val="32EB4869"/>
    <w:rsid w:val="3390372F"/>
    <w:rsid w:val="33AF4B9A"/>
    <w:rsid w:val="34FF56AD"/>
    <w:rsid w:val="350B21A2"/>
    <w:rsid w:val="35415CC5"/>
    <w:rsid w:val="35CB37E1"/>
    <w:rsid w:val="3614665A"/>
    <w:rsid w:val="36A74218"/>
    <w:rsid w:val="374E46CA"/>
    <w:rsid w:val="375C34D6"/>
    <w:rsid w:val="3783993D"/>
    <w:rsid w:val="37F4A032"/>
    <w:rsid w:val="39B90520"/>
    <w:rsid w:val="3A3714EF"/>
    <w:rsid w:val="3A5B630E"/>
    <w:rsid w:val="3A9F87BD"/>
    <w:rsid w:val="3AF92B9E"/>
    <w:rsid w:val="3D624A2B"/>
    <w:rsid w:val="3DD53A7C"/>
    <w:rsid w:val="3E164772"/>
    <w:rsid w:val="3EBB1D70"/>
    <w:rsid w:val="3EEF7756"/>
    <w:rsid w:val="3EF21DDE"/>
    <w:rsid w:val="3FD7401B"/>
    <w:rsid w:val="3FD84D4A"/>
    <w:rsid w:val="42832E2D"/>
    <w:rsid w:val="42AC4C0A"/>
    <w:rsid w:val="477E64B7"/>
    <w:rsid w:val="4A1C2405"/>
    <w:rsid w:val="4AE40A60"/>
    <w:rsid w:val="4AEC1DD8"/>
    <w:rsid w:val="4BFC604B"/>
    <w:rsid w:val="4C080E93"/>
    <w:rsid w:val="4D7C3CFA"/>
    <w:rsid w:val="4DA50D3D"/>
    <w:rsid w:val="4DCC07AF"/>
    <w:rsid w:val="50E22C1F"/>
    <w:rsid w:val="536A616D"/>
    <w:rsid w:val="546926EB"/>
    <w:rsid w:val="54A13C33"/>
    <w:rsid w:val="56210428"/>
    <w:rsid w:val="568578F8"/>
    <w:rsid w:val="57A355B7"/>
    <w:rsid w:val="59087C19"/>
    <w:rsid w:val="592926F2"/>
    <w:rsid w:val="5C2313A4"/>
    <w:rsid w:val="5C891B7C"/>
    <w:rsid w:val="5EFD263A"/>
    <w:rsid w:val="60922013"/>
    <w:rsid w:val="60FA4DF7"/>
    <w:rsid w:val="60FC29B3"/>
    <w:rsid w:val="61C63D38"/>
    <w:rsid w:val="62137DCA"/>
    <w:rsid w:val="643575AD"/>
    <w:rsid w:val="66C33328"/>
    <w:rsid w:val="68A4312B"/>
    <w:rsid w:val="6A770F48"/>
    <w:rsid w:val="6C7D4B2E"/>
    <w:rsid w:val="6DBFF9D3"/>
    <w:rsid w:val="6E6C09B6"/>
    <w:rsid w:val="6FF7488A"/>
    <w:rsid w:val="7055578D"/>
    <w:rsid w:val="71237BC5"/>
    <w:rsid w:val="717A163C"/>
    <w:rsid w:val="728D3603"/>
    <w:rsid w:val="72DC6200"/>
    <w:rsid w:val="7315161C"/>
    <w:rsid w:val="73CD7F8D"/>
    <w:rsid w:val="73FEB13A"/>
    <w:rsid w:val="74945D2F"/>
    <w:rsid w:val="74A52E74"/>
    <w:rsid w:val="76A35191"/>
    <w:rsid w:val="77E73886"/>
    <w:rsid w:val="79111D38"/>
    <w:rsid w:val="7B77042E"/>
    <w:rsid w:val="7BA6526A"/>
    <w:rsid w:val="7BFED361"/>
    <w:rsid w:val="7BFF5920"/>
    <w:rsid w:val="7D3B5AC2"/>
    <w:rsid w:val="7D6F1D83"/>
    <w:rsid w:val="7D9FF7A4"/>
    <w:rsid w:val="7ED76476"/>
    <w:rsid w:val="7F6820BF"/>
    <w:rsid w:val="7F7F8800"/>
    <w:rsid w:val="7FFB0895"/>
    <w:rsid w:val="84F7DAD7"/>
    <w:rsid w:val="8BE622ED"/>
    <w:rsid w:val="B5F72C0F"/>
    <w:rsid w:val="B76F610A"/>
    <w:rsid w:val="BCFF077B"/>
    <w:rsid w:val="BFCFD347"/>
    <w:rsid w:val="BFFB927B"/>
    <w:rsid w:val="D2FBB728"/>
    <w:rsid w:val="D7F7326F"/>
    <w:rsid w:val="DB8F4F45"/>
    <w:rsid w:val="DEFBE8B7"/>
    <w:rsid w:val="DF7E13C1"/>
    <w:rsid w:val="DFB6889B"/>
    <w:rsid w:val="DFFF290E"/>
    <w:rsid w:val="EAF9CAEA"/>
    <w:rsid w:val="EFD6992A"/>
    <w:rsid w:val="F756657F"/>
    <w:rsid w:val="F76BD17B"/>
    <w:rsid w:val="F7951AA9"/>
    <w:rsid w:val="F7FED180"/>
    <w:rsid w:val="FBBE110B"/>
    <w:rsid w:val="FEB7D018"/>
    <w:rsid w:val="FFF575E5"/>
    <w:rsid w:val="FFF5C0D7"/>
    <w:rsid w:val="FFF5DE41"/>
    <w:rsid w:val="FFF713FC"/>
    <w:rsid w:val="FFF74061"/>
    <w:rsid w:val="FFF9D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仿宋_GB2312" w:hAnsi="仿宋_GB2312" w:eastAsia="仿宋_GB2312" w:cstheme="minorBidi"/>
      <w:sz w:val="32"/>
      <w:szCs w:val="22"/>
    </w:rPr>
  </w:style>
  <w:style w:type="paragraph" w:styleId="2">
    <w:name w:val="heading 1"/>
    <w:basedOn w:val="1"/>
    <w:next w:val="1"/>
    <w:qFormat/>
    <w:uiPriority w:val="0"/>
    <w:pPr>
      <w:keepNext/>
      <w:keepLines/>
      <w:spacing w:beforeLines="0" w:beforeAutospacing="0" w:afterLines="0" w:afterAutospacing="0" w:line="240" w:lineRule="auto"/>
      <w:outlineLvl w:val="0"/>
    </w:pPr>
    <w:rPr>
      <w:rFonts w:eastAsia="宋体" w:asciiTheme="minorAscii" w:hAnsiTheme="minorAscii"/>
      <w:b/>
      <w:color w:val="1E386B" w:themeColor="accent1" w:themeShade="80"/>
      <w:kern w:val="44"/>
      <w:sz w:val="30"/>
      <w:szCs w:val="24"/>
      <w:lang w:val="en-US" w:eastAsia="zh-CN" w:bidi="ar-SA"/>
    </w:rPr>
  </w:style>
  <w:style w:type="paragraph" w:styleId="3">
    <w:name w:val="heading 2"/>
    <w:basedOn w:val="1"/>
    <w:next w:val="1"/>
    <w:semiHidden/>
    <w:unhideWhenUsed/>
    <w:qFormat/>
    <w:uiPriority w:val="0"/>
    <w:pPr>
      <w:keepNext/>
      <w:keepLines/>
      <w:spacing w:beforeLines="0" w:beforeAutospacing="0" w:afterLines="0" w:afterAutospacing="0" w:line="400" w:lineRule="exact"/>
      <w:ind w:firstLine="301" w:firstLineChars="100"/>
      <w:jc w:val="left"/>
      <w:outlineLvl w:val="1"/>
    </w:pPr>
    <w:rPr>
      <w:rFonts w:ascii="Arial" w:hAnsi="Arial" w:eastAsia="宋体"/>
      <w:b/>
      <w:color w:val="1E386B" w:themeColor="accent1" w:themeShade="80"/>
      <w:sz w:val="28"/>
    </w:rPr>
  </w:style>
  <w:style w:type="paragraph" w:styleId="4">
    <w:name w:val="heading 3"/>
    <w:basedOn w:val="1"/>
    <w:next w:val="1"/>
    <w:semiHidden/>
    <w:unhideWhenUsed/>
    <w:qFormat/>
    <w:uiPriority w:val="0"/>
    <w:pPr>
      <w:keepNext/>
      <w:keepLines/>
      <w:spacing w:beforeLines="0" w:beforeAutospacing="0" w:afterLines="0" w:afterAutospacing="0" w:line="240" w:lineRule="auto"/>
      <w:jc w:val="left"/>
      <w:outlineLvl w:val="2"/>
    </w:pPr>
    <w:rPr>
      <w:rFonts w:asciiTheme="minorAscii" w:hAnsiTheme="minorAscii"/>
      <w:b/>
      <w:color w:val="238F86" w:themeColor="accent5" w:themeShade="BF"/>
      <w14:shadow w14:blurRad="60007" w14:dist="200025" w14:dir="15000000" w14:sx="100000" w14:sy="30000" w14:kx="-1800000" w14:ky="0" w14:algn="bl">
        <w14:srgbClr w14:val="000000">
          <w14:alpha w14:val="68000"/>
        </w14:srgbClr>
      </w14:shadow>
      <w14:textFill>
        <w14:gradFill>
          <w14:gsLst>
            <w14:gs w14:pos="0">
              <w14:srgbClr w14:val="FE4444"/>
            </w14:gs>
            <w14:gs w14:pos="100000">
              <w14:srgbClr w14:val="832B2B"/>
            </w14:gs>
          </w14:gsLst>
          <w14:lin w14:ang="5400000" w14:scaled="0"/>
        </w14:gradFill>
      </w14:textFill>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latin typeface="仿宋_GB2312" panose="02010609030101010101" charset="-122"/>
                <a:ea typeface="仿宋_GB2312" panose="02010609030101010101" charset="-122"/>
              </a:rPr>
              <a:t>政府信息主动公开</a:t>
            </a:r>
            <a:endParaRPr sz="1600" b="1">
              <a:latin typeface="仿宋_GB2312" panose="02010609030101010101" charset="-122"/>
              <a:ea typeface="仿宋_GB2312" panose="0201060903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政府信息主动公开</c:v>
                </c:pt>
              </c:strCache>
            </c:strRef>
          </c:tx>
          <c:spPr>
            <a:solidFill>
              <a:schemeClr val="accent1"/>
            </a:solidFill>
            <a:ln>
              <a:noFill/>
            </a:ln>
            <a:effectLst/>
          </c:spPr>
          <c:invertIfNegative val="0"/>
          <c:dLbls>
            <c:delete val="1"/>
          </c:dLbls>
          <c:cat>
            <c:strRef>
              <c:f>Sheet1!$A$2:$A$4</c:f>
              <c:strCache>
                <c:ptCount val="3"/>
                <c:pt idx="0">
                  <c:v>信息公开页面</c:v>
                </c:pt>
                <c:pt idx="1">
                  <c:v>“本市动态”栏目</c:v>
                </c:pt>
                <c:pt idx="2">
                  <c:v>微信公众号</c:v>
                </c:pt>
              </c:strCache>
            </c:strRef>
          </c:cat>
          <c:val>
            <c:numRef>
              <c:f>Sheet1!$B$2:$B$4</c:f>
              <c:numCache>
                <c:formatCode>General</c:formatCode>
                <c:ptCount val="3"/>
                <c:pt idx="0">
                  <c:v>118</c:v>
                </c:pt>
                <c:pt idx="1">
                  <c:v>94</c:v>
                </c:pt>
                <c:pt idx="2">
                  <c:v>277</c:v>
                </c:pt>
              </c:numCache>
            </c:numRef>
          </c:val>
        </c:ser>
        <c:dLbls>
          <c:showLegendKey val="0"/>
          <c:showVal val="0"/>
          <c:showCatName val="0"/>
          <c:showSerName val="0"/>
          <c:showPercent val="0"/>
          <c:showBubbleSize val="0"/>
        </c:dLbls>
        <c:gapWidth val="219"/>
        <c:overlap val="-27"/>
        <c:axId val="387750562"/>
        <c:axId val="244993985"/>
      </c:barChart>
      <c:catAx>
        <c:axId val="387750562"/>
        <c:scaling>
          <c:orientation val="minMax"/>
        </c:scaling>
        <c:delete val="0"/>
        <c:axPos val="b"/>
        <c:majorTickMark val="none"/>
        <c:minorTickMark val="none"/>
        <c:tickLblPos val="nextTo"/>
        <c:spPr>
          <a:noFill/>
          <a:ln w="15875" cap="flat" cmpd="sng" algn="ctr">
            <a:solidFill>
              <a:schemeClr val="accent1"/>
            </a:solidFill>
            <a:round/>
          </a:ln>
          <a:effectLst/>
        </c:spPr>
        <c:txPr>
          <a:bodyPr rot="-60000000" spcFirstLastPara="0" vertOverflow="ellipsis" vert="horz" wrap="square" anchor="ctr" anchorCtr="1"/>
          <a:lstStyle/>
          <a:p>
            <a:pPr>
              <a:defRPr lang="zh-CN" sz="1200" b="1" i="0" u="none" strike="noStrike" kern="1200" baseline="0">
                <a:solidFill>
                  <a:schemeClr val="tx1">
                    <a:lumMod val="65000"/>
                    <a:lumOff val="35000"/>
                  </a:schemeClr>
                </a:solidFill>
                <a:latin typeface="+mn-lt"/>
                <a:ea typeface="+mn-ea"/>
                <a:cs typeface="+mn-cs"/>
              </a:defRPr>
            </a:pPr>
          </a:p>
        </c:txPr>
        <c:crossAx val="244993985"/>
        <c:crosses val="autoZero"/>
        <c:auto val="1"/>
        <c:lblAlgn val="ctr"/>
        <c:lblOffset val="100"/>
        <c:noMultiLvlLbl val="0"/>
      </c:catAx>
      <c:valAx>
        <c:axId val="2449939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75056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lumMod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2933</Words>
  <Characters>3064</Characters>
  <Lines>1</Lines>
  <Paragraphs>1</Paragraphs>
  <TotalTime>35</TotalTime>
  <ScaleCrop>false</ScaleCrop>
  <LinksUpToDate>false</LinksUpToDate>
  <CharactersWithSpaces>3067</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2023-02-15T00:27:00Z</dcterms:created>
  <dc:creator>Administrator</dc:creator>
  <cp:lastModifiedBy>nyf</cp:lastModifiedBy>
  <cp:lastPrinted>2025-01-10T00:50:00Z</cp:lastPrinted>
  <dcterms:modified xsi:type="dcterms:W3CDTF">2025-01-20T11:08:25Z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F2C30CFB3F444ABC9D9EBD4D036D6E6E</vt:lpwstr>
  </property>
</Properties>
</file>