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23402">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Tahoma" w:eastAsia="方正小标宋简体"/>
          <w:kern w:val="0"/>
          <w:sz w:val="44"/>
          <w:szCs w:val="44"/>
          <w:highlight w:val="none"/>
        </w:rPr>
      </w:pPr>
      <w:r>
        <w:rPr>
          <w:rFonts w:hint="eastAsia" w:ascii="方正小标宋简体" w:hAnsi="Tahoma" w:eastAsia="方正小标宋简体"/>
          <w:kern w:val="0"/>
          <w:sz w:val="44"/>
          <w:szCs w:val="44"/>
          <w:highlight w:val="none"/>
        </w:rPr>
        <w:t>滕州市财政局</w:t>
      </w:r>
    </w:p>
    <w:p w14:paraId="6263861A">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Tahoma" w:eastAsia="方正小标宋简体"/>
          <w:kern w:val="0"/>
          <w:sz w:val="44"/>
          <w:szCs w:val="44"/>
          <w:highlight w:val="none"/>
        </w:rPr>
      </w:pPr>
      <w:r>
        <w:rPr>
          <w:rFonts w:hint="eastAsia" w:ascii="方正小标宋简体" w:hAnsi="Tahoma" w:eastAsia="方正小标宋简体"/>
          <w:kern w:val="0"/>
          <w:sz w:val="44"/>
          <w:szCs w:val="44"/>
          <w:highlight w:val="none"/>
        </w:rPr>
        <w:t>202</w:t>
      </w:r>
      <w:r>
        <w:rPr>
          <w:rFonts w:hint="eastAsia" w:ascii="方正小标宋简体" w:hAnsi="Tahoma" w:eastAsia="方正小标宋简体"/>
          <w:kern w:val="0"/>
          <w:sz w:val="44"/>
          <w:szCs w:val="44"/>
          <w:highlight w:val="none"/>
          <w:lang w:val="en-US" w:eastAsia="zh-CN"/>
        </w:rPr>
        <w:t>4</w:t>
      </w:r>
      <w:r>
        <w:rPr>
          <w:rFonts w:hint="eastAsia" w:ascii="方正小标宋简体" w:hAnsi="Tahoma" w:eastAsia="方正小标宋简体"/>
          <w:kern w:val="0"/>
          <w:sz w:val="44"/>
          <w:szCs w:val="44"/>
          <w:highlight w:val="none"/>
        </w:rPr>
        <w:t>年度政府信息公开工作年度报告</w:t>
      </w:r>
    </w:p>
    <w:p w14:paraId="3080B5B6">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Tahoma" w:eastAsia="方正小标宋简体"/>
          <w:kern w:val="0"/>
          <w:sz w:val="44"/>
          <w:szCs w:val="44"/>
          <w:highlight w:val="none"/>
        </w:rPr>
      </w:pPr>
    </w:p>
    <w:p w14:paraId="227BDF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根据《中华人民共和国政府信息公开条例》规定和省政府办公厅、枣庄市政府办公室、滕州市政府办公室通知要求，现发布《</w:t>
      </w:r>
      <w:r>
        <w:rPr>
          <w:rFonts w:hint="eastAsia" w:ascii="仿宋_GB2312" w:hAnsi="宋体" w:eastAsia="仿宋_GB2312" w:cs="仿宋_GB2312"/>
          <w:i w:val="0"/>
          <w:iCs w:val="0"/>
          <w:caps w:val="0"/>
          <w:color w:val="000000"/>
          <w:spacing w:val="0"/>
          <w:sz w:val="32"/>
          <w:szCs w:val="32"/>
          <w:shd w:val="clear" w:fill="FFFFFF"/>
          <w:lang w:val="en-US" w:eastAsia="zh-CN"/>
        </w:rPr>
        <w:t>滕州市</w:t>
      </w:r>
      <w:r>
        <w:rPr>
          <w:rFonts w:ascii="仿宋_GB2312" w:hAnsi="宋体" w:eastAsia="仿宋_GB2312" w:cs="仿宋_GB2312"/>
          <w:i w:val="0"/>
          <w:iCs w:val="0"/>
          <w:caps w:val="0"/>
          <w:color w:val="000000"/>
          <w:spacing w:val="0"/>
          <w:sz w:val="32"/>
          <w:szCs w:val="32"/>
          <w:shd w:val="clear" w:fill="FFFFFF"/>
        </w:rPr>
        <w:t>财政局</w:t>
      </w:r>
      <w:r>
        <w:rPr>
          <w:rFonts w:hint="eastAsia" w:ascii="仿宋_GB2312" w:hAnsi="宋体" w:eastAsia="仿宋_GB2312" w:cs="仿宋_GB2312"/>
          <w:i w:val="0"/>
          <w:iCs w:val="0"/>
          <w:caps w:val="0"/>
          <w:color w:val="000000"/>
          <w:spacing w:val="0"/>
          <w:sz w:val="32"/>
          <w:szCs w:val="32"/>
          <w:shd w:val="clear" w:fill="FFFFFF"/>
        </w:rPr>
        <w:t>2024年度政府信息公开工作年度报告》。本年度报告中所列数据的统计期限自202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rPr>
        <w:t>年1月1日起至12月31日止。</w:t>
      </w:r>
    </w:p>
    <w:p w14:paraId="05293FA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260FC5B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4</w:t>
      </w:r>
      <w:r>
        <w:rPr>
          <w:rFonts w:ascii="仿宋_GB2312" w:hAnsi="宋体" w:eastAsia="仿宋_GB2312" w:cs="仿宋_GB2312"/>
          <w:i w:val="0"/>
          <w:iCs w:val="0"/>
          <w:caps w:val="0"/>
          <w:color w:val="000000"/>
          <w:spacing w:val="0"/>
          <w:sz w:val="32"/>
          <w:szCs w:val="32"/>
          <w:shd w:val="clear" w:fill="FFFFFF"/>
        </w:rPr>
        <w:t>年，</w:t>
      </w:r>
      <w:r>
        <w:rPr>
          <w:rFonts w:hint="eastAsia" w:ascii="仿宋_GB2312" w:hAnsi="宋体" w:eastAsia="仿宋_GB2312" w:cs="仿宋_GB2312"/>
          <w:i w:val="0"/>
          <w:iCs w:val="0"/>
          <w:caps w:val="0"/>
          <w:color w:val="000000"/>
          <w:spacing w:val="0"/>
          <w:sz w:val="32"/>
          <w:szCs w:val="32"/>
          <w:shd w:val="clear" w:fill="FFFFFF"/>
          <w:lang w:val="en-US" w:eastAsia="zh-CN"/>
        </w:rPr>
        <w:t>滕州</w:t>
      </w:r>
      <w:r>
        <w:rPr>
          <w:rFonts w:ascii="仿宋_GB2312" w:hAnsi="宋体" w:eastAsia="仿宋_GB2312" w:cs="仿宋_GB2312"/>
          <w:i w:val="0"/>
          <w:iCs w:val="0"/>
          <w:caps w:val="0"/>
          <w:color w:val="000000"/>
          <w:spacing w:val="0"/>
          <w:sz w:val="32"/>
          <w:szCs w:val="32"/>
          <w:shd w:val="clear" w:fill="FFFFFF"/>
        </w:rPr>
        <w:t>市</w:t>
      </w:r>
      <w:r>
        <w:rPr>
          <w:rFonts w:hint="eastAsia" w:ascii="仿宋_GB2312" w:hAnsi="宋体" w:eastAsia="仿宋_GB2312" w:cs="仿宋_GB2312"/>
          <w:i w:val="0"/>
          <w:iCs w:val="0"/>
          <w:caps w:val="0"/>
          <w:color w:val="000000"/>
          <w:spacing w:val="0"/>
          <w:sz w:val="32"/>
          <w:szCs w:val="32"/>
          <w:shd w:val="clear" w:fill="FFFFFF"/>
          <w:lang w:val="en-US" w:eastAsia="zh-CN"/>
        </w:rPr>
        <w:t>财政</w:t>
      </w:r>
      <w:r>
        <w:rPr>
          <w:rFonts w:ascii="仿宋_GB2312" w:hAnsi="宋体" w:eastAsia="仿宋_GB2312" w:cs="仿宋_GB2312"/>
          <w:i w:val="0"/>
          <w:iCs w:val="0"/>
          <w:caps w:val="0"/>
          <w:color w:val="000000"/>
          <w:spacing w:val="0"/>
          <w:sz w:val="32"/>
          <w:szCs w:val="32"/>
          <w:shd w:val="clear" w:fill="FFFFFF"/>
        </w:rPr>
        <w:t>局按照市委、市政府的统一部署，认真贯彻落实《中华人民共和国政府信息公开条例》以及省、枣庄市和滕州市政府关于政府信息公开工作的要求，积极推进财政领域信息的全面、及时、准确公开，促进财政工作的透明化与规范化，</w:t>
      </w:r>
      <w:r>
        <w:rPr>
          <w:rFonts w:hint="default" w:ascii="仿宋_GB2312" w:hAnsi="宋体" w:eastAsia="仿宋_GB2312" w:cs="仿宋_GB2312"/>
          <w:i w:val="0"/>
          <w:iCs w:val="0"/>
          <w:caps w:val="0"/>
          <w:color w:val="000000"/>
          <w:spacing w:val="0"/>
          <w:sz w:val="32"/>
          <w:szCs w:val="32"/>
          <w:shd w:val="clear" w:fill="FFFFFF"/>
        </w:rPr>
        <w:t>切实提高人民群众满意度和获得感。</w:t>
      </w:r>
    </w:p>
    <w:p w14:paraId="5990E08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主动公开</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。一是强化基本信息公开。</w:t>
      </w:r>
      <w:r>
        <w:rPr>
          <w:rFonts w:ascii="仿宋_GB2312" w:hAnsi="宋体" w:eastAsia="仿宋_GB2312" w:cs="仿宋_GB2312"/>
          <w:i w:val="0"/>
          <w:iCs w:val="0"/>
          <w:caps w:val="0"/>
          <w:color w:val="000000"/>
          <w:spacing w:val="0"/>
          <w:sz w:val="32"/>
          <w:szCs w:val="32"/>
          <w:shd w:val="clear" w:fill="FFFFFF"/>
        </w:rPr>
        <w:t>全年共主动公开政府信息3</w:t>
      </w:r>
      <w:r>
        <w:rPr>
          <w:rFonts w:hint="eastAsia" w:ascii="仿宋_GB2312" w:hAnsi="宋体" w:eastAsia="仿宋_GB2312" w:cs="仿宋_GB2312"/>
          <w:i w:val="0"/>
          <w:iCs w:val="0"/>
          <w:caps w:val="0"/>
          <w:color w:val="000000"/>
          <w:spacing w:val="0"/>
          <w:sz w:val="32"/>
          <w:szCs w:val="32"/>
          <w:shd w:val="clear" w:fill="FFFFFF"/>
          <w:lang w:val="en-US" w:eastAsia="zh-CN"/>
        </w:rPr>
        <w:t>72</w:t>
      </w:r>
      <w:r>
        <w:rPr>
          <w:rFonts w:ascii="仿宋_GB2312" w:hAnsi="宋体" w:eastAsia="仿宋_GB2312" w:cs="仿宋_GB2312"/>
          <w:i w:val="0"/>
          <w:iCs w:val="0"/>
          <w:caps w:val="0"/>
          <w:color w:val="000000"/>
          <w:spacing w:val="0"/>
          <w:sz w:val="32"/>
          <w:szCs w:val="32"/>
          <w:shd w:val="clear" w:fill="FFFFFF"/>
        </w:rPr>
        <w:t>条。其中，通过</w:t>
      </w:r>
      <w:r>
        <w:rPr>
          <w:rFonts w:hint="eastAsia" w:ascii="仿宋_GB2312" w:hAnsi="宋体" w:eastAsia="仿宋_GB2312" w:cs="仿宋_GB2312"/>
          <w:i w:val="0"/>
          <w:iCs w:val="0"/>
          <w:caps w:val="0"/>
          <w:color w:val="000000"/>
          <w:spacing w:val="0"/>
          <w:sz w:val="32"/>
          <w:szCs w:val="32"/>
          <w:shd w:val="clear" w:fill="FFFFFF"/>
          <w:lang w:val="en-US" w:eastAsia="zh-CN"/>
        </w:rPr>
        <w:t>滕州市人民政府官网（财政局）栏目</w:t>
      </w:r>
      <w:r>
        <w:rPr>
          <w:rFonts w:ascii="仿宋_GB2312" w:hAnsi="宋体" w:eastAsia="仿宋_GB2312" w:cs="仿宋_GB2312"/>
          <w:i w:val="0"/>
          <w:iCs w:val="0"/>
          <w:caps w:val="0"/>
          <w:color w:val="000000"/>
          <w:spacing w:val="0"/>
          <w:sz w:val="32"/>
          <w:szCs w:val="32"/>
          <w:shd w:val="clear" w:fill="FFFFFF"/>
        </w:rPr>
        <w:t>公开</w:t>
      </w:r>
      <w:r>
        <w:rPr>
          <w:rFonts w:hint="eastAsia" w:ascii="仿宋_GB2312" w:hAnsi="宋体" w:eastAsia="仿宋_GB2312" w:cs="仿宋_GB2312"/>
          <w:i w:val="0"/>
          <w:iCs w:val="0"/>
          <w:caps w:val="0"/>
          <w:color w:val="000000"/>
          <w:spacing w:val="0"/>
          <w:sz w:val="32"/>
          <w:szCs w:val="32"/>
          <w:shd w:val="clear" w:fill="FFFFFF"/>
          <w:lang w:val="en-US" w:eastAsia="zh-CN"/>
        </w:rPr>
        <w:t>110</w:t>
      </w:r>
      <w:r>
        <w:rPr>
          <w:rFonts w:ascii="仿宋_GB2312" w:hAnsi="宋体" w:eastAsia="仿宋_GB2312" w:cs="仿宋_GB2312"/>
          <w:i w:val="0"/>
          <w:iCs w:val="0"/>
          <w:caps w:val="0"/>
          <w:color w:val="000000"/>
          <w:spacing w:val="0"/>
          <w:sz w:val="32"/>
          <w:szCs w:val="32"/>
          <w:shd w:val="clear" w:fill="FFFFFF"/>
        </w:rPr>
        <w:t>条，通过</w:t>
      </w:r>
      <w:r>
        <w:rPr>
          <w:rFonts w:hint="eastAsia" w:ascii="仿宋_GB2312" w:hAnsi="宋体" w:eastAsia="仿宋_GB2312" w:cs="仿宋_GB2312"/>
          <w:i w:val="0"/>
          <w:iCs w:val="0"/>
          <w:caps w:val="0"/>
          <w:color w:val="000000"/>
          <w:spacing w:val="0"/>
          <w:sz w:val="32"/>
          <w:szCs w:val="32"/>
          <w:shd w:val="clear" w:fill="FFFFFF"/>
          <w:lang w:val="en-US" w:eastAsia="zh-CN"/>
        </w:rPr>
        <w:t>滕州市人民政府官网信息公开页面</w:t>
      </w:r>
      <w:r>
        <w:rPr>
          <w:rFonts w:ascii="仿宋_GB2312" w:hAnsi="宋体" w:eastAsia="仿宋_GB2312" w:cs="仿宋_GB2312"/>
          <w:i w:val="0"/>
          <w:iCs w:val="0"/>
          <w:caps w:val="0"/>
          <w:color w:val="000000"/>
          <w:spacing w:val="0"/>
          <w:sz w:val="32"/>
          <w:szCs w:val="32"/>
          <w:shd w:val="clear" w:fill="FFFFFF"/>
        </w:rPr>
        <w:t>公开</w:t>
      </w:r>
      <w:r>
        <w:rPr>
          <w:rFonts w:hint="eastAsia" w:ascii="仿宋_GB2312" w:hAnsi="宋体" w:eastAsia="仿宋_GB2312" w:cs="仿宋_GB2312"/>
          <w:i w:val="0"/>
          <w:iCs w:val="0"/>
          <w:caps w:val="0"/>
          <w:color w:val="000000"/>
          <w:spacing w:val="0"/>
          <w:sz w:val="32"/>
          <w:szCs w:val="32"/>
          <w:shd w:val="clear" w:fill="FFFFFF"/>
          <w:lang w:val="en-US" w:eastAsia="zh-CN"/>
        </w:rPr>
        <w:t>81</w:t>
      </w:r>
      <w:r>
        <w:rPr>
          <w:rFonts w:ascii="仿宋_GB2312" w:hAnsi="宋体" w:eastAsia="仿宋_GB2312" w:cs="仿宋_GB2312"/>
          <w:i w:val="0"/>
          <w:iCs w:val="0"/>
          <w:caps w:val="0"/>
          <w:color w:val="000000"/>
          <w:spacing w:val="0"/>
          <w:sz w:val="32"/>
          <w:szCs w:val="32"/>
          <w:shd w:val="clear" w:fill="FFFFFF"/>
        </w:rPr>
        <w:t>条，通过微信公众号公开</w:t>
      </w:r>
      <w:r>
        <w:rPr>
          <w:rFonts w:hint="eastAsia" w:ascii="仿宋_GB2312" w:hAnsi="宋体" w:eastAsia="仿宋_GB2312" w:cs="仿宋_GB2312"/>
          <w:i w:val="0"/>
          <w:iCs w:val="0"/>
          <w:caps w:val="0"/>
          <w:color w:val="000000"/>
          <w:spacing w:val="0"/>
          <w:sz w:val="32"/>
          <w:szCs w:val="32"/>
          <w:shd w:val="clear" w:fill="FFFFFF"/>
          <w:lang w:val="en-US" w:eastAsia="zh-CN"/>
        </w:rPr>
        <w:t>181</w:t>
      </w:r>
      <w:r>
        <w:rPr>
          <w:rFonts w:ascii="仿宋_GB2312" w:hAnsi="宋体" w:eastAsia="仿宋_GB2312" w:cs="仿宋_GB2312"/>
          <w:i w:val="0"/>
          <w:iCs w:val="0"/>
          <w:caps w:val="0"/>
          <w:color w:val="000000"/>
          <w:spacing w:val="0"/>
          <w:sz w:val="32"/>
          <w:szCs w:val="32"/>
          <w:shd w:val="clear" w:fill="FFFFFF"/>
        </w:rPr>
        <w:t>条。</w:t>
      </w:r>
      <w:r>
        <w:rPr>
          <w:rFonts w:hint="eastAsia" w:ascii="仿宋_GB2312" w:hAnsi="仿宋_GB2312" w:eastAsia="仿宋_GB2312" w:cs="仿宋_GB2312"/>
          <w:sz w:val="32"/>
          <w:szCs w:val="32"/>
        </w:rPr>
        <w:t>主动公开基本信息，包括通知公告、政策法规及</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文件、规划计划等。二是突出重点领域信息公开。</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年，主动公开财政信息包括：财政预决算、财政收支信息、重点项目绩效评价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行政事业性收费情况</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。维护滕州市预决算公开平台（</w:t>
      </w:r>
      <w:r>
        <w:rPr>
          <w:rFonts w:ascii="仿宋_GB2312" w:hAnsi="仿宋_GB2312" w:eastAsia="仿宋_GB2312" w:cs="仿宋_GB2312"/>
          <w:sz w:val="32"/>
          <w:szCs w:val="32"/>
        </w:rPr>
        <w:t>http://tengzhou.czyjsgk.com:5000/</w:t>
      </w:r>
      <w:r>
        <w:rPr>
          <w:rFonts w:hint="eastAsia" w:ascii="仿宋_GB2312" w:hAnsi="仿宋_GB2312" w:eastAsia="仿宋_GB2312" w:cs="仿宋_GB2312"/>
          <w:sz w:val="32"/>
          <w:szCs w:val="32"/>
        </w:rPr>
        <w:t>），财政预决算及三公经费类信息统一在此平台发布。</w:t>
      </w:r>
    </w:p>
    <w:p w14:paraId="7180C7C9">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14:paraId="002E9A86">
      <w:pPr>
        <w:keepNext w:val="0"/>
        <w:keepLines w:val="0"/>
        <w:pageBreakBefore w:val="0"/>
        <w:kinsoku/>
        <w:wordWrap/>
        <w:overflowPunct/>
        <w:topLinePunct w:val="0"/>
        <w:autoSpaceDE/>
        <w:autoSpaceDN/>
        <w:bidi w:val="0"/>
        <w:adjustRightInd/>
        <w:snapToGrid/>
        <w:spacing w:line="360" w:lineRule="auto"/>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938905" cy="2409825"/>
            <wp:effectExtent l="0" t="0" r="4445" b="9525"/>
            <wp:docPr id="2" name="图片 2" descr="直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直达"/>
                    <pic:cNvPicPr>
                      <a:picLocks noChangeAspect="1"/>
                    </pic:cNvPicPr>
                  </pic:nvPicPr>
                  <pic:blipFill>
                    <a:blip r:embed="rId5"/>
                    <a:stretch>
                      <a:fillRect/>
                    </a:stretch>
                  </pic:blipFill>
                  <pic:spPr>
                    <a:xfrm>
                      <a:off x="0" y="0"/>
                      <a:ext cx="3938905" cy="2409825"/>
                    </a:xfrm>
                    <a:prstGeom prst="rect">
                      <a:avLst/>
                    </a:prstGeom>
                  </pic:spPr>
                </pic:pic>
              </a:graphicData>
            </a:graphic>
          </wp:inline>
        </w:drawing>
      </w:r>
    </w:p>
    <w:p w14:paraId="72936078">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firstLine="640" w:firstLineChars="200"/>
        <w:textAlignment w:val="auto"/>
        <w:rPr>
          <w:rFonts w:hint="default" w:ascii="仿宋_GB2312" w:eastAsia="仿宋_GB2312"/>
          <w:color w:val="000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依申请公开。</w:t>
      </w:r>
      <w:r>
        <w:rPr>
          <w:rFonts w:hint="eastAsia" w:ascii="仿宋_GB2312" w:eastAsia="仿宋_GB2312"/>
          <w:color w:val="000000"/>
          <w:sz w:val="32"/>
          <w:szCs w:val="32"/>
          <w:lang w:val="en-US" w:eastAsia="zh-CN"/>
        </w:rPr>
        <w:t>2024年，新收3件</w:t>
      </w:r>
      <w:r>
        <w:rPr>
          <w:rFonts w:hint="eastAsia" w:ascii="仿宋_GB2312" w:hAnsi="仿宋_GB2312" w:eastAsia="仿宋_GB2312" w:cs="仿宋_GB2312"/>
          <w:sz w:val="32"/>
          <w:szCs w:val="32"/>
        </w:rPr>
        <w:t>政府信息公开申请，上年结转</w:t>
      </w:r>
      <w:r>
        <w:rPr>
          <w:rFonts w:hint="eastAsia" w:ascii="仿宋_GB2312" w:eastAsia="仿宋_GB2312"/>
          <w:color w:val="000000"/>
          <w:sz w:val="32"/>
          <w:szCs w:val="32"/>
          <w:lang w:val="en-US" w:eastAsia="zh-CN"/>
        </w:rPr>
        <w:t>0件，合计3件</w:t>
      </w:r>
      <w:r>
        <w:rPr>
          <w:rFonts w:hint="eastAsia" w:ascii="仿宋_GB2312" w:hAnsi="仿宋_GB2312" w:eastAsia="仿宋_GB2312" w:cs="仿宋_GB2312"/>
          <w:sz w:val="32"/>
          <w:szCs w:val="32"/>
        </w:rPr>
        <w:t>。</w:t>
      </w:r>
      <w:r>
        <w:rPr>
          <w:rFonts w:hint="eastAsia" w:ascii="仿宋_GB2312" w:eastAsia="仿宋_GB2312"/>
          <w:color w:val="000000"/>
          <w:sz w:val="32"/>
          <w:szCs w:val="32"/>
        </w:rPr>
        <w:t>自然人申</w:t>
      </w:r>
      <w:r>
        <w:rPr>
          <w:rFonts w:hint="eastAsia" w:ascii="仿宋_GB2312" w:eastAsia="仿宋_GB2312"/>
          <w:color w:val="000000"/>
          <w:sz w:val="32"/>
          <w:szCs w:val="32"/>
          <w:lang w:val="en-US" w:eastAsia="zh-CN"/>
        </w:rPr>
        <w:t>请3件，无法提供3件。</w:t>
      </w:r>
      <w:r>
        <w:rPr>
          <w:rFonts w:hint="eastAsia" w:ascii="仿宋_GB2312" w:eastAsia="仿宋_GB2312"/>
          <w:sz w:val="32"/>
          <w:szCs w:val="32"/>
        </w:rPr>
        <w:t>答复申请时，</w:t>
      </w:r>
      <w:r>
        <w:rPr>
          <w:rFonts w:ascii="仿宋_GB2312" w:eastAsia="仿宋_GB2312"/>
          <w:sz w:val="32"/>
          <w:szCs w:val="32"/>
        </w:rPr>
        <w:t>依法有据、严谨规范、慎重稳妥</w:t>
      </w:r>
      <w:r>
        <w:rPr>
          <w:rFonts w:hint="eastAsia"/>
          <w:sz w:val="32"/>
          <w:szCs w:val="32"/>
        </w:rPr>
        <w:t>。</w:t>
      </w:r>
      <w:r>
        <w:rPr>
          <w:rFonts w:hint="eastAsia" w:ascii="仿宋_GB2312" w:eastAsia="仿宋_GB2312"/>
          <w:color w:val="000000"/>
          <w:sz w:val="32"/>
          <w:szCs w:val="32"/>
        </w:rPr>
        <w:t>被行政复议</w:t>
      </w:r>
      <w:r>
        <w:rPr>
          <w:rFonts w:hint="eastAsia" w:ascii="仿宋_GB2312" w:eastAsia="仿宋_GB2312"/>
          <w:color w:val="000000"/>
          <w:sz w:val="32"/>
          <w:szCs w:val="32"/>
          <w:lang w:val="en-US" w:eastAsia="zh-CN"/>
        </w:rPr>
        <w:t>0件，</w:t>
      </w:r>
      <w:r>
        <w:rPr>
          <w:rFonts w:hint="eastAsia" w:ascii="仿宋_GB2312" w:eastAsia="仿宋_GB2312"/>
          <w:color w:val="000000"/>
          <w:sz w:val="32"/>
          <w:szCs w:val="32"/>
          <w:lang w:eastAsia="zh-CN"/>
        </w:rPr>
        <w:t>行政诉讼</w:t>
      </w:r>
      <w:r>
        <w:rPr>
          <w:rFonts w:hint="eastAsia" w:ascii="仿宋_GB2312" w:eastAsia="仿宋_GB2312"/>
          <w:color w:val="000000"/>
          <w:sz w:val="32"/>
          <w:szCs w:val="32"/>
          <w:lang w:val="en-US" w:eastAsia="zh-CN"/>
        </w:rPr>
        <w:t>0件。与往年相比增减情况，详见图表。</w:t>
      </w:r>
    </w:p>
    <w:p w14:paraId="54C633DA">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jc w:val="center"/>
        <w:textAlignment w:val="auto"/>
        <w:rPr>
          <w:rFonts w:hint="default" w:ascii="仿宋_GB2312" w:eastAsia="仿宋_GB2312"/>
          <w:color w:val="000000"/>
          <w:sz w:val="32"/>
          <w:szCs w:val="32"/>
          <w:lang w:val="en-US" w:eastAsia="zh-CN"/>
        </w:rPr>
      </w:pPr>
      <w:r>
        <w:rPr>
          <w:rFonts w:hint="default" w:ascii="仿宋_GB2312" w:eastAsia="仿宋_GB2312"/>
          <w:color w:val="000000"/>
          <w:sz w:val="32"/>
          <w:szCs w:val="32"/>
          <w:lang w:val="en-US" w:eastAsia="zh-CN"/>
        </w:rPr>
        <w:drawing>
          <wp:inline distT="0" distB="0" distL="114300" distR="114300">
            <wp:extent cx="3559810" cy="1697355"/>
            <wp:effectExtent l="4445" t="4445" r="17145" b="12700"/>
            <wp:docPr id="6" name="图表 6" descr="7b0a202020202263686172745265734964223a202231393934393936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DC238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严格落实公文公开属性源头认定机制，明确标识主动公开、依申请公开、不予公开属性。严格政府信息公开审核和发布流程，强化保密审查和信息发布审核机制，做好信息公开保密审查工作。另明确信息公开时限要求，确保信息上传及时、避免出现空白栏目，扎实做好信息上传维护工作。</w:t>
      </w:r>
    </w:p>
    <w:p w14:paraId="57A2DC3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4.政府信息公开平台建设。加强政府网站</w:t>
      </w:r>
      <w:r>
        <w:rPr>
          <w:rFonts w:hint="eastAsia" w:ascii="仿宋_GB2312" w:hAnsi="仿宋_GB2312" w:eastAsia="仿宋_GB2312" w:cs="仿宋_GB2312"/>
          <w:sz w:val="32"/>
          <w:szCs w:val="32"/>
          <w:lang w:val="en-US" w:eastAsia="zh-CN"/>
        </w:rPr>
        <w:t>子栏目</w:t>
      </w:r>
      <w:r>
        <w:rPr>
          <w:rFonts w:hint="eastAsia" w:ascii="仿宋_GB2312" w:eastAsia="仿宋_GB2312"/>
          <w:sz w:val="32"/>
          <w:szCs w:val="32"/>
        </w:rPr>
        <w:t>、政府信息公开</w:t>
      </w:r>
      <w:r>
        <w:rPr>
          <w:rFonts w:hint="eastAsia" w:ascii="仿宋_GB2312" w:eastAsia="仿宋_GB2312"/>
          <w:sz w:val="32"/>
          <w:szCs w:val="32"/>
          <w:lang w:val="en-US" w:eastAsia="zh-CN"/>
        </w:rPr>
        <w:t>页面</w:t>
      </w:r>
      <w:bookmarkStart w:id="0" w:name="_GoBack"/>
      <w:bookmarkEnd w:id="0"/>
      <w:r>
        <w:rPr>
          <w:rFonts w:hint="eastAsia" w:ascii="仿宋_GB2312" w:eastAsia="仿宋_GB2312"/>
          <w:sz w:val="32"/>
          <w:szCs w:val="32"/>
        </w:rPr>
        <w:t>、政务新媒体</w:t>
      </w:r>
      <w:r>
        <w:rPr>
          <w:rFonts w:hint="eastAsia" w:ascii="仿宋_GB2312" w:hAnsi="仿宋_GB2312" w:eastAsia="仿宋_GB2312" w:cs="仿宋_GB2312"/>
          <w:sz w:val="32"/>
          <w:szCs w:val="32"/>
        </w:rPr>
        <w:t>的日常管理和栏目维护，不断完善政府信息公开网的公开内容。</w:t>
      </w:r>
    </w:p>
    <w:p w14:paraId="6EED0C4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5.监督保障。加强对政务信息公开工作的组织领导，并下设办公室。结合工作安排，开展政务公开培训。</w:t>
      </w:r>
    </w:p>
    <w:p w14:paraId="54FF7C96">
      <w:pPr>
        <w:numPr>
          <w:ilvl w:val="0"/>
          <w:numId w:val="0"/>
        </w:numPr>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年，滕州市财政局未发生因信息公开审查不当或保密审查机构未履行保密审查职责而引起的失泄密情况。</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年度未进行社会评议，未发生责任追究情况。</w:t>
      </w:r>
    </w:p>
    <w:p w14:paraId="4A7318E6">
      <w:pPr>
        <w:numPr>
          <w:ilvl w:val="0"/>
          <w:numId w:val="0"/>
        </w:num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p w14:paraId="5880B33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tbl>
      <w:tblPr>
        <w:tblStyle w:val="9"/>
        <w:tblpPr w:leftFromText="180" w:rightFromText="180" w:vertAnchor="page" w:horzAnchor="page" w:tblpX="1779" w:tblpY="5678"/>
        <w:tblOverlap w:val="never"/>
        <w:tblW w:w="8824" w:type="dxa"/>
        <w:tblInd w:w="0" w:type="dxa"/>
        <w:tblLayout w:type="fixed"/>
        <w:tblCellMar>
          <w:top w:w="0" w:type="dxa"/>
          <w:left w:w="108" w:type="dxa"/>
          <w:bottom w:w="0" w:type="dxa"/>
          <w:right w:w="108" w:type="dxa"/>
        </w:tblCellMar>
      </w:tblPr>
      <w:tblGrid>
        <w:gridCol w:w="2206"/>
        <w:gridCol w:w="2206"/>
        <w:gridCol w:w="2206"/>
        <w:gridCol w:w="2206"/>
      </w:tblGrid>
      <w:tr w14:paraId="4C68F0B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68652EF">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60A24F9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D7E01C7">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06CF2C6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5E299D0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3C79305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0E3A115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99F7FF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10F0E423">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85F4E4C">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0AA273D1">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43B2D4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663C19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1CF1D901">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4B0247C6">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78DC46D6">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1EF687E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0509BC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080BD5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88C768C">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6874A6E6">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A55388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D862AAD">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4146273E">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auto"/>
                <w:kern w:val="0"/>
                <w:szCs w:val="21"/>
                <w:highlight w:val="none"/>
                <w:lang w:val="en-US" w:eastAsia="zh-CN"/>
              </w:rPr>
              <w:t>0</w:t>
            </w:r>
          </w:p>
        </w:tc>
      </w:tr>
      <w:tr w14:paraId="112D945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5767BAC">
            <w:pPr>
              <w:keepNext w:val="0"/>
              <w:keepLines w:val="0"/>
              <w:pageBreakBefore w:val="0"/>
              <w:widowControl/>
              <w:kinsoku/>
              <w:wordWrap/>
              <w:overflowPunct/>
              <w:topLinePunct w:val="0"/>
              <w:autoSpaceDE/>
              <w:autoSpaceDN/>
              <w:bidi w:val="0"/>
              <w:adjustRightInd/>
              <w:snapToGrid/>
              <w:spacing w:line="560" w:lineRule="exact"/>
              <w:ind w:firstLine="420" w:firstLineChars="200"/>
              <w:jc w:val="left"/>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5230669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B1A569A">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726945FA">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812E83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175247E">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6E8EA10D">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2F5855D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46C2C9B">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77E7D416">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A530E3E">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C524733">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4F660E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D55AF96">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443975F1">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178D696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C60D376">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0A8282BF">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45291D7C">
      <w:pPr>
        <w:numPr>
          <w:ilvl w:val="0"/>
          <w:numId w:val="0"/>
        </w:numPr>
        <w:rPr>
          <w:rFonts w:hint="eastAsia" w:ascii="黑体" w:hAnsi="黑体" w:eastAsia="黑体" w:cs="黑体"/>
          <w:sz w:val="32"/>
          <w:szCs w:val="32"/>
        </w:rPr>
      </w:pPr>
    </w:p>
    <w:p w14:paraId="6726DFF6">
      <w:pPr>
        <w:rPr>
          <w:rFonts w:hint="eastAsia"/>
        </w:rPr>
      </w:pPr>
    </w:p>
    <w:p w14:paraId="197560F9">
      <w:pPr>
        <w:rPr>
          <w:rFonts w:hint="eastAsia"/>
        </w:rPr>
      </w:pPr>
    </w:p>
    <w:p w14:paraId="0FA5420E">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9"/>
        <w:tblW w:w="106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1650"/>
        <w:gridCol w:w="3030"/>
        <w:gridCol w:w="735"/>
        <w:gridCol w:w="660"/>
        <w:gridCol w:w="735"/>
        <w:gridCol w:w="810"/>
        <w:gridCol w:w="750"/>
        <w:gridCol w:w="660"/>
        <w:gridCol w:w="575"/>
      </w:tblGrid>
      <w:tr w14:paraId="01160B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97" w:type="dxa"/>
            <w:gridSpan w:val="3"/>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A37F48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（本列数据的勾稽关系为：第一项加第二项之和，</w:t>
            </w:r>
          </w:p>
          <w:p w14:paraId="017ABB3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等于第三项加第四项之和）</w:t>
            </w:r>
          </w:p>
        </w:tc>
        <w:tc>
          <w:tcPr>
            <w:tcW w:w="492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0D4A907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申请人情况</w:t>
            </w:r>
          </w:p>
        </w:tc>
      </w:tr>
      <w:tr w14:paraId="3D5A14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69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3A94B5E">
            <w:pPr>
              <w:rPr>
                <w:rFonts w:hint="eastAsia" w:ascii="仿宋_GB2312" w:hAnsi="仿宋_GB2312" w:eastAsia="仿宋_GB2312" w:cs="仿宋_GB2312"/>
                <w:sz w:val="24"/>
                <w:szCs w:val="24"/>
              </w:rPr>
            </w:pPr>
          </w:p>
        </w:tc>
        <w:tc>
          <w:tcPr>
            <w:tcW w:w="73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B206A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自然人</w:t>
            </w:r>
          </w:p>
        </w:tc>
        <w:tc>
          <w:tcPr>
            <w:tcW w:w="3615"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4AE361A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法人或其他组织</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4E3DB3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14:paraId="62EFDD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7" w:hRule="atLeast"/>
          <w:jc w:val="center"/>
        </w:trPr>
        <w:tc>
          <w:tcPr>
            <w:tcW w:w="5697" w:type="dxa"/>
            <w:gridSpan w:val="3"/>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2FCFF03">
            <w:pPr>
              <w:rPr>
                <w:rFonts w:hint="eastAsia" w:ascii="仿宋_GB2312" w:hAnsi="仿宋_GB2312" w:eastAsia="仿宋_GB2312" w:cs="仿宋_GB2312"/>
                <w:sz w:val="24"/>
                <w:szCs w:val="24"/>
              </w:rPr>
            </w:pPr>
          </w:p>
        </w:tc>
        <w:tc>
          <w:tcPr>
            <w:tcW w:w="7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1C0F3AB">
            <w:pPr>
              <w:jc w:val="center"/>
              <w:rPr>
                <w:rFonts w:hint="eastAsia" w:ascii="仿宋_GB2312" w:hAnsi="仿宋_GB2312" w:eastAsia="仿宋_GB2312" w:cs="仿宋_GB2312"/>
                <w:sz w:val="24"/>
                <w:szCs w:val="24"/>
              </w:rPr>
            </w:pP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798FA39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商业</w:t>
            </w:r>
          </w:p>
          <w:p w14:paraId="439BAB4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CDECEA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科研</w:t>
            </w:r>
          </w:p>
          <w:p w14:paraId="1171EF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D4B71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社会公益组织</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0F333CF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法律服务机构</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7C5B75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E454F24">
            <w:pPr>
              <w:jc w:val="center"/>
              <w:rPr>
                <w:rFonts w:hint="eastAsia" w:ascii="仿宋_GB2312" w:hAnsi="仿宋_GB2312" w:eastAsia="仿宋_GB2312" w:cs="仿宋_GB2312"/>
                <w:sz w:val="24"/>
                <w:szCs w:val="24"/>
              </w:rPr>
            </w:pPr>
          </w:p>
        </w:tc>
      </w:tr>
      <w:tr w14:paraId="67F95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7"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32E6170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一、本年新收政府信息公开申请数量</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318A08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322B04E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F51BFA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3DE55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37B15E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D4D061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0E39741C">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r>
      <w:tr w14:paraId="4424B4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215EB84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二、上年结转政府信息公开申请数量</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60EE9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02A13AD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B9DB28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960AA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74969BD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AE322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3D528E9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7B8636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1017"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E1B1F5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三、本年度办理结果</w:t>
            </w: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21440C5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（一）予以公开</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9BB9464">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A51A9B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1B37F4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4183D5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637C4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E225BE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2F475E4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14:paraId="5D7C52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7285EB">
            <w:pPr>
              <w:rPr>
                <w:rFonts w:hint="eastAsia" w:ascii="仿宋_GB2312" w:hAnsi="仿宋_GB2312" w:eastAsia="仿宋_GB2312" w:cs="仿宋_GB2312"/>
                <w:sz w:val="24"/>
                <w:szCs w:val="24"/>
              </w:rPr>
            </w:pP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09E3021">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（二）部分公开（区分处理的，只计这一情形，不计其他情形）</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00D1A5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422659B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033219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2388A6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40EC98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BC70E4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38191C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3462D2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9"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0C01B50">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F647C5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（三）不予公开</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6795CEC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1.属于国家秘密</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A00F3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A267D6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64FE65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7B515A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64EE5A1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C036E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7E63AF6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70E5A4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A2F0DDC">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5555B86">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3F20197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2.其他法律行政法规禁止公开</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BDB4E7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3403AD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8F752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A92FB8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D7F0CA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340F0F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4F3DAB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6E7753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ADEFC55">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B2534B4">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2BF60A5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3.危及“三安全一稳定”</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5366AD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768249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4FC955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740B62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5384102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6C1E5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5B7142E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256806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6DD9FCA">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50E7B4E">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0B7F82B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4.保护第三方合法权益</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098B76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6AA26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DD070E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355A27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6EF291F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5ABA56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70C52F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63ACCA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003C0BB">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32992C">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27177FCF">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5.属于三类内部事务信息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5B8BA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701B95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9F9CE5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4A39C5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595926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7A3540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7CA31D4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0A5CF6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41DBC0">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FF84257">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2CDB232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6.属于四类过程性信息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777BE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4F4751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F03EF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63BC914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450B9F9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5515C7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4B25AB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4F26AB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BDCDFD1">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3E689AF">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514BA0D3">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7.属于行政执法案卷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D7BB1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44B0527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BDA347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1F45C8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4B1D64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DD8A8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42F528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4E0F56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A881373">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7F6F079">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3A6BB96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8.属于行政查询事项</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AC9E28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07DDC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F40CA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5A29A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33C4D6C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CBAF8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24ABBD3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67C5FF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8F0351D">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766ADC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（四）无法提供</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36C9D06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1.本机关不掌握相关政府信息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FB1D5A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12D2E1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72F8A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E17040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31AA2E6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03738EE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5EE6B388">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r>
      <w:tr w14:paraId="076680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4036855">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C35096">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4FABB58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2.没有现成信息需要另行制作</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2426D3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BB8FCF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C4018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3EF89D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7FBFAE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4A5CE52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2F89EDE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28C68C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0FF09EE">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41BAB03">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5E79E4B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3.补正后申请内容仍不明确</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53096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02D1F3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53F0503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5FEAD9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77BBAF8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26F3B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62EC55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3FF641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73BACC6">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A93B02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（五）不予处理</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59697C4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1.信访举报投诉类申请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53DB6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40E8CE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0C7364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6D38794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D57939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6C9497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54E948E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1371F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2C43241">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9552699">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3C036A0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2.重复申请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41E409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A36AC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380D1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259C943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ACF0A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AE3B13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4615B5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13406F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1278EC9">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620075D">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511D027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3.要求提供公开出版物</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4B0B2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23201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27BCFB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48EC9EC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E4E40E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B55A71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4053D3E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548EC6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9E99CA3">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C0F23E9">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1126B9E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4.无正当理由大量反复申请</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239A0A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5C84113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819A4A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2C36020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4E64862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CE5B61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2BCCDB7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0E45DD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53D94D0">
            <w:pPr>
              <w:rPr>
                <w:rFonts w:hint="eastAsia" w:ascii="仿宋_GB2312" w:hAnsi="仿宋_GB2312" w:eastAsia="仿宋_GB2312" w:cs="仿宋_GB2312"/>
                <w:sz w:val="24"/>
                <w:szCs w:val="24"/>
              </w:rPr>
            </w:pPr>
          </w:p>
        </w:tc>
        <w:tc>
          <w:tcPr>
            <w:tcW w:w="16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56F4A64">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0FC8B86B">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5.要求行政机关确认或重新出具已获取信息</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13DD9C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290B13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0381DD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1094EFB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7FC6C01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D52188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5EE329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5D23C2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35EAA0A">
            <w:pPr>
              <w:rPr>
                <w:rFonts w:hint="eastAsia" w:ascii="仿宋_GB2312" w:hAnsi="仿宋_GB2312" w:eastAsia="仿宋_GB2312" w:cs="仿宋_GB2312"/>
                <w:sz w:val="24"/>
                <w:szCs w:val="24"/>
              </w:rPr>
            </w:pPr>
          </w:p>
        </w:tc>
        <w:tc>
          <w:tcPr>
            <w:tcW w:w="1650" w:type="dxa"/>
            <w:vMerge w:val="restart"/>
            <w:tcBorders>
              <w:top w:val="single" w:color="auto" w:sz="8" w:space="0"/>
              <w:left w:val="single" w:color="auto" w:sz="8" w:space="0"/>
              <w:right w:val="single" w:color="auto" w:sz="8" w:space="0"/>
            </w:tcBorders>
            <w:shd w:val="clear" w:color="auto" w:fill="auto"/>
            <w:vAlign w:val="center"/>
          </w:tcPr>
          <w:p w14:paraId="27B1EE7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（六）其他处理</w:t>
            </w: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6B8317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1.申请人无正当理由逾期不补正、行政机关不再处理其政府信息公开申请</w:t>
            </w:r>
          </w:p>
        </w:tc>
        <w:tc>
          <w:tcPr>
            <w:tcW w:w="735" w:type="dxa"/>
            <w:vMerge w:val="restart"/>
            <w:tcBorders>
              <w:top w:val="single" w:color="auto" w:sz="8" w:space="0"/>
              <w:left w:val="single" w:color="auto" w:sz="8" w:space="0"/>
              <w:right w:val="single" w:color="auto" w:sz="8" w:space="0"/>
            </w:tcBorders>
            <w:shd w:val="clear" w:color="auto" w:fill="auto"/>
            <w:vAlign w:val="center"/>
          </w:tcPr>
          <w:p w14:paraId="16F0F8A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vMerge w:val="restart"/>
            <w:tcBorders>
              <w:top w:val="single" w:color="auto" w:sz="8" w:space="0"/>
              <w:left w:val="single" w:color="auto" w:sz="8" w:space="0"/>
              <w:right w:val="single" w:color="auto" w:sz="8" w:space="0"/>
            </w:tcBorders>
            <w:shd w:val="clear" w:color="auto" w:fill="auto"/>
            <w:vAlign w:val="center"/>
          </w:tcPr>
          <w:p w14:paraId="7074A17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vMerge w:val="restart"/>
            <w:tcBorders>
              <w:top w:val="single" w:color="auto" w:sz="8" w:space="0"/>
              <w:left w:val="single" w:color="auto" w:sz="8" w:space="0"/>
              <w:right w:val="single" w:color="auto" w:sz="8" w:space="0"/>
            </w:tcBorders>
            <w:shd w:val="clear" w:color="auto" w:fill="auto"/>
            <w:vAlign w:val="center"/>
          </w:tcPr>
          <w:p w14:paraId="40F589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vMerge w:val="restart"/>
            <w:tcBorders>
              <w:top w:val="single" w:color="auto" w:sz="8" w:space="0"/>
              <w:left w:val="single" w:color="auto" w:sz="8" w:space="0"/>
              <w:right w:val="single" w:color="auto" w:sz="8" w:space="0"/>
            </w:tcBorders>
            <w:shd w:val="clear" w:color="auto" w:fill="auto"/>
            <w:vAlign w:val="center"/>
          </w:tcPr>
          <w:p w14:paraId="675A2B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vMerge w:val="restart"/>
            <w:tcBorders>
              <w:top w:val="single" w:color="auto" w:sz="8" w:space="0"/>
              <w:left w:val="single" w:color="auto" w:sz="8" w:space="0"/>
              <w:right w:val="single" w:color="auto" w:sz="8" w:space="0"/>
            </w:tcBorders>
            <w:shd w:val="clear" w:color="auto" w:fill="auto"/>
            <w:vAlign w:val="center"/>
          </w:tcPr>
          <w:p w14:paraId="3A3781C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vMerge w:val="restart"/>
            <w:tcBorders>
              <w:top w:val="single" w:color="auto" w:sz="8" w:space="0"/>
              <w:left w:val="single" w:color="auto" w:sz="8" w:space="0"/>
              <w:right w:val="single" w:color="auto" w:sz="8" w:space="0"/>
            </w:tcBorders>
            <w:shd w:val="clear" w:color="auto" w:fill="auto"/>
            <w:vAlign w:val="center"/>
          </w:tcPr>
          <w:p w14:paraId="5A2508C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vMerge w:val="restart"/>
            <w:tcBorders>
              <w:top w:val="single" w:color="auto" w:sz="8" w:space="0"/>
              <w:left w:val="single" w:color="auto" w:sz="8" w:space="0"/>
              <w:right w:val="single" w:color="auto" w:sz="8" w:space="0"/>
            </w:tcBorders>
            <w:shd w:val="clear" w:color="auto" w:fill="auto"/>
            <w:vAlign w:val="center"/>
          </w:tcPr>
          <w:p w14:paraId="4156373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14:paraId="35BD6D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255826C">
            <w:pPr>
              <w:rPr>
                <w:rFonts w:hint="eastAsia" w:ascii="仿宋_GB2312" w:hAnsi="仿宋_GB2312" w:eastAsia="仿宋_GB2312" w:cs="仿宋_GB2312"/>
                <w:sz w:val="24"/>
                <w:szCs w:val="24"/>
              </w:rPr>
            </w:pPr>
          </w:p>
        </w:tc>
        <w:tc>
          <w:tcPr>
            <w:tcW w:w="1650" w:type="dxa"/>
            <w:vMerge w:val="continue"/>
            <w:tcBorders>
              <w:left w:val="single" w:color="auto" w:sz="8" w:space="0"/>
              <w:right w:val="single" w:color="auto" w:sz="8" w:space="0"/>
            </w:tcBorders>
            <w:shd w:val="clear" w:color="auto" w:fill="auto"/>
            <w:vAlign w:val="center"/>
          </w:tcPr>
          <w:p w14:paraId="19F9C76A">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43E45190">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2.申请人逾期未按收费通知要求缴纳费用、行政机关不再处理其政府信息公开申请</w:t>
            </w:r>
          </w:p>
        </w:tc>
        <w:tc>
          <w:tcPr>
            <w:tcW w:w="735" w:type="dxa"/>
            <w:vMerge w:val="continue"/>
            <w:tcBorders>
              <w:left w:val="single" w:color="auto" w:sz="8" w:space="0"/>
              <w:right w:val="single" w:color="auto" w:sz="8" w:space="0"/>
            </w:tcBorders>
            <w:shd w:val="clear" w:color="auto" w:fill="auto"/>
            <w:vAlign w:val="center"/>
          </w:tcPr>
          <w:p w14:paraId="06A2B40A">
            <w:pPr>
              <w:jc w:val="center"/>
              <w:rPr>
                <w:rFonts w:hint="eastAsia" w:ascii="仿宋_GB2312" w:hAnsi="仿宋_GB2312" w:eastAsia="仿宋_GB2312" w:cs="仿宋_GB2312"/>
                <w:sz w:val="24"/>
                <w:szCs w:val="24"/>
              </w:rPr>
            </w:pPr>
          </w:p>
        </w:tc>
        <w:tc>
          <w:tcPr>
            <w:tcW w:w="660" w:type="dxa"/>
            <w:vMerge w:val="continue"/>
            <w:tcBorders>
              <w:left w:val="single" w:color="auto" w:sz="8" w:space="0"/>
              <w:right w:val="single" w:color="auto" w:sz="8" w:space="0"/>
            </w:tcBorders>
            <w:shd w:val="clear" w:color="auto" w:fill="auto"/>
            <w:vAlign w:val="center"/>
          </w:tcPr>
          <w:p w14:paraId="3EF37269">
            <w:pPr>
              <w:jc w:val="center"/>
              <w:rPr>
                <w:rFonts w:hint="eastAsia" w:ascii="仿宋_GB2312" w:hAnsi="仿宋_GB2312" w:eastAsia="仿宋_GB2312" w:cs="仿宋_GB2312"/>
                <w:sz w:val="24"/>
                <w:szCs w:val="24"/>
              </w:rPr>
            </w:pPr>
          </w:p>
        </w:tc>
        <w:tc>
          <w:tcPr>
            <w:tcW w:w="735" w:type="dxa"/>
            <w:vMerge w:val="continue"/>
            <w:tcBorders>
              <w:left w:val="single" w:color="auto" w:sz="8" w:space="0"/>
              <w:right w:val="single" w:color="auto" w:sz="8" w:space="0"/>
            </w:tcBorders>
            <w:shd w:val="clear" w:color="auto" w:fill="auto"/>
            <w:vAlign w:val="center"/>
          </w:tcPr>
          <w:p w14:paraId="19BB538D">
            <w:pPr>
              <w:jc w:val="center"/>
              <w:rPr>
                <w:rFonts w:hint="eastAsia" w:ascii="仿宋_GB2312" w:hAnsi="仿宋_GB2312" w:eastAsia="仿宋_GB2312" w:cs="仿宋_GB2312"/>
                <w:sz w:val="24"/>
                <w:szCs w:val="24"/>
              </w:rPr>
            </w:pPr>
          </w:p>
        </w:tc>
        <w:tc>
          <w:tcPr>
            <w:tcW w:w="810" w:type="dxa"/>
            <w:vMerge w:val="continue"/>
            <w:tcBorders>
              <w:left w:val="single" w:color="auto" w:sz="8" w:space="0"/>
              <w:right w:val="single" w:color="auto" w:sz="8" w:space="0"/>
            </w:tcBorders>
            <w:shd w:val="clear" w:color="auto" w:fill="auto"/>
            <w:vAlign w:val="center"/>
          </w:tcPr>
          <w:p w14:paraId="3E9A45AC">
            <w:pPr>
              <w:jc w:val="center"/>
              <w:rPr>
                <w:rFonts w:hint="eastAsia" w:ascii="仿宋_GB2312" w:hAnsi="仿宋_GB2312" w:eastAsia="仿宋_GB2312" w:cs="仿宋_GB2312"/>
                <w:sz w:val="24"/>
                <w:szCs w:val="24"/>
              </w:rPr>
            </w:pPr>
          </w:p>
        </w:tc>
        <w:tc>
          <w:tcPr>
            <w:tcW w:w="750" w:type="dxa"/>
            <w:vMerge w:val="continue"/>
            <w:tcBorders>
              <w:left w:val="single" w:color="auto" w:sz="8" w:space="0"/>
              <w:right w:val="single" w:color="auto" w:sz="8" w:space="0"/>
            </w:tcBorders>
            <w:shd w:val="clear" w:color="auto" w:fill="auto"/>
            <w:vAlign w:val="center"/>
          </w:tcPr>
          <w:p w14:paraId="148B4FBA">
            <w:pPr>
              <w:jc w:val="center"/>
              <w:rPr>
                <w:rFonts w:hint="eastAsia" w:ascii="仿宋_GB2312" w:hAnsi="仿宋_GB2312" w:eastAsia="仿宋_GB2312" w:cs="仿宋_GB2312"/>
                <w:sz w:val="24"/>
                <w:szCs w:val="24"/>
              </w:rPr>
            </w:pPr>
          </w:p>
        </w:tc>
        <w:tc>
          <w:tcPr>
            <w:tcW w:w="660" w:type="dxa"/>
            <w:vMerge w:val="continue"/>
            <w:tcBorders>
              <w:left w:val="single" w:color="auto" w:sz="8" w:space="0"/>
              <w:right w:val="single" w:color="auto" w:sz="8" w:space="0"/>
            </w:tcBorders>
            <w:shd w:val="clear" w:color="auto" w:fill="auto"/>
            <w:vAlign w:val="center"/>
          </w:tcPr>
          <w:p w14:paraId="53C10CF6">
            <w:pPr>
              <w:jc w:val="center"/>
              <w:rPr>
                <w:rFonts w:hint="eastAsia" w:ascii="仿宋_GB2312" w:hAnsi="仿宋_GB2312" w:eastAsia="仿宋_GB2312" w:cs="仿宋_GB2312"/>
                <w:sz w:val="24"/>
                <w:szCs w:val="24"/>
              </w:rPr>
            </w:pPr>
          </w:p>
        </w:tc>
        <w:tc>
          <w:tcPr>
            <w:tcW w:w="575" w:type="dxa"/>
            <w:vMerge w:val="continue"/>
            <w:tcBorders>
              <w:left w:val="single" w:color="auto" w:sz="8" w:space="0"/>
              <w:right w:val="single" w:color="auto" w:sz="8" w:space="0"/>
            </w:tcBorders>
            <w:shd w:val="clear" w:color="auto" w:fill="auto"/>
            <w:vAlign w:val="center"/>
          </w:tcPr>
          <w:p w14:paraId="68B305C5">
            <w:pPr>
              <w:jc w:val="center"/>
              <w:rPr>
                <w:rFonts w:hint="eastAsia" w:ascii="仿宋_GB2312" w:hAnsi="仿宋_GB2312" w:eastAsia="仿宋_GB2312" w:cs="仿宋_GB2312"/>
                <w:sz w:val="24"/>
                <w:szCs w:val="24"/>
              </w:rPr>
            </w:pPr>
          </w:p>
        </w:tc>
      </w:tr>
      <w:tr w14:paraId="09BEC7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 w:hRule="atLeast"/>
          <w:jc w:val="center"/>
        </w:trPr>
        <w:tc>
          <w:tcPr>
            <w:tcW w:w="1017" w:type="dxa"/>
            <w:vMerge w:val="continue"/>
            <w:tcBorders>
              <w:left w:val="single" w:color="auto" w:sz="8" w:space="0"/>
              <w:bottom w:val="single" w:color="auto" w:sz="8" w:space="0"/>
              <w:right w:val="single" w:color="auto" w:sz="8" w:space="0"/>
            </w:tcBorders>
            <w:shd w:val="clear" w:color="auto" w:fill="auto"/>
            <w:vAlign w:val="center"/>
          </w:tcPr>
          <w:p w14:paraId="767FBE88">
            <w:pPr>
              <w:rPr>
                <w:rFonts w:hint="eastAsia" w:ascii="仿宋_GB2312" w:hAnsi="仿宋_GB2312" w:eastAsia="仿宋_GB2312" w:cs="仿宋_GB2312"/>
                <w:sz w:val="24"/>
                <w:szCs w:val="24"/>
              </w:rPr>
            </w:pPr>
          </w:p>
        </w:tc>
        <w:tc>
          <w:tcPr>
            <w:tcW w:w="1650" w:type="dxa"/>
            <w:vMerge w:val="continue"/>
            <w:tcBorders>
              <w:left w:val="single" w:color="auto" w:sz="8" w:space="0"/>
              <w:bottom w:val="single" w:color="auto" w:sz="8" w:space="0"/>
              <w:right w:val="single" w:color="auto" w:sz="8" w:space="0"/>
            </w:tcBorders>
            <w:shd w:val="clear" w:color="auto" w:fill="auto"/>
            <w:vAlign w:val="center"/>
          </w:tcPr>
          <w:p w14:paraId="0B3EC9A9">
            <w:pPr>
              <w:rPr>
                <w:rFonts w:hint="eastAsia" w:ascii="仿宋_GB2312" w:hAnsi="仿宋_GB2312" w:eastAsia="仿宋_GB2312" w:cs="仿宋_GB2312"/>
                <w:sz w:val="24"/>
                <w:szCs w:val="24"/>
              </w:rPr>
            </w:pPr>
          </w:p>
        </w:tc>
        <w:tc>
          <w:tcPr>
            <w:tcW w:w="3030" w:type="dxa"/>
            <w:tcBorders>
              <w:top w:val="single" w:color="auto" w:sz="8" w:space="0"/>
              <w:left w:val="single" w:color="auto" w:sz="8" w:space="0"/>
              <w:bottom w:val="single" w:color="auto" w:sz="8" w:space="0"/>
              <w:right w:val="single" w:color="auto" w:sz="8" w:space="0"/>
            </w:tcBorders>
            <w:shd w:val="clear" w:color="auto" w:fill="auto"/>
            <w:vAlign w:val="center"/>
          </w:tcPr>
          <w:p w14:paraId="2EBC5FB7">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w:t>
            </w:r>
          </w:p>
        </w:tc>
        <w:tc>
          <w:tcPr>
            <w:tcW w:w="735" w:type="dxa"/>
            <w:vMerge w:val="continue"/>
            <w:tcBorders>
              <w:left w:val="single" w:color="auto" w:sz="8" w:space="0"/>
              <w:bottom w:val="single" w:color="auto" w:sz="8" w:space="0"/>
              <w:right w:val="single" w:color="auto" w:sz="8" w:space="0"/>
            </w:tcBorders>
            <w:shd w:val="clear" w:color="auto" w:fill="auto"/>
            <w:vAlign w:val="center"/>
          </w:tcPr>
          <w:p w14:paraId="5227D217">
            <w:pPr>
              <w:jc w:val="center"/>
              <w:rPr>
                <w:rFonts w:hint="eastAsia" w:ascii="仿宋_GB2312" w:hAnsi="仿宋_GB2312" w:eastAsia="仿宋_GB2312" w:cs="仿宋_GB2312"/>
                <w:sz w:val="24"/>
                <w:szCs w:val="24"/>
              </w:rPr>
            </w:pPr>
          </w:p>
        </w:tc>
        <w:tc>
          <w:tcPr>
            <w:tcW w:w="660" w:type="dxa"/>
            <w:vMerge w:val="continue"/>
            <w:tcBorders>
              <w:left w:val="single" w:color="auto" w:sz="8" w:space="0"/>
              <w:bottom w:val="single" w:color="auto" w:sz="8" w:space="0"/>
              <w:right w:val="single" w:color="auto" w:sz="8" w:space="0"/>
            </w:tcBorders>
            <w:shd w:val="clear" w:color="auto" w:fill="auto"/>
            <w:vAlign w:val="center"/>
          </w:tcPr>
          <w:p w14:paraId="569DB330">
            <w:pPr>
              <w:jc w:val="center"/>
              <w:rPr>
                <w:rFonts w:hint="eastAsia" w:ascii="仿宋_GB2312" w:hAnsi="仿宋_GB2312" w:eastAsia="仿宋_GB2312" w:cs="仿宋_GB2312"/>
                <w:sz w:val="24"/>
                <w:szCs w:val="24"/>
              </w:rPr>
            </w:pPr>
          </w:p>
        </w:tc>
        <w:tc>
          <w:tcPr>
            <w:tcW w:w="735" w:type="dxa"/>
            <w:vMerge w:val="continue"/>
            <w:tcBorders>
              <w:left w:val="single" w:color="auto" w:sz="8" w:space="0"/>
              <w:bottom w:val="single" w:color="auto" w:sz="8" w:space="0"/>
              <w:right w:val="single" w:color="auto" w:sz="8" w:space="0"/>
            </w:tcBorders>
            <w:shd w:val="clear" w:color="auto" w:fill="auto"/>
            <w:vAlign w:val="center"/>
          </w:tcPr>
          <w:p w14:paraId="309B63F9">
            <w:pPr>
              <w:jc w:val="center"/>
              <w:rPr>
                <w:rFonts w:hint="eastAsia" w:ascii="仿宋_GB2312" w:hAnsi="仿宋_GB2312" w:eastAsia="仿宋_GB2312" w:cs="仿宋_GB2312"/>
                <w:sz w:val="24"/>
                <w:szCs w:val="24"/>
              </w:rPr>
            </w:pPr>
          </w:p>
        </w:tc>
        <w:tc>
          <w:tcPr>
            <w:tcW w:w="810" w:type="dxa"/>
            <w:vMerge w:val="continue"/>
            <w:tcBorders>
              <w:left w:val="single" w:color="auto" w:sz="8" w:space="0"/>
              <w:bottom w:val="single" w:color="auto" w:sz="8" w:space="0"/>
              <w:right w:val="single" w:color="auto" w:sz="8" w:space="0"/>
            </w:tcBorders>
            <w:shd w:val="clear" w:color="auto" w:fill="auto"/>
            <w:vAlign w:val="center"/>
          </w:tcPr>
          <w:p w14:paraId="4F060313">
            <w:pPr>
              <w:jc w:val="center"/>
              <w:rPr>
                <w:rFonts w:hint="eastAsia" w:ascii="仿宋_GB2312" w:hAnsi="仿宋_GB2312" w:eastAsia="仿宋_GB2312" w:cs="仿宋_GB2312"/>
                <w:sz w:val="24"/>
                <w:szCs w:val="24"/>
              </w:rPr>
            </w:pPr>
          </w:p>
        </w:tc>
        <w:tc>
          <w:tcPr>
            <w:tcW w:w="750" w:type="dxa"/>
            <w:vMerge w:val="continue"/>
            <w:tcBorders>
              <w:left w:val="single" w:color="auto" w:sz="8" w:space="0"/>
              <w:bottom w:val="single" w:color="auto" w:sz="8" w:space="0"/>
              <w:right w:val="single" w:color="auto" w:sz="8" w:space="0"/>
            </w:tcBorders>
            <w:shd w:val="clear" w:color="auto" w:fill="auto"/>
            <w:vAlign w:val="center"/>
          </w:tcPr>
          <w:p w14:paraId="22FA8A0B">
            <w:pPr>
              <w:jc w:val="center"/>
              <w:rPr>
                <w:rFonts w:hint="eastAsia" w:ascii="仿宋_GB2312" w:hAnsi="仿宋_GB2312" w:eastAsia="仿宋_GB2312" w:cs="仿宋_GB2312"/>
                <w:sz w:val="24"/>
                <w:szCs w:val="24"/>
              </w:rPr>
            </w:pPr>
          </w:p>
        </w:tc>
        <w:tc>
          <w:tcPr>
            <w:tcW w:w="660" w:type="dxa"/>
            <w:vMerge w:val="continue"/>
            <w:tcBorders>
              <w:left w:val="single" w:color="auto" w:sz="8" w:space="0"/>
              <w:bottom w:val="single" w:color="auto" w:sz="8" w:space="0"/>
              <w:right w:val="single" w:color="auto" w:sz="8" w:space="0"/>
            </w:tcBorders>
            <w:shd w:val="clear" w:color="auto" w:fill="auto"/>
            <w:vAlign w:val="center"/>
          </w:tcPr>
          <w:p w14:paraId="4E633C52">
            <w:pPr>
              <w:jc w:val="center"/>
              <w:rPr>
                <w:rFonts w:hint="eastAsia" w:ascii="仿宋_GB2312" w:hAnsi="仿宋_GB2312" w:eastAsia="仿宋_GB2312" w:cs="仿宋_GB2312"/>
                <w:sz w:val="24"/>
                <w:szCs w:val="24"/>
              </w:rPr>
            </w:pPr>
          </w:p>
        </w:tc>
        <w:tc>
          <w:tcPr>
            <w:tcW w:w="575" w:type="dxa"/>
            <w:vMerge w:val="continue"/>
            <w:tcBorders>
              <w:left w:val="single" w:color="auto" w:sz="8" w:space="0"/>
              <w:bottom w:val="single" w:color="auto" w:sz="8" w:space="0"/>
              <w:right w:val="single" w:color="auto" w:sz="8" w:space="0"/>
            </w:tcBorders>
            <w:shd w:val="clear" w:color="auto" w:fill="auto"/>
            <w:vAlign w:val="center"/>
          </w:tcPr>
          <w:p w14:paraId="639670EF">
            <w:pPr>
              <w:jc w:val="center"/>
              <w:rPr>
                <w:rFonts w:hint="eastAsia" w:ascii="仿宋_GB2312" w:hAnsi="仿宋_GB2312" w:eastAsia="仿宋_GB2312" w:cs="仿宋_GB2312"/>
                <w:sz w:val="24"/>
                <w:szCs w:val="24"/>
              </w:rPr>
            </w:pPr>
          </w:p>
        </w:tc>
      </w:tr>
      <w:tr w14:paraId="343C83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017"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4B6ED2E5">
            <w:pPr>
              <w:rPr>
                <w:rFonts w:hint="eastAsia" w:ascii="仿宋_GB2312" w:hAnsi="仿宋_GB2312" w:eastAsia="仿宋_GB2312" w:cs="仿宋_GB2312"/>
                <w:sz w:val="24"/>
                <w:szCs w:val="24"/>
              </w:rPr>
            </w:pPr>
          </w:p>
        </w:tc>
        <w:tc>
          <w:tcPr>
            <w:tcW w:w="468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588D4811">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（七）总计</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7074962B">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7B991D9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6D0082D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5E4752C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643AEBD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22ECC1D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3C5BCA13">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3</w:t>
            </w:r>
          </w:p>
        </w:tc>
      </w:tr>
      <w:tr w14:paraId="66D1F6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7" w:hRule="atLeast"/>
          <w:jc w:val="center"/>
        </w:trPr>
        <w:tc>
          <w:tcPr>
            <w:tcW w:w="569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14:paraId="0C4A74D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四、结转下年度继续办理</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4C3032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14F188F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35" w:type="dxa"/>
            <w:tcBorders>
              <w:top w:val="single" w:color="auto" w:sz="8" w:space="0"/>
              <w:left w:val="single" w:color="auto" w:sz="8" w:space="0"/>
              <w:bottom w:val="single" w:color="auto" w:sz="8" w:space="0"/>
              <w:right w:val="single" w:color="auto" w:sz="8" w:space="0"/>
            </w:tcBorders>
            <w:shd w:val="clear" w:color="auto" w:fill="auto"/>
            <w:vAlign w:val="center"/>
          </w:tcPr>
          <w:p w14:paraId="0A9F8B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810" w:type="dxa"/>
            <w:tcBorders>
              <w:top w:val="single" w:color="auto" w:sz="8" w:space="0"/>
              <w:left w:val="single" w:color="auto" w:sz="8" w:space="0"/>
              <w:bottom w:val="single" w:color="auto" w:sz="8" w:space="0"/>
              <w:right w:val="single" w:color="auto" w:sz="8" w:space="0"/>
            </w:tcBorders>
            <w:shd w:val="clear" w:color="auto" w:fill="auto"/>
            <w:vAlign w:val="center"/>
          </w:tcPr>
          <w:p w14:paraId="61BB6B6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5AE1C26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60" w:type="dxa"/>
            <w:tcBorders>
              <w:top w:val="single" w:color="auto" w:sz="8" w:space="0"/>
              <w:left w:val="single" w:color="auto" w:sz="8" w:space="0"/>
              <w:bottom w:val="single" w:color="auto" w:sz="8" w:space="0"/>
              <w:right w:val="single" w:color="auto" w:sz="8" w:space="0"/>
            </w:tcBorders>
            <w:shd w:val="clear" w:color="auto" w:fill="auto"/>
            <w:vAlign w:val="center"/>
          </w:tcPr>
          <w:p w14:paraId="68A723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5" w:type="dxa"/>
            <w:tcBorders>
              <w:top w:val="single" w:color="auto" w:sz="8" w:space="0"/>
              <w:left w:val="single" w:color="auto" w:sz="8" w:space="0"/>
              <w:bottom w:val="single" w:color="auto" w:sz="8" w:space="0"/>
              <w:right w:val="single" w:color="auto" w:sz="8" w:space="0"/>
            </w:tcBorders>
            <w:shd w:val="clear" w:color="auto" w:fill="auto"/>
            <w:vAlign w:val="center"/>
          </w:tcPr>
          <w:p w14:paraId="7625686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14:paraId="18B24340">
      <w:pPr>
        <w:rPr>
          <w:rFonts w:ascii="仿宋_GB2312" w:hAnsi="仿宋_GB2312" w:eastAsia="仿宋_GB2312" w:cs="仿宋_GB2312"/>
          <w:sz w:val="32"/>
          <w:szCs w:val="32"/>
        </w:rPr>
      </w:pPr>
    </w:p>
    <w:p w14:paraId="0236C4F2">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9"/>
        <w:tblW w:w="1006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750"/>
        <w:gridCol w:w="695"/>
        <w:gridCol w:w="682"/>
        <w:gridCol w:w="423"/>
        <w:gridCol w:w="682"/>
        <w:gridCol w:w="763"/>
        <w:gridCol w:w="709"/>
        <w:gridCol w:w="682"/>
        <w:gridCol w:w="573"/>
        <w:gridCol w:w="682"/>
        <w:gridCol w:w="681"/>
        <w:gridCol w:w="696"/>
        <w:gridCol w:w="709"/>
        <w:gridCol w:w="559"/>
      </w:tblGrid>
      <w:tr w14:paraId="305F52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3328"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580D6D6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行政复议</w:t>
            </w:r>
          </w:p>
        </w:tc>
        <w:tc>
          <w:tcPr>
            <w:tcW w:w="6736"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14:paraId="114560B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行政诉讼</w:t>
            </w:r>
          </w:p>
        </w:tc>
      </w:tr>
      <w:tr w14:paraId="34790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77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F449C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7EBBE03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75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3BB238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4A01E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6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F2DCB2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14:paraId="57F6022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346BE1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14:paraId="14B527D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42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A83D27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w:t>
            </w:r>
          </w:p>
          <w:p w14:paraId="37B059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计</w:t>
            </w:r>
          </w:p>
        </w:tc>
        <w:tc>
          <w:tcPr>
            <w:tcW w:w="3409"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4A1E26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未经复议直接起诉</w:t>
            </w:r>
          </w:p>
        </w:tc>
        <w:tc>
          <w:tcPr>
            <w:tcW w:w="3327"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380D77C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复议后起诉</w:t>
            </w:r>
          </w:p>
        </w:tc>
      </w:tr>
      <w:tr w14:paraId="29DD4E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77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35235E7">
            <w:pPr>
              <w:jc w:val="center"/>
              <w:rPr>
                <w:rFonts w:ascii="仿宋_GB2312" w:hAnsi="仿宋_GB2312" w:eastAsia="仿宋_GB2312" w:cs="仿宋_GB2312"/>
                <w:sz w:val="24"/>
                <w:szCs w:val="24"/>
              </w:rPr>
            </w:pPr>
          </w:p>
        </w:tc>
        <w:tc>
          <w:tcPr>
            <w:tcW w:w="75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7E6B163">
            <w:pPr>
              <w:jc w:val="center"/>
              <w:rPr>
                <w:rFonts w:ascii="仿宋_GB2312" w:hAnsi="仿宋_GB2312" w:eastAsia="仿宋_GB2312" w:cs="仿宋_GB2312"/>
                <w:sz w:val="24"/>
                <w:szCs w:val="24"/>
              </w:rPr>
            </w:pPr>
          </w:p>
        </w:tc>
        <w:tc>
          <w:tcPr>
            <w:tcW w:w="6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4F57AC9">
            <w:pPr>
              <w:jc w:val="center"/>
              <w:rPr>
                <w:rFonts w:ascii="仿宋_GB2312" w:hAnsi="仿宋_GB2312" w:eastAsia="仿宋_GB2312" w:cs="仿宋_GB2312"/>
                <w:sz w:val="24"/>
                <w:szCs w:val="24"/>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742F2E8">
            <w:pPr>
              <w:jc w:val="center"/>
              <w:rPr>
                <w:rFonts w:ascii="仿宋_GB2312" w:hAnsi="仿宋_GB2312" w:eastAsia="仿宋_GB2312" w:cs="仿宋_GB2312"/>
                <w:sz w:val="24"/>
                <w:szCs w:val="24"/>
              </w:rPr>
            </w:pPr>
          </w:p>
        </w:tc>
        <w:tc>
          <w:tcPr>
            <w:tcW w:w="42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ACB58B1">
            <w:pPr>
              <w:jc w:val="center"/>
              <w:rPr>
                <w:rFonts w:ascii="仿宋_GB2312" w:hAnsi="仿宋_GB2312" w:eastAsia="仿宋_GB2312" w:cs="仿宋_GB2312"/>
                <w:sz w:val="24"/>
                <w:szCs w:val="24"/>
              </w:rPr>
            </w:pP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37EE04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0874409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763" w:type="dxa"/>
            <w:tcBorders>
              <w:top w:val="single" w:color="auto" w:sz="8" w:space="0"/>
              <w:left w:val="single" w:color="auto" w:sz="8" w:space="0"/>
              <w:bottom w:val="single" w:color="auto" w:sz="8" w:space="0"/>
              <w:right w:val="single" w:color="auto" w:sz="8" w:space="0"/>
            </w:tcBorders>
            <w:shd w:val="clear" w:color="auto" w:fill="auto"/>
            <w:vAlign w:val="center"/>
          </w:tcPr>
          <w:p w14:paraId="48E126F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00C1B86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58C4144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14:paraId="7C3462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478B694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14:paraId="0A3AF3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14:paraId="7ADFE93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7CDB56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6B2533F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维持</w:t>
            </w:r>
          </w:p>
        </w:tc>
        <w:tc>
          <w:tcPr>
            <w:tcW w:w="681" w:type="dxa"/>
            <w:tcBorders>
              <w:top w:val="single" w:color="auto" w:sz="8" w:space="0"/>
              <w:left w:val="single" w:color="auto" w:sz="8" w:space="0"/>
              <w:bottom w:val="single" w:color="auto" w:sz="8" w:space="0"/>
              <w:right w:val="single" w:color="auto" w:sz="8" w:space="0"/>
            </w:tcBorders>
            <w:shd w:val="clear" w:color="auto" w:fill="auto"/>
            <w:vAlign w:val="center"/>
          </w:tcPr>
          <w:p w14:paraId="3A6A064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p w14:paraId="3889851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纠正</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14:paraId="3349305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p w14:paraId="605863F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结果</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3FEDD9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尚未</w:t>
            </w:r>
          </w:p>
          <w:p w14:paraId="461F5DA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审结</w:t>
            </w:r>
          </w:p>
        </w:tc>
        <w:tc>
          <w:tcPr>
            <w:tcW w:w="559" w:type="dxa"/>
            <w:tcBorders>
              <w:top w:val="single" w:color="auto" w:sz="8" w:space="0"/>
              <w:left w:val="single" w:color="auto" w:sz="8" w:space="0"/>
              <w:bottom w:val="single" w:color="auto" w:sz="8" w:space="0"/>
              <w:right w:val="single" w:color="auto" w:sz="8" w:space="0"/>
            </w:tcBorders>
            <w:shd w:val="clear" w:color="auto" w:fill="auto"/>
            <w:vAlign w:val="center"/>
          </w:tcPr>
          <w:p w14:paraId="21AF501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r>
      <w:tr w14:paraId="6705F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1" w:hRule="atLeast"/>
          <w:jc w:val="center"/>
        </w:trPr>
        <w:tc>
          <w:tcPr>
            <w:tcW w:w="778" w:type="dxa"/>
            <w:tcBorders>
              <w:top w:val="single" w:color="auto" w:sz="8" w:space="0"/>
              <w:left w:val="single" w:color="auto" w:sz="8" w:space="0"/>
              <w:bottom w:val="single" w:color="auto" w:sz="8" w:space="0"/>
              <w:right w:val="single" w:color="auto" w:sz="8" w:space="0"/>
            </w:tcBorders>
            <w:shd w:val="clear" w:color="auto" w:fill="auto"/>
            <w:vAlign w:val="center"/>
          </w:tcPr>
          <w:p w14:paraId="182FFB8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50" w:type="dxa"/>
            <w:tcBorders>
              <w:top w:val="single" w:color="auto" w:sz="8" w:space="0"/>
              <w:left w:val="single" w:color="auto" w:sz="8" w:space="0"/>
              <w:bottom w:val="single" w:color="auto" w:sz="8" w:space="0"/>
              <w:right w:val="single" w:color="auto" w:sz="8" w:space="0"/>
            </w:tcBorders>
            <w:shd w:val="clear" w:color="auto" w:fill="auto"/>
            <w:vAlign w:val="center"/>
          </w:tcPr>
          <w:p w14:paraId="1494B0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5" w:type="dxa"/>
            <w:tcBorders>
              <w:top w:val="single" w:color="auto" w:sz="8" w:space="0"/>
              <w:left w:val="single" w:color="auto" w:sz="8" w:space="0"/>
              <w:bottom w:val="single" w:color="auto" w:sz="8" w:space="0"/>
              <w:right w:val="single" w:color="auto" w:sz="8" w:space="0"/>
            </w:tcBorders>
            <w:shd w:val="clear" w:color="auto" w:fill="auto"/>
            <w:vAlign w:val="center"/>
          </w:tcPr>
          <w:p w14:paraId="510BC1A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6D162BC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423" w:type="dxa"/>
            <w:tcBorders>
              <w:top w:val="single" w:color="auto" w:sz="8" w:space="0"/>
              <w:left w:val="single" w:color="auto" w:sz="8" w:space="0"/>
              <w:bottom w:val="single" w:color="auto" w:sz="8" w:space="0"/>
              <w:right w:val="single" w:color="auto" w:sz="8" w:space="0"/>
            </w:tcBorders>
            <w:shd w:val="clear" w:color="auto" w:fill="auto"/>
            <w:vAlign w:val="center"/>
          </w:tcPr>
          <w:p w14:paraId="15B3562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4AA5AF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63" w:type="dxa"/>
            <w:tcBorders>
              <w:top w:val="single" w:color="auto" w:sz="8" w:space="0"/>
              <w:left w:val="single" w:color="auto" w:sz="8" w:space="0"/>
              <w:bottom w:val="single" w:color="auto" w:sz="8" w:space="0"/>
              <w:right w:val="single" w:color="auto" w:sz="8" w:space="0"/>
            </w:tcBorders>
            <w:shd w:val="clear" w:color="auto" w:fill="auto"/>
            <w:vAlign w:val="center"/>
          </w:tcPr>
          <w:p w14:paraId="0A8D64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7AAF1D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1A4C097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73" w:type="dxa"/>
            <w:tcBorders>
              <w:top w:val="single" w:color="auto" w:sz="8" w:space="0"/>
              <w:left w:val="single" w:color="auto" w:sz="8" w:space="0"/>
              <w:bottom w:val="single" w:color="auto" w:sz="8" w:space="0"/>
              <w:right w:val="single" w:color="auto" w:sz="8" w:space="0"/>
            </w:tcBorders>
            <w:shd w:val="clear" w:color="auto" w:fill="auto"/>
            <w:vAlign w:val="center"/>
          </w:tcPr>
          <w:p w14:paraId="28A781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2" w:type="dxa"/>
            <w:tcBorders>
              <w:top w:val="single" w:color="auto" w:sz="8" w:space="0"/>
              <w:left w:val="single" w:color="auto" w:sz="8" w:space="0"/>
              <w:bottom w:val="single" w:color="auto" w:sz="8" w:space="0"/>
              <w:right w:val="single" w:color="auto" w:sz="8" w:space="0"/>
            </w:tcBorders>
            <w:shd w:val="clear" w:color="auto" w:fill="auto"/>
            <w:vAlign w:val="center"/>
          </w:tcPr>
          <w:p w14:paraId="6D9627A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81" w:type="dxa"/>
            <w:tcBorders>
              <w:top w:val="single" w:color="auto" w:sz="8" w:space="0"/>
              <w:left w:val="single" w:color="auto" w:sz="8" w:space="0"/>
              <w:bottom w:val="single" w:color="auto" w:sz="8" w:space="0"/>
              <w:right w:val="single" w:color="auto" w:sz="8" w:space="0"/>
            </w:tcBorders>
            <w:shd w:val="clear" w:color="auto" w:fill="auto"/>
            <w:vAlign w:val="center"/>
          </w:tcPr>
          <w:p w14:paraId="3A143F8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696" w:type="dxa"/>
            <w:tcBorders>
              <w:top w:val="single" w:color="auto" w:sz="8" w:space="0"/>
              <w:left w:val="single" w:color="auto" w:sz="8" w:space="0"/>
              <w:bottom w:val="single" w:color="auto" w:sz="8" w:space="0"/>
              <w:right w:val="single" w:color="auto" w:sz="8" w:space="0"/>
            </w:tcBorders>
            <w:shd w:val="clear" w:color="auto" w:fill="auto"/>
            <w:vAlign w:val="center"/>
          </w:tcPr>
          <w:p w14:paraId="0C60E82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709" w:type="dxa"/>
            <w:tcBorders>
              <w:top w:val="single" w:color="auto" w:sz="8" w:space="0"/>
              <w:left w:val="single" w:color="auto" w:sz="8" w:space="0"/>
              <w:bottom w:val="single" w:color="auto" w:sz="8" w:space="0"/>
              <w:right w:val="single" w:color="auto" w:sz="8" w:space="0"/>
            </w:tcBorders>
            <w:shd w:val="clear" w:color="auto" w:fill="auto"/>
            <w:vAlign w:val="center"/>
          </w:tcPr>
          <w:p w14:paraId="0018B84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559" w:type="dxa"/>
            <w:tcBorders>
              <w:top w:val="single" w:color="auto" w:sz="8" w:space="0"/>
              <w:left w:val="single" w:color="auto" w:sz="8" w:space="0"/>
              <w:bottom w:val="single" w:color="auto" w:sz="8" w:space="0"/>
              <w:right w:val="single" w:color="auto" w:sz="8" w:space="0"/>
            </w:tcBorders>
            <w:shd w:val="clear" w:color="auto" w:fill="auto"/>
            <w:vAlign w:val="center"/>
          </w:tcPr>
          <w:p w14:paraId="721864F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w:t>
            </w:r>
          </w:p>
        </w:tc>
      </w:tr>
    </w:tbl>
    <w:p w14:paraId="6F55B1F0">
      <w:pPr>
        <w:rPr>
          <w:rFonts w:ascii="仿宋_GB2312" w:hAnsi="仿宋_GB2312" w:eastAsia="仿宋_GB2312" w:cs="仿宋_GB2312"/>
          <w:sz w:val="32"/>
          <w:szCs w:val="32"/>
        </w:rPr>
      </w:pPr>
    </w:p>
    <w:p w14:paraId="2E86E3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五、存在的主要问题及改进情况</w:t>
      </w:r>
    </w:p>
    <w:p w14:paraId="233BD0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2024年，政府信息公开工作仍存在不足之处，一是由于部分文件不适宜对外公开，个别栏目信息公开数量少。二是信息公开的频次有待提高，公开形式有待丰富。三是部分工作信息更新存在不及时的情况。</w:t>
      </w:r>
    </w:p>
    <w:p w14:paraId="69FF57E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sz w:val="32"/>
          <w:szCs w:val="32"/>
          <w:lang w:val="en-US" w:eastAsia="zh-CN"/>
        </w:rPr>
        <w:t>改进情况：</w:t>
      </w:r>
      <w:r>
        <w:rPr>
          <w:rFonts w:hint="eastAsia" w:ascii="仿宋_GB2312" w:hAnsi="宋体" w:eastAsia="仿宋_GB2312" w:cs="仿宋_GB2312"/>
          <w:i w:val="0"/>
          <w:iCs w:val="0"/>
          <w:caps w:val="0"/>
          <w:color w:val="000000"/>
          <w:spacing w:val="0"/>
          <w:sz w:val="32"/>
          <w:szCs w:val="32"/>
          <w:shd w:val="clear" w:fill="FFFFFF"/>
        </w:rPr>
        <w:t>一是加强领导，高度重视信息公开工作，保证政府信息公开得到落实</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不断加大政务信息更新力度</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二是深化公开意识，规范、细化工作流程</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rPr>
        <w:t>保证网站信息及时更新、及时提供、定期维护，切实做好政府信息公开的准确、及时、完整。</w:t>
      </w:r>
    </w:p>
    <w:p w14:paraId="05547D8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0E941DC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i w:val="0"/>
          <w:iCs w:val="0"/>
          <w:caps w:val="0"/>
          <w:color w:val="000000"/>
          <w:spacing w:val="0"/>
          <w:sz w:val="32"/>
          <w:szCs w:val="32"/>
        </w:rPr>
      </w:pPr>
      <w:r>
        <w:rPr>
          <w:rFonts w:hint="eastAsia" w:ascii="仿宋_GB2312" w:hAnsi="仿宋_GB2312" w:eastAsia="仿宋_GB2312" w:cs="仿宋_GB2312"/>
          <w:sz w:val="32"/>
          <w:szCs w:val="32"/>
        </w:rPr>
        <w:t>1.</w:t>
      </w:r>
      <w:r>
        <w:rPr>
          <w:rFonts w:ascii="仿宋_GB2312" w:hAnsi="宋体" w:eastAsia="仿宋_GB2312" w:cs="仿宋_GB2312"/>
          <w:i w:val="0"/>
          <w:iCs w:val="0"/>
          <w:caps w:val="0"/>
          <w:color w:val="000000"/>
          <w:spacing w:val="0"/>
          <w:sz w:val="32"/>
          <w:szCs w:val="32"/>
        </w:rPr>
        <w:t>收取信息处理费情况方面。</w:t>
      </w:r>
      <w:r>
        <w:rPr>
          <w:rFonts w:hint="eastAsia" w:ascii="仿宋_GB2312" w:hAnsi="宋体" w:eastAsia="仿宋_GB2312" w:cs="仿宋_GB2312"/>
          <w:i w:val="0"/>
          <w:iCs w:val="0"/>
          <w:caps w:val="0"/>
          <w:color w:val="000000"/>
          <w:spacing w:val="0"/>
          <w:sz w:val="32"/>
          <w:szCs w:val="32"/>
          <w:lang w:eastAsia="zh-CN"/>
        </w:rPr>
        <w:t>2024</w:t>
      </w:r>
      <w:r>
        <w:rPr>
          <w:rFonts w:hint="eastAsia" w:ascii="仿宋_GB2312" w:hAnsi="宋体" w:eastAsia="仿宋_GB2312" w:cs="仿宋_GB2312"/>
          <w:i w:val="0"/>
          <w:iCs w:val="0"/>
          <w:caps w:val="0"/>
          <w:color w:val="000000"/>
          <w:spacing w:val="0"/>
          <w:sz w:val="32"/>
          <w:szCs w:val="32"/>
        </w:rPr>
        <w:t>年度，本单位未收取信息处理费。</w:t>
      </w:r>
    </w:p>
    <w:p w14:paraId="50B66B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sz w:val="32"/>
          <w:szCs w:val="32"/>
        </w:rPr>
        <w:t>2.</w:t>
      </w:r>
      <w:r>
        <w:rPr>
          <w:rFonts w:ascii="仿宋_GB2312" w:hAnsi="宋体" w:eastAsia="仿宋_GB2312" w:cs="仿宋_GB2312"/>
          <w:i w:val="0"/>
          <w:iCs w:val="0"/>
          <w:caps w:val="0"/>
          <w:color w:val="000000"/>
          <w:spacing w:val="0"/>
          <w:sz w:val="32"/>
          <w:szCs w:val="32"/>
        </w:rPr>
        <w:t>落实</w:t>
      </w:r>
      <w:r>
        <w:rPr>
          <w:rFonts w:hint="eastAsia" w:ascii="仿宋_GB2312" w:hAnsi="宋体" w:eastAsia="仿宋_GB2312" w:cs="仿宋_GB2312"/>
          <w:i w:val="0"/>
          <w:iCs w:val="0"/>
          <w:caps w:val="0"/>
          <w:color w:val="000000"/>
          <w:spacing w:val="0"/>
          <w:sz w:val="32"/>
          <w:szCs w:val="32"/>
          <w:lang w:val="en-US" w:eastAsia="zh-CN"/>
        </w:rPr>
        <w:t>2024</w:t>
      </w:r>
      <w:r>
        <w:rPr>
          <w:rFonts w:ascii="仿宋_GB2312" w:hAnsi="宋体" w:eastAsia="仿宋_GB2312" w:cs="仿宋_GB2312"/>
          <w:i w:val="0"/>
          <w:iCs w:val="0"/>
          <w:caps w:val="0"/>
          <w:color w:val="000000"/>
          <w:spacing w:val="0"/>
          <w:sz w:val="32"/>
          <w:szCs w:val="32"/>
        </w:rPr>
        <w:t>年度政务公开工作要点情况。</w:t>
      </w:r>
      <w:r>
        <w:rPr>
          <w:rFonts w:hint="eastAsia" w:ascii="仿宋_GB2312" w:hAnsi="宋体" w:eastAsia="仿宋_GB2312" w:cs="仿宋_GB2312"/>
          <w:i w:val="0"/>
          <w:iCs w:val="0"/>
          <w:caps w:val="0"/>
          <w:color w:val="000000"/>
          <w:spacing w:val="0"/>
          <w:sz w:val="32"/>
          <w:szCs w:val="32"/>
          <w:lang w:val="en-US" w:eastAsia="zh-CN"/>
        </w:rPr>
        <w:t>对照</w:t>
      </w:r>
      <w:r>
        <w:rPr>
          <w:rFonts w:ascii="仿宋_GB2312" w:hAnsi="宋体" w:eastAsia="仿宋_GB2312" w:cs="仿宋_GB2312"/>
          <w:i w:val="0"/>
          <w:iCs w:val="0"/>
          <w:caps w:val="0"/>
          <w:color w:val="000000"/>
          <w:spacing w:val="0"/>
          <w:sz w:val="32"/>
          <w:szCs w:val="32"/>
          <w:shd w:val="clear" w:fill="FFFFFF"/>
        </w:rPr>
        <w:t>《滕州市</w:t>
      </w:r>
      <w:r>
        <w:rPr>
          <w:rFonts w:hint="eastAsia" w:ascii="仿宋_GB2312" w:hAnsi="宋体" w:eastAsia="仿宋_GB2312" w:cs="仿宋_GB2312"/>
          <w:i w:val="0"/>
          <w:iCs w:val="0"/>
          <w:caps w:val="0"/>
          <w:color w:val="000000"/>
          <w:spacing w:val="0"/>
          <w:sz w:val="32"/>
          <w:szCs w:val="32"/>
          <w:shd w:val="clear" w:fill="FFFFFF"/>
          <w:lang w:eastAsia="zh-CN"/>
        </w:rPr>
        <w:t>2024</w:t>
      </w:r>
      <w:r>
        <w:rPr>
          <w:rFonts w:ascii="仿宋_GB2312" w:hAnsi="宋体" w:eastAsia="仿宋_GB2312" w:cs="仿宋_GB2312"/>
          <w:i w:val="0"/>
          <w:iCs w:val="0"/>
          <w:caps w:val="0"/>
          <w:color w:val="000000"/>
          <w:spacing w:val="0"/>
          <w:sz w:val="32"/>
          <w:szCs w:val="32"/>
          <w:shd w:val="clear" w:fill="FFFFFF"/>
        </w:rPr>
        <w:t>年政务公开工作要点》</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rPr>
        <w:t>围绕重点领域信息公开、政务公开标准化规范化建设明确责任主体和完成时限</w:t>
      </w:r>
      <w:r>
        <w:rPr>
          <w:rFonts w:hint="eastAsia" w:ascii="仿宋_GB2312" w:hAnsi="宋体" w:eastAsia="仿宋_GB2312" w:cs="仿宋_GB2312"/>
          <w:i w:val="0"/>
          <w:iCs w:val="0"/>
          <w:caps w:val="0"/>
          <w:color w:val="000000"/>
          <w:spacing w:val="0"/>
          <w:sz w:val="32"/>
          <w:szCs w:val="32"/>
          <w:lang w:val="en-US" w:eastAsia="zh-CN"/>
        </w:rPr>
        <w:t>开展政务公开工作。</w:t>
      </w:r>
    </w:p>
    <w:p w14:paraId="50E6D4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年共办理人大代表建议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条，办理政协提案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条，均已办理完成。</w:t>
      </w:r>
    </w:p>
    <w:p w14:paraId="22A786C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rPr>
        <w:t>开展政务公开创新方面</w:t>
      </w:r>
      <w:r>
        <w:rPr>
          <w:rFonts w:hint="eastAsia" w:ascii="仿宋_GB2312" w:hAnsi="宋体" w:eastAsia="仿宋_GB2312" w:cs="仿宋_GB2312"/>
          <w:i w:val="0"/>
          <w:iCs w:val="0"/>
          <w:caps w:val="0"/>
          <w:color w:val="000000"/>
          <w:spacing w:val="0"/>
          <w:sz w:val="32"/>
          <w:szCs w:val="32"/>
        </w:rPr>
        <w:t>：无。</w:t>
      </w:r>
    </w:p>
    <w:p w14:paraId="1C1EB69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没有针对政府信息公开工作年度报告数据统计需要说明的事项。</w:t>
      </w:r>
    </w:p>
    <w:p w14:paraId="6C4D15E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800" w:firstLineChars="250"/>
        <w:textAlignment w:val="auto"/>
        <w:rPr>
          <w:rFonts w:ascii="仿宋_GB2312" w:hAnsi="Arial" w:eastAsia="仿宋_GB2312" w:cs="Arial"/>
          <w:color w:val="000000"/>
          <w:sz w:val="32"/>
          <w:szCs w:val="32"/>
          <w:highlight w:val="none"/>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没有需要报告的其他事项</w:t>
      </w:r>
      <w:r>
        <w:rPr>
          <w:rFonts w:hint="eastAsia" w:ascii="仿宋_GB2312" w:hAnsi="仿宋_GB2312" w:eastAsia="仿宋_GB2312" w:cs="仿宋_GB2312"/>
          <w:sz w:val="32"/>
          <w:szCs w:val="32"/>
          <w:lang w:eastAsia="zh-CN"/>
        </w:rPr>
        <w:t>。</w:t>
      </w:r>
    </w:p>
    <w:p w14:paraId="757B9EF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800" w:firstLineChars="250"/>
        <w:textAlignment w:val="auto"/>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本年度政府信息公开年报中的数据真实可查。</w:t>
      </w:r>
    </w:p>
    <w:p w14:paraId="1493B4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rPr>
      </w:pPr>
      <w:r>
        <w:rPr>
          <w:rFonts w:hint="eastAsia" w:ascii="仿宋_GB2312" w:hAnsi="Arial" w:eastAsia="仿宋_GB2312" w:cs="Arial"/>
          <w:color w:val="000000"/>
          <w:sz w:val="32"/>
          <w:szCs w:val="32"/>
          <w:highlight w:val="none"/>
          <w:lang w:eastAsia="zh-CN"/>
        </w:rPr>
        <w:t>本报告的电子版可在“中国滕州网”网站查询和下载。</w:t>
      </w:r>
      <w:r>
        <w:rPr>
          <w:rFonts w:hint="eastAsia" w:ascii="仿宋_GB2312" w:hAnsi="Arial" w:eastAsia="仿宋_GB2312" w:cs="Arial"/>
          <w:color w:val="000000"/>
          <w:sz w:val="32"/>
          <w:szCs w:val="32"/>
          <w:highlight w:val="none"/>
        </w:rPr>
        <w:t>如对本报告有任何疑问，</w:t>
      </w:r>
      <w:r>
        <w:rPr>
          <w:rFonts w:hint="eastAsia" w:ascii="仿宋_GB2312" w:hAnsi="仿宋_GB2312" w:eastAsia="仿宋_GB2312" w:cs="仿宋_GB2312"/>
          <w:sz w:val="32"/>
          <w:szCs w:val="32"/>
        </w:rPr>
        <w:t>请与</w:t>
      </w:r>
      <w:r>
        <w:rPr>
          <w:rFonts w:ascii="仿宋_GB2312" w:hAnsi="仿宋_GB2312" w:eastAsia="仿宋_GB2312" w:cs="仿宋_GB2312"/>
          <w:sz w:val="32"/>
          <w:szCs w:val="32"/>
        </w:rPr>
        <w:t>滕州市财政局办公室</w:t>
      </w:r>
      <w:r>
        <w:rPr>
          <w:rFonts w:hint="eastAsia" w:ascii="仿宋_GB2312" w:hAnsi="仿宋_GB2312" w:eastAsia="仿宋_GB2312" w:cs="仿宋_GB2312"/>
          <w:sz w:val="32"/>
          <w:szCs w:val="32"/>
        </w:rPr>
        <w:t>联系。</w:t>
      </w:r>
      <w:r>
        <w:rPr>
          <w:rFonts w:ascii="仿宋_GB2312" w:hAnsi="仿宋_GB2312" w:eastAsia="仿宋_GB2312" w:cs="仿宋_GB2312"/>
          <w:sz w:val="32"/>
          <w:szCs w:val="32"/>
        </w:rPr>
        <w:t>地址：滕州市善国南路86号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联系电话：0632-5583592</w:t>
      </w:r>
      <w:r>
        <w:rPr>
          <w:rFonts w:hint="eastAsia" w:ascii="仿宋_GB2312" w:hAnsi="仿宋_GB2312" w:eastAsia="仿宋_GB2312" w:cs="仿宋_GB2312"/>
          <w:sz w:val="32"/>
          <w:szCs w:val="32"/>
        </w:rPr>
        <w:t xml:space="preserve">。     </w:t>
      </w:r>
    </w:p>
    <w:sectPr>
      <w:footerReference r:id="rId3" w:type="default"/>
      <w:pgSz w:w="11906" w:h="16838"/>
      <w:pgMar w:top="1157" w:right="1406" w:bottom="1157" w:left="146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72B6B2-BA74-4CA8-A3AB-7863F19F6DFF}"/>
  </w:font>
  <w:font w:name="黑体">
    <w:panose1 w:val="02010609060101010101"/>
    <w:charset w:val="86"/>
    <w:family w:val="auto"/>
    <w:pitch w:val="default"/>
    <w:sig w:usb0="800002BF" w:usb1="38CF7CFA" w:usb2="00000016" w:usb3="00000000" w:csb0="00040001" w:csb1="00000000"/>
    <w:embedRegular r:id="rId2" w:fontKey="{5CFF7608-A592-43EF-AAF9-022B99CF75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DDEC434-B455-4A51-8E9B-C417EF3B8249}"/>
  </w:font>
  <w:font w:name="仿宋_GB2312">
    <w:panose1 w:val="02010609030101010101"/>
    <w:charset w:val="86"/>
    <w:family w:val="modern"/>
    <w:pitch w:val="default"/>
    <w:sig w:usb0="00000001" w:usb1="080E0000" w:usb2="00000000" w:usb3="00000000" w:csb0="00040000" w:csb1="00000000"/>
    <w:embedRegular r:id="rId4" w:fontKey="{3B8FDC89-FD20-4037-94E6-EA178D8AFC0E}"/>
  </w:font>
  <w:font w:name="方正小标宋简体">
    <w:panose1 w:val="03000509000000000000"/>
    <w:charset w:val="86"/>
    <w:family w:val="script"/>
    <w:pitch w:val="default"/>
    <w:sig w:usb0="00000001" w:usb1="080E0000" w:usb2="00000000" w:usb3="00000000" w:csb0="00040000" w:csb1="00000000"/>
    <w:embedRegular r:id="rId5" w:fontKey="{A0CF660B-6629-41DA-8778-B5231388BB19}"/>
  </w:font>
  <w:font w:name="Tahoma">
    <w:panose1 w:val="020B0604030504040204"/>
    <w:charset w:val="00"/>
    <w:family w:val="swiss"/>
    <w:pitch w:val="default"/>
    <w:sig w:usb0="E1002EFF" w:usb1="C000605B" w:usb2="00000029" w:usb3="00000000" w:csb0="200101FF" w:csb1="20280000"/>
    <w:embedRegular r:id="rId6" w:fontKey="{4C754F62-B25F-4FAE-BEA0-896FBF79E33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A257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BD573D">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9BD573D">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721EE"/>
    <w:multiLevelType w:val="singleLevel"/>
    <w:tmpl w:val="240721E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MzUxMWE1YzllNmFlYmU1ZTEzMzU0OTRhYTVjNGQifQ=="/>
  </w:docVars>
  <w:rsids>
    <w:rsidRoot w:val="678B13FD"/>
    <w:rsid w:val="000F7DC7"/>
    <w:rsid w:val="001008BE"/>
    <w:rsid w:val="001600C5"/>
    <w:rsid w:val="005D7667"/>
    <w:rsid w:val="006971BF"/>
    <w:rsid w:val="007827C5"/>
    <w:rsid w:val="00883ED9"/>
    <w:rsid w:val="009F49CC"/>
    <w:rsid w:val="00AB6BB4"/>
    <w:rsid w:val="00B970F7"/>
    <w:rsid w:val="00C73588"/>
    <w:rsid w:val="00D1449B"/>
    <w:rsid w:val="00D84190"/>
    <w:rsid w:val="00E34B1D"/>
    <w:rsid w:val="00FC65F1"/>
    <w:rsid w:val="02487AB4"/>
    <w:rsid w:val="05DA02F8"/>
    <w:rsid w:val="073E518E"/>
    <w:rsid w:val="08E32BBB"/>
    <w:rsid w:val="0AFD6A2F"/>
    <w:rsid w:val="0C9949B9"/>
    <w:rsid w:val="0CC710AB"/>
    <w:rsid w:val="0CC7358B"/>
    <w:rsid w:val="0DEB0BBD"/>
    <w:rsid w:val="100B7B64"/>
    <w:rsid w:val="1613133B"/>
    <w:rsid w:val="164F17E0"/>
    <w:rsid w:val="16C94348"/>
    <w:rsid w:val="1A5D2481"/>
    <w:rsid w:val="1A944BF5"/>
    <w:rsid w:val="1B855497"/>
    <w:rsid w:val="1B966EEF"/>
    <w:rsid w:val="1CAD6754"/>
    <w:rsid w:val="1CAE503A"/>
    <w:rsid w:val="1EE5125A"/>
    <w:rsid w:val="1FF20DFB"/>
    <w:rsid w:val="208316E6"/>
    <w:rsid w:val="20AB7ECD"/>
    <w:rsid w:val="20C932CD"/>
    <w:rsid w:val="21132B7C"/>
    <w:rsid w:val="24287EDB"/>
    <w:rsid w:val="25137802"/>
    <w:rsid w:val="25981AB5"/>
    <w:rsid w:val="26A635CB"/>
    <w:rsid w:val="26FC034A"/>
    <w:rsid w:val="274A4557"/>
    <w:rsid w:val="28CB2BA5"/>
    <w:rsid w:val="2931789B"/>
    <w:rsid w:val="2932200E"/>
    <w:rsid w:val="2A4B40AE"/>
    <w:rsid w:val="2ACF55E4"/>
    <w:rsid w:val="2C142823"/>
    <w:rsid w:val="2E0777D8"/>
    <w:rsid w:val="30F81EA6"/>
    <w:rsid w:val="31B9703B"/>
    <w:rsid w:val="32613669"/>
    <w:rsid w:val="32BB215C"/>
    <w:rsid w:val="35A53371"/>
    <w:rsid w:val="361F6A2E"/>
    <w:rsid w:val="3683376A"/>
    <w:rsid w:val="36F100CE"/>
    <w:rsid w:val="373C33F6"/>
    <w:rsid w:val="383E4AD7"/>
    <w:rsid w:val="38D72272"/>
    <w:rsid w:val="397311D7"/>
    <w:rsid w:val="3C135571"/>
    <w:rsid w:val="3C763BDF"/>
    <w:rsid w:val="3CA332BD"/>
    <w:rsid w:val="3CA84554"/>
    <w:rsid w:val="3CC53ECB"/>
    <w:rsid w:val="3DE43543"/>
    <w:rsid w:val="40730CFD"/>
    <w:rsid w:val="422250E7"/>
    <w:rsid w:val="43DC3D25"/>
    <w:rsid w:val="44177C0F"/>
    <w:rsid w:val="45DE5870"/>
    <w:rsid w:val="463D7DE3"/>
    <w:rsid w:val="4652735B"/>
    <w:rsid w:val="47536CF9"/>
    <w:rsid w:val="476E55D0"/>
    <w:rsid w:val="47AD13CF"/>
    <w:rsid w:val="486C78C6"/>
    <w:rsid w:val="4B215F25"/>
    <w:rsid w:val="4B420C7A"/>
    <w:rsid w:val="4CFB40DB"/>
    <w:rsid w:val="4DBC7167"/>
    <w:rsid w:val="4E284DAF"/>
    <w:rsid w:val="50D81F61"/>
    <w:rsid w:val="51E70B3A"/>
    <w:rsid w:val="52F46F3B"/>
    <w:rsid w:val="54D062C6"/>
    <w:rsid w:val="56692707"/>
    <w:rsid w:val="57530294"/>
    <w:rsid w:val="58C633EA"/>
    <w:rsid w:val="58CD02B9"/>
    <w:rsid w:val="58DC4756"/>
    <w:rsid w:val="59D6437F"/>
    <w:rsid w:val="5A000461"/>
    <w:rsid w:val="5A3410A5"/>
    <w:rsid w:val="5AF41016"/>
    <w:rsid w:val="5C394FAE"/>
    <w:rsid w:val="5EA54309"/>
    <w:rsid w:val="5F533996"/>
    <w:rsid w:val="5FFC63AF"/>
    <w:rsid w:val="60694ACA"/>
    <w:rsid w:val="609C184C"/>
    <w:rsid w:val="614554EA"/>
    <w:rsid w:val="622E4B9C"/>
    <w:rsid w:val="62AE7F66"/>
    <w:rsid w:val="64414AEB"/>
    <w:rsid w:val="6549565F"/>
    <w:rsid w:val="661172C1"/>
    <w:rsid w:val="66B46942"/>
    <w:rsid w:val="678B13FD"/>
    <w:rsid w:val="69C36A75"/>
    <w:rsid w:val="6A993671"/>
    <w:rsid w:val="6ABD052C"/>
    <w:rsid w:val="6B517D09"/>
    <w:rsid w:val="6BEA5A68"/>
    <w:rsid w:val="6C38636B"/>
    <w:rsid w:val="6CDB3FEF"/>
    <w:rsid w:val="6DCE3893"/>
    <w:rsid w:val="6F397B08"/>
    <w:rsid w:val="6F79782E"/>
    <w:rsid w:val="71054B0E"/>
    <w:rsid w:val="71DA7865"/>
    <w:rsid w:val="73564087"/>
    <w:rsid w:val="73F710CD"/>
    <w:rsid w:val="7578789B"/>
    <w:rsid w:val="763B293A"/>
    <w:rsid w:val="78CC0FF1"/>
    <w:rsid w:val="79477948"/>
    <w:rsid w:val="7ADE0E8D"/>
    <w:rsid w:val="7D2C4E96"/>
    <w:rsid w:val="7DDE64AF"/>
    <w:rsid w:val="7FB01B29"/>
    <w:rsid w:val="DB67F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仿宋_GB2312" w:hAnsi="仿宋_GB2312" w:eastAsia="仿宋_GB2312" w:cs="仿宋_GB2312"/>
      <w:sz w:val="32"/>
      <w:szCs w:val="32"/>
      <w:lang w:val="zh-CN" w:bidi="zh-CN"/>
    </w:rPr>
  </w:style>
  <w:style w:type="paragraph" w:styleId="4">
    <w:name w:val="Balloon Text"/>
    <w:basedOn w:val="1"/>
    <w:link w:val="15"/>
    <w:autoRedefine/>
    <w:qFormat/>
    <w:uiPriority w:val="0"/>
    <w:rPr>
      <w:sz w:val="18"/>
      <w:szCs w:val="18"/>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5">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近</a:t>
            </a:r>
            <a:r>
              <a:rPr lang="en-US" altLang="zh-CN"/>
              <a:t>3</a:t>
            </a:r>
            <a:r>
              <a:rPr altLang="en-US"/>
              <a:t>年</a:t>
            </a:r>
            <a:r>
              <a:t>依申请公开数量变化</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系列 1</c:v>
                </c:pt>
              </c:strCache>
            </c:strRef>
          </c:tx>
          <c:spPr>
            <a:solidFill>
              <a:srgbClr val="ED7D31"/>
            </a:solidFill>
            <a:ln>
              <a:noFill/>
            </a:ln>
            <a:effectLst/>
          </c:spPr>
          <c:invertIfNegative val="0"/>
          <c:dPt>
            <c:idx val="1"/>
            <c:invertIfNegative val="0"/>
            <c:bubble3D val="0"/>
            <c:spPr>
              <a:solidFill>
                <a:srgbClr val="4472C4">
                  <a:lumMod val="60000"/>
                  <a:lumOff val="40000"/>
                </a:srgbClr>
              </a:solidFill>
              <a:ln>
                <a:noFill/>
              </a:ln>
              <a:effectLst/>
            </c:spPr>
          </c:dPt>
          <c:dPt>
            <c:idx val="2"/>
            <c:invertIfNegative val="0"/>
            <c:bubble3D val="0"/>
            <c:spPr>
              <a:solidFill>
                <a:srgbClr val="70AD47"/>
              </a:solidFill>
              <a:ln>
                <a:noFill/>
              </a:ln>
              <a:effectLst/>
            </c:spPr>
          </c:dPt>
          <c:dLbls>
            <c:delete val="1"/>
          </c:dLbls>
          <c:cat>
            <c:strRef>
              <c:f>Sheet1!$A$2:$A$4</c:f>
              <c:strCache>
                <c:ptCount val="3"/>
                <c:pt idx="0">
                  <c:v>2022年</c:v>
                </c:pt>
                <c:pt idx="1">
                  <c:v>2023年</c:v>
                </c:pt>
                <c:pt idx="2">
                  <c:v>2024年</c:v>
                </c:pt>
              </c:strCache>
            </c:strRef>
          </c:cat>
          <c:val>
            <c:numRef>
              <c:f>Sheet1!$B$2:$B$4</c:f>
              <c:numCache>
                <c:formatCode>General</c:formatCode>
                <c:ptCount val="3"/>
                <c:pt idx="0">
                  <c:v>1</c:v>
                </c:pt>
                <c:pt idx="1">
                  <c:v>4</c:v>
                </c:pt>
                <c:pt idx="2">
                  <c:v>3</c:v>
                </c:pt>
              </c:numCache>
            </c:numRef>
          </c:val>
        </c:ser>
        <c:ser>
          <c:idx val="1"/>
          <c:order val="1"/>
          <c:tx>
            <c:strRef>
              <c:f>Sheet1!#REF!</c:f>
              <c:strCache>
                <c:ptCount val="1"/>
                <c:pt idx="0">
                  <c:v/>
                </c:pt>
              </c:strCache>
            </c:strRef>
          </c:tx>
          <c:spPr>
            <a:solidFill>
              <a:srgbClr val="ED7D31"/>
            </a:solidFill>
            <a:ln>
              <a:noFill/>
            </a:ln>
            <a:effectLst/>
          </c:spPr>
          <c:invertIfNegative val="0"/>
          <c:dLbls>
            <c:delete val="1"/>
          </c:dLbls>
          <c:cat>
            <c:strRef>
              <c:f>Sheet1!$A$2:$A$4</c:f>
              <c:strCache>
                <c:ptCount val="3"/>
                <c:pt idx="0">
                  <c:v>2022年</c:v>
                </c:pt>
                <c:pt idx="1">
                  <c:v>2023年</c:v>
                </c:pt>
                <c:pt idx="2">
                  <c:v>2024年</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rgbClr val="ED7D31"/>
            </a:solidFill>
            <a:ln>
              <a:noFill/>
            </a:ln>
            <a:effectLst/>
          </c:spPr>
          <c:invertIfNegative val="0"/>
          <c:dLbls>
            <c:delete val="1"/>
          </c:dLbls>
          <c:cat>
            <c:strRef>
              <c:f>Sheet1!$A$2:$A$4</c:f>
              <c:strCache>
                <c:ptCount val="3"/>
                <c:pt idx="0">
                  <c:v>2022年</c:v>
                </c:pt>
                <c:pt idx="1">
                  <c:v>2023年</c:v>
                </c:pt>
                <c:pt idx="2">
                  <c:v>2024年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00"/>
        <c:overlap val="100"/>
        <c:axId val="782504061"/>
        <c:axId val="153093917"/>
      </c:barChart>
      <c:catAx>
        <c:axId val="782504061"/>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53093917"/>
        <c:crosses val="autoZero"/>
        <c:auto val="1"/>
        <c:lblAlgn val="ctr"/>
        <c:lblOffset val="100"/>
        <c:noMultiLvlLbl val="0"/>
      </c:catAx>
      <c:valAx>
        <c:axId val="153093917"/>
        <c:scaling>
          <c:orientation val="minMax"/>
        </c:scaling>
        <c:delete val="0"/>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782504061"/>
        <c:crosses val="autoZero"/>
        <c:crossBetween val="between"/>
      </c:valAx>
      <c:spPr>
        <a:noFill/>
        <a:ln>
          <a:noFill/>
        </a:ln>
        <a:effectLst/>
      </c:spPr>
    </c:plotArea>
    <c:plotVisOnly val="1"/>
    <c:dispBlanksAs val="gap"/>
    <c:showDLblsOverMax val="0"/>
    <c:extLst>
      <c:ext uri="{0b15fc19-7d7d-44ad-8c2d-2c3a37ce22c3}">
        <chartProps xmlns="https://web.wps.cn/et/2018/main" chartId="{3e676528-dd39-43f2-bb08-7bc4daeb08de}"/>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86">
    <a:dk1>
      <a:srgbClr val="000000"/>
    </a:dk1>
    <a:lt1>
      <a:srgbClr val="FFFFFF"/>
    </a:lt1>
    <a:dk2>
      <a:srgbClr val="44546A"/>
    </a:dk2>
    <a:lt2>
      <a:srgbClr val="E7E6E6"/>
    </a:lt2>
    <a:accent1>
      <a:srgbClr val="ED9682"/>
    </a:accent1>
    <a:accent2>
      <a:srgbClr val="BC3E54"/>
    </a:accent2>
    <a:accent3>
      <a:srgbClr val="EE7755"/>
    </a:accent3>
    <a:accent4>
      <a:srgbClr val="FED593"/>
    </a:accent4>
    <a:accent5>
      <a:srgbClr val="F4C0B4"/>
    </a:accent5>
    <a:accent6>
      <a:srgbClr val="EDA031"/>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2280</Words>
  <Characters>2400</Characters>
  <Lines>5</Lines>
  <Paragraphs>5</Paragraphs>
  <TotalTime>54</TotalTime>
  <ScaleCrop>false</ScaleCrop>
  <LinksUpToDate>false</LinksUpToDate>
  <CharactersWithSpaces>2409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2021-01-25T09:43:00Z</dcterms:created>
  <dc:creator>Administrator</dc:creator>
  <cp:lastModifiedBy>百事可乐</cp:lastModifiedBy>
  <cp:lastPrinted>2023-01-16T10:54:00Z</cp:lastPrinted>
  <dcterms:modified xsi:type="dcterms:W3CDTF">2025-01-13T06:55:00Z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F248933D35414829902AAB89F3D34E0B_13</vt:lpwstr>
  </property>
  <property fmtid="{D5CDD505-2E9C-101B-9397-08002B2CF9AE}" pid="4" name="KSOTemplateDocerSaveRecord">
    <vt:lpwstr>eyJoZGlkIjoiZGVjMzUxMWE1YzllNmFlYmU1ZTEzMzU0OTRhYTVjNGQiLCJ1c2VySWQiOiI5NjMyOTUxOTQifQ==</vt:lpwstr>
  </property>
</Properties>
</file>