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420"/>
        <w:jc w:val="both"/>
        <w:textAlignment w:val="auto"/>
        <w:rPr>
          <w:rFonts w:hint="eastAsia" w:ascii="方正小标宋简体" w:hAnsi="方正小标宋简体" w:eastAsia="方正小标宋简体" w:cs="方正小标宋简体"/>
          <w:color w:val="auto"/>
          <w:kern w:val="2"/>
          <w:sz w:val="44"/>
          <w:szCs w:val="44"/>
          <w:lang w:val="en-US" w:eastAsia="zh-CN" w:bidi="ar-SA"/>
        </w:rPr>
      </w:pP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420"/>
        <w:jc w:val="center"/>
        <w:textAlignment w:val="auto"/>
        <w:rPr>
          <w:rFonts w:hint="eastAsia" w:ascii="方正小标宋简体" w:hAnsi="方正小标宋简体" w:eastAsia="方正小标宋简体" w:cs="方正小标宋简体"/>
          <w:color w:val="auto"/>
          <w:kern w:val="2"/>
          <w:sz w:val="44"/>
          <w:szCs w:val="44"/>
          <w:lang w:val="en-US" w:eastAsia="zh-CN" w:bidi="ar-SA"/>
        </w:rPr>
      </w:pPr>
      <w:r>
        <w:rPr>
          <w:rFonts w:hint="eastAsia" w:ascii="方正小标宋简体" w:hAnsi="方正小标宋简体" w:eastAsia="方正小标宋简体" w:cs="方正小标宋简体"/>
          <w:color w:val="auto"/>
          <w:kern w:val="2"/>
          <w:sz w:val="44"/>
          <w:szCs w:val="44"/>
          <w:lang w:val="en-US" w:eastAsia="zh-CN" w:bidi="ar-SA"/>
        </w:rPr>
        <w:t>滕州市人民政府</w:t>
      </w: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420"/>
        <w:jc w:val="center"/>
        <w:textAlignment w:val="auto"/>
        <w:rPr>
          <w:rFonts w:hint="eastAsia" w:ascii="方正小标宋简体" w:hAnsi="方正小标宋简体" w:eastAsia="方正小标宋简体" w:cs="方正小标宋简体"/>
          <w:color w:val="auto"/>
          <w:kern w:val="2"/>
          <w:sz w:val="44"/>
          <w:szCs w:val="44"/>
          <w:lang w:val="en-US" w:eastAsia="zh-CN" w:bidi="ar-SA"/>
        </w:rPr>
      </w:pPr>
      <w:r>
        <w:rPr>
          <w:rFonts w:hint="eastAsia" w:ascii="方正小标宋简体" w:hAnsi="方正小标宋简体" w:eastAsia="方正小标宋简体" w:cs="方正小标宋简体"/>
          <w:color w:val="auto"/>
          <w:kern w:val="2"/>
          <w:sz w:val="44"/>
          <w:szCs w:val="44"/>
          <w:lang w:val="en-US" w:eastAsia="zh-CN" w:bidi="ar-SA"/>
        </w:rPr>
        <w:t>2023年政府信息公开工作年度报告</w:t>
      </w: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40"/>
        <w:jc w:val="both"/>
        <w:textAlignment w:val="auto"/>
        <w:rPr>
          <w:rFonts w:hint="eastAsia" w:ascii="仿宋_GB2312" w:eastAsia="仿宋_GB2312" w:hAnsiTheme="minorHAnsi" w:cstheme="minorBidi"/>
          <w:kern w:val="2"/>
          <w:sz w:val="32"/>
          <w:szCs w:val="32"/>
          <w:lang w:val="en-US" w:eastAsia="zh-CN" w:bidi="ar-SA"/>
        </w:rPr>
      </w:pPr>
    </w:p>
    <w:p>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仿宋_GB2312" w:eastAsia="仿宋_GB2312" w:cstheme="minorBidi"/>
          <w:kern w:val="2"/>
          <w:sz w:val="32"/>
          <w:szCs w:val="32"/>
          <w:highlight w:val="none"/>
          <w:lang w:val="en-US" w:eastAsia="zh-CN" w:bidi="ar-SA"/>
        </w:rPr>
      </w:pPr>
      <w:r>
        <w:rPr>
          <w:rFonts w:hint="eastAsia" w:ascii="仿宋_GB2312" w:eastAsia="仿宋_GB2312" w:cstheme="minorBidi"/>
          <w:kern w:val="2"/>
          <w:sz w:val="32"/>
          <w:szCs w:val="32"/>
          <w:highlight w:val="none"/>
          <w:lang w:val="en-US" w:eastAsia="zh-CN" w:bidi="ar-SA"/>
        </w:rPr>
        <w:t>按照《中华人民共和国政府信息公开条例》和《国务院办公厅政府信息与政务公开办公室关于印发</w:t>
      </w:r>
      <w:r>
        <w:rPr>
          <w:rFonts w:hint="default" w:ascii="仿宋_GB2312" w:eastAsia="仿宋_GB2312" w:cstheme="minorBidi"/>
          <w:kern w:val="2"/>
          <w:sz w:val="32"/>
          <w:szCs w:val="32"/>
          <w:highlight w:val="none"/>
          <w:lang w:val="en" w:eastAsia="zh-CN" w:bidi="ar-SA"/>
        </w:rPr>
        <w:t>&lt;</w:t>
      </w:r>
      <w:r>
        <w:rPr>
          <w:rFonts w:hint="eastAsia" w:ascii="仿宋_GB2312" w:eastAsia="仿宋_GB2312" w:cstheme="minorBidi"/>
          <w:kern w:val="2"/>
          <w:sz w:val="32"/>
          <w:szCs w:val="32"/>
          <w:highlight w:val="none"/>
          <w:lang w:val="en-US" w:eastAsia="zh-CN" w:bidi="ar-SA"/>
        </w:rPr>
        <w:t>中华人民共和国政府信息公开工作年度报告格式</w:t>
      </w:r>
      <w:r>
        <w:rPr>
          <w:rFonts w:hint="default" w:ascii="仿宋_GB2312" w:eastAsia="仿宋_GB2312" w:cstheme="minorBidi"/>
          <w:kern w:val="2"/>
          <w:sz w:val="32"/>
          <w:szCs w:val="32"/>
          <w:highlight w:val="none"/>
          <w:lang w:val="en" w:eastAsia="zh-CN" w:bidi="ar-SA"/>
        </w:rPr>
        <w:t>&gt;</w:t>
      </w:r>
      <w:r>
        <w:rPr>
          <w:rFonts w:hint="eastAsia" w:ascii="仿宋_GB2312" w:eastAsia="仿宋_GB2312" w:cstheme="minorBidi"/>
          <w:kern w:val="2"/>
          <w:sz w:val="32"/>
          <w:szCs w:val="32"/>
          <w:highlight w:val="none"/>
          <w:lang w:val="en-US" w:eastAsia="zh-CN" w:bidi="ar-SA"/>
        </w:rPr>
        <w:t>的通知》（国办公开办函〔202</w:t>
      </w:r>
      <w:r>
        <w:rPr>
          <w:rFonts w:hint="default" w:ascii="仿宋_GB2312" w:eastAsia="仿宋_GB2312" w:cstheme="minorBidi"/>
          <w:kern w:val="2"/>
          <w:sz w:val="32"/>
          <w:szCs w:val="32"/>
          <w:highlight w:val="none"/>
          <w:lang w:val="en" w:eastAsia="zh-CN" w:bidi="ar-SA"/>
        </w:rPr>
        <w:t>1</w:t>
      </w:r>
      <w:r>
        <w:rPr>
          <w:rFonts w:hint="eastAsia" w:ascii="仿宋_GB2312" w:eastAsia="仿宋_GB2312" w:cstheme="minorBidi"/>
          <w:kern w:val="2"/>
          <w:sz w:val="32"/>
          <w:szCs w:val="32"/>
          <w:highlight w:val="none"/>
          <w:lang w:val="en-US" w:eastAsia="zh-CN" w:bidi="ar-SA"/>
        </w:rPr>
        <w:t>〕</w:t>
      </w:r>
      <w:r>
        <w:rPr>
          <w:rFonts w:hint="default" w:ascii="仿宋_GB2312" w:eastAsia="仿宋_GB2312" w:cstheme="minorBidi"/>
          <w:kern w:val="2"/>
          <w:sz w:val="32"/>
          <w:szCs w:val="32"/>
          <w:highlight w:val="none"/>
          <w:lang w:val="en" w:eastAsia="zh-CN" w:bidi="ar-SA"/>
        </w:rPr>
        <w:t>30</w:t>
      </w:r>
      <w:r>
        <w:rPr>
          <w:rFonts w:hint="eastAsia" w:ascii="仿宋_GB2312" w:eastAsia="仿宋_GB2312" w:cstheme="minorBidi"/>
          <w:kern w:val="2"/>
          <w:sz w:val="32"/>
          <w:szCs w:val="32"/>
          <w:highlight w:val="none"/>
          <w:lang w:val="en-US" w:eastAsia="zh-CN" w:bidi="ar-SA"/>
        </w:rPr>
        <w:t>号）以及有关文件要求，结合滕州市人民政府2023年度信息公开工作实际，编制了本报告。报告主要内容包括：总体情况、主动公开政府信息情况、收到和处理政府信息公开申请情况、政府信息公开行政复议、行政诉讼情况、存在的主要问题和改进情况和其他需要报告的事项。本报告所列数据的统计时限自2023年1月1日起至2023年12月31日止。</w:t>
      </w: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640"/>
        <w:jc w:val="both"/>
        <w:textAlignment w:val="auto"/>
        <w:rPr>
          <w:rFonts w:hint="eastAsia" w:ascii="黑体" w:hAnsi="黑体" w:eastAsia="黑体" w:cs="黑体"/>
          <w:color w:val="333333"/>
          <w:sz w:val="32"/>
          <w:szCs w:val="32"/>
          <w:highlight w:val="none"/>
          <w:shd w:val="clear" w:color="auto" w:fill="FFFFFF"/>
        </w:rPr>
      </w:pPr>
      <w:r>
        <w:rPr>
          <w:rFonts w:hint="eastAsia" w:ascii="黑体" w:hAnsi="黑体" w:eastAsia="黑体" w:cs="黑体"/>
          <w:color w:val="333333"/>
          <w:sz w:val="32"/>
          <w:szCs w:val="32"/>
          <w:highlight w:val="none"/>
          <w:shd w:val="clear" w:color="auto" w:fill="FFFFFF"/>
        </w:rPr>
        <w:t>一、总体情况</w:t>
      </w:r>
    </w:p>
    <w:p>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仿宋_GB2312" w:eastAsia="仿宋_GB2312" w:cstheme="minorBidi"/>
          <w:kern w:val="2"/>
          <w:sz w:val="32"/>
          <w:szCs w:val="32"/>
          <w:highlight w:val="none"/>
          <w:lang w:val="en-US" w:eastAsia="zh-CN" w:bidi="ar-SA"/>
        </w:rPr>
      </w:pPr>
      <w:r>
        <w:rPr>
          <w:rFonts w:hint="eastAsia" w:ascii="仿宋_GB2312" w:eastAsia="仿宋_GB2312" w:cstheme="minorBidi"/>
          <w:kern w:val="2"/>
          <w:sz w:val="32"/>
          <w:szCs w:val="32"/>
          <w:highlight w:val="none"/>
          <w:lang w:val="en-US" w:eastAsia="zh-CN" w:bidi="ar-SA"/>
        </w:rPr>
        <w:t>2023年，滕州市紧紧围绕国家、省和枣庄市关于全面深化政务公开的工作部署，坚持以人民为中心，主动作为，积极探索，重点做好政府信息制度建设、主动公开、依申请公开、平台建设、政策解读等工作，以公开促落实、促规范、促服务，全面提升政务公开质量和实效。</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640" w:firstLineChars="200"/>
        <w:jc w:val="left"/>
        <w:textAlignment w:val="auto"/>
        <w:rPr>
          <w:rFonts w:hint="eastAsia" w:ascii="楷体" w:hAnsi="楷体" w:eastAsia="楷体" w:cs="楷体"/>
          <w:kern w:val="2"/>
          <w:sz w:val="32"/>
          <w:szCs w:val="32"/>
          <w:highlight w:val="none"/>
          <w:lang w:val="en-US" w:eastAsia="zh-CN" w:bidi="ar-SA"/>
        </w:rPr>
      </w:pPr>
      <w:r>
        <w:rPr>
          <w:rFonts w:hint="eastAsia" w:ascii="楷体" w:hAnsi="楷体" w:eastAsia="楷体" w:cs="楷体"/>
          <w:kern w:val="2"/>
          <w:sz w:val="32"/>
          <w:szCs w:val="32"/>
          <w:highlight w:val="none"/>
          <w:lang w:val="en-US" w:eastAsia="zh-CN" w:bidi="ar-SA"/>
        </w:rPr>
        <w:t>（一）主动公开情况</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2" w:firstLineChars="200"/>
        <w:jc w:val="left"/>
        <w:textAlignment w:val="auto"/>
        <w:rPr>
          <w:rFonts w:hint="eastAsia" w:ascii="仿宋_GB2312" w:hAnsi="宋体" w:eastAsia="仿宋_GB2312" w:cs="仿宋_GB2312"/>
          <w:i w:val="0"/>
          <w:iCs w:val="0"/>
          <w:caps w:val="0"/>
          <w:color w:val="000000"/>
          <w:spacing w:val="0"/>
          <w:sz w:val="32"/>
          <w:szCs w:val="32"/>
          <w:lang w:val="en-US" w:eastAsia="zh-CN"/>
        </w:rPr>
      </w:pPr>
      <w:r>
        <w:rPr>
          <w:rFonts w:hint="eastAsia" w:ascii="仿宋_GB2312" w:eastAsia="仿宋_GB2312" w:cstheme="minorBidi"/>
          <w:b/>
          <w:bCs/>
          <w:kern w:val="2"/>
          <w:sz w:val="32"/>
          <w:szCs w:val="32"/>
          <w:highlight w:val="none"/>
          <w:lang w:val="en-US" w:eastAsia="zh-CN" w:bidi="ar-SA"/>
        </w:rPr>
        <w:t>1.紧扣中心工作，深化主动公开。</w:t>
      </w:r>
      <w:r>
        <w:rPr>
          <w:rFonts w:hint="default" w:ascii="仿宋_GB2312" w:eastAsia="仿宋_GB2312" w:hAnsiTheme="minorHAnsi" w:cstheme="minorBidi"/>
          <w:kern w:val="2"/>
          <w:sz w:val="32"/>
          <w:szCs w:val="32"/>
          <w:highlight w:val="none"/>
          <w:lang w:val="en-US" w:eastAsia="zh-CN" w:bidi="ar-SA"/>
        </w:rPr>
        <w:t>认真执行《政府信息公开条例》相关规定，</w:t>
      </w:r>
      <w:r>
        <w:rPr>
          <w:rFonts w:hint="eastAsia" w:ascii="仿宋_GB2312" w:eastAsia="仿宋_GB2312" w:hAnsiTheme="minorHAnsi" w:cstheme="minorBidi"/>
          <w:kern w:val="2"/>
          <w:sz w:val="32"/>
          <w:szCs w:val="32"/>
          <w:highlight w:val="none"/>
          <w:lang w:val="en-US" w:eastAsia="zh-CN" w:bidi="ar-SA"/>
        </w:rPr>
        <w:t>全面落实政府信息公开保密审查制度，及时公开规范政策文件和政府信息。全年通过滕州市人民政府官网政务公开专栏发布规范性文件</w:t>
      </w:r>
      <w:r>
        <w:rPr>
          <w:rFonts w:hint="eastAsia" w:ascii="仿宋_GB2312" w:eastAsia="仿宋_GB2312" w:cstheme="minorBidi"/>
          <w:kern w:val="2"/>
          <w:sz w:val="32"/>
          <w:szCs w:val="32"/>
          <w:highlight w:val="none"/>
          <w:lang w:val="en-US" w:eastAsia="zh-CN" w:bidi="ar-SA"/>
        </w:rPr>
        <w:t>2</w:t>
      </w:r>
      <w:r>
        <w:rPr>
          <w:rFonts w:hint="eastAsia" w:ascii="仿宋_GB2312" w:eastAsia="仿宋_GB2312" w:hAnsiTheme="minorHAnsi" w:cstheme="minorBidi"/>
          <w:kern w:val="2"/>
          <w:sz w:val="32"/>
          <w:szCs w:val="32"/>
          <w:highlight w:val="none"/>
          <w:lang w:val="en-US" w:eastAsia="zh-CN" w:bidi="ar-SA"/>
        </w:rPr>
        <w:t>条，市政府文件</w:t>
      </w:r>
      <w:r>
        <w:rPr>
          <w:rFonts w:hint="eastAsia" w:ascii="仿宋_GB2312" w:eastAsia="仿宋_GB2312" w:cstheme="minorBidi"/>
          <w:kern w:val="2"/>
          <w:sz w:val="32"/>
          <w:szCs w:val="32"/>
          <w:highlight w:val="none"/>
          <w:lang w:val="en-US" w:eastAsia="zh-CN" w:bidi="ar-SA"/>
        </w:rPr>
        <w:t>13</w:t>
      </w:r>
      <w:r>
        <w:rPr>
          <w:rFonts w:hint="eastAsia" w:ascii="仿宋_GB2312" w:eastAsia="仿宋_GB2312" w:hAnsiTheme="minorHAnsi" w:cstheme="minorBidi"/>
          <w:kern w:val="2"/>
          <w:sz w:val="32"/>
          <w:szCs w:val="32"/>
          <w:highlight w:val="none"/>
          <w:lang w:val="en-US" w:eastAsia="zh-CN" w:bidi="ar-SA"/>
        </w:rPr>
        <w:t>条，所有文件均</w:t>
      </w:r>
      <w:r>
        <w:rPr>
          <w:rFonts w:hint="eastAsia" w:ascii="仿宋_GB2312" w:eastAsia="仿宋_GB2312" w:cstheme="minorBidi"/>
          <w:kern w:val="2"/>
          <w:sz w:val="32"/>
          <w:szCs w:val="32"/>
          <w:highlight w:val="none"/>
          <w:lang w:val="en-US" w:eastAsia="zh-CN" w:bidi="ar-SA"/>
        </w:rPr>
        <w:t>有政策解读，部分</w:t>
      </w:r>
      <w:r>
        <w:rPr>
          <w:rFonts w:hint="eastAsia" w:ascii="仿宋_GB2312" w:eastAsia="仿宋_GB2312" w:hAnsiTheme="minorHAnsi" w:cstheme="minorBidi"/>
          <w:kern w:val="2"/>
          <w:sz w:val="32"/>
          <w:szCs w:val="32"/>
          <w:highlight w:val="none"/>
          <w:lang w:val="en-US" w:eastAsia="zh-CN" w:bidi="ar-SA"/>
        </w:rPr>
        <w:t>采用负责人解读、专家解读、动漫解读等多元化方式丰富解读形式，实现政策解读与政策文件相互关联，提高解读效力。具体可参阅“政策解读专栏”</w:t>
      </w:r>
      <w:r>
        <w:rPr>
          <w:rFonts w:hint="eastAsia" w:ascii="仿宋_GB2312" w:hAnsi="宋体" w:eastAsia="仿宋_GB2312" w:cs="仿宋_GB2312"/>
          <w:i w:val="0"/>
          <w:iCs w:val="0"/>
          <w:caps w:val="0"/>
          <w:color w:val="000000"/>
          <w:spacing w:val="0"/>
          <w:sz w:val="32"/>
          <w:szCs w:val="32"/>
          <w:lang w:val="en-US" w:eastAsia="zh-CN"/>
        </w:rPr>
        <w:t>http://www.tengzhou.gov.cn/zwgk/zwgkzt/zcjdzl/</w:t>
      </w:r>
    </w:p>
    <w:p>
      <w:pPr>
        <w:pStyle w:val="2"/>
        <w:keepNext w:val="0"/>
        <w:keepLines w:val="0"/>
        <w:pageBreakBefore w:val="0"/>
        <w:widowControl w:val="0"/>
        <w:kinsoku/>
        <w:wordWrap/>
        <w:overflowPunct/>
        <w:topLinePunct w:val="0"/>
        <w:autoSpaceDE/>
        <w:autoSpaceDN/>
        <w:bidi w:val="0"/>
        <w:adjustRightInd/>
        <w:snapToGrid/>
        <w:spacing w:line="400" w:lineRule="exact"/>
        <w:ind w:firstLine="703"/>
        <w:textAlignment w:val="auto"/>
        <w:rPr>
          <w:rFonts w:hint="eastAsia"/>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宋体" w:eastAsia="仿宋_GB2312" w:cs="仿宋_GB2312"/>
          <w:i w:val="0"/>
          <w:iCs w:val="0"/>
          <w:caps w:val="0"/>
          <w:color w:val="000000"/>
          <w:spacing w:val="0"/>
          <w:sz w:val="32"/>
          <w:szCs w:val="32"/>
          <w:lang w:val="en-US" w:eastAsia="zh-CN"/>
        </w:rPr>
      </w:pPr>
      <w:r>
        <w:rPr>
          <w:rFonts w:hint="eastAsia"/>
          <w:lang w:val="en-US" w:eastAsia="zh-CN"/>
        </w:rPr>
        <w:drawing>
          <wp:inline distT="0" distB="0" distL="114300" distR="114300">
            <wp:extent cx="5269865" cy="2425700"/>
            <wp:effectExtent l="0" t="0" r="6985" b="12700"/>
            <wp:docPr id="5" name="图片 5" descr="截图_选择区域_202402051619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截图_选择区域_20240205161939"/>
                    <pic:cNvPicPr>
                      <a:picLocks noChangeAspect="true"/>
                    </pic:cNvPicPr>
                  </pic:nvPicPr>
                  <pic:blipFill>
                    <a:blip r:embed="rId6"/>
                    <a:stretch>
                      <a:fillRect/>
                    </a:stretch>
                  </pic:blipFill>
                  <pic:spPr>
                    <a:xfrm>
                      <a:off x="0" y="0"/>
                      <a:ext cx="5269865" cy="2425700"/>
                    </a:xfrm>
                    <a:prstGeom prst="rect">
                      <a:avLst/>
                    </a:prstGeom>
                  </pic:spPr>
                </pic:pic>
              </a:graphicData>
            </a:graphic>
          </wp:inline>
        </w:drawing>
      </w:r>
      <w:r>
        <w:rPr>
          <w:rFonts w:hint="eastAsia" w:ascii="仿宋_GB2312" w:hAnsi="宋体" w:eastAsia="仿宋_GB2312" w:cs="仿宋_GB2312"/>
          <w:i w:val="0"/>
          <w:iCs w:val="0"/>
          <w:caps w:val="0"/>
          <w:color w:val="000000"/>
          <w:spacing w:val="0"/>
          <w:sz w:val="32"/>
          <w:szCs w:val="32"/>
          <w:lang w:val="en-US" w:eastAsia="zh-CN"/>
        </w:rPr>
        <w:drawing>
          <wp:inline distT="0" distB="0" distL="114300" distR="114300">
            <wp:extent cx="5266690" cy="3158490"/>
            <wp:effectExtent l="0" t="0" r="10160" b="3810"/>
            <wp:docPr id="4" name="图片 4" descr="截图_选择区域_202402051617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截图_选择区域_20240205161703"/>
                    <pic:cNvPicPr>
                      <a:picLocks noChangeAspect="true"/>
                    </pic:cNvPicPr>
                  </pic:nvPicPr>
                  <pic:blipFill>
                    <a:blip r:embed="rId7"/>
                    <a:stretch>
                      <a:fillRect/>
                    </a:stretch>
                  </pic:blipFill>
                  <pic:spPr>
                    <a:xfrm>
                      <a:off x="0" y="0"/>
                      <a:ext cx="5266690" cy="315849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ÃƒÂ¥Ã‚Â¾Ã‚Â®ÃƒÂ¨Ã‚Â½Ã‚Â¯ÃƒÂ©Ã¢â" w:eastAsia="仿宋_GB2312" w:cs="仿宋_GB2312"/>
          <w:i w:val="0"/>
          <w:caps w:val="0"/>
          <w:color w:val="000000"/>
          <w:spacing w:val="0"/>
          <w:kern w:val="0"/>
          <w:sz w:val="32"/>
          <w:szCs w:val="32"/>
          <w:highlight w:val="none"/>
          <w:shd w:val="clear" w:fill="FFFFFF"/>
          <w:lang w:val="en-US" w:eastAsia="zh-CN" w:bidi="ar"/>
        </w:rPr>
      </w:pPr>
      <w:r>
        <w:rPr>
          <w:rFonts w:hint="eastAsia" w:ascii="仿宋_GB2312" w:eastAsia="仿宋_GB2312" w:hAnsiTheme="minorHAnsi" w:cstheme="minorBidi"/>
          <w:kern w:val="2"/>
          <w:sz w:val="32"/>
          <w:szCs w:val="32"/>
          <w:highlight w:val="none"/>
          <w:lang w:val="en-US" w:eastAsia="zh-CN" w:bidi="ar-SA"/>
        </w:rPr>
        <w:t>及时发布政府全体会议、常务会议信息，并发布事项解读、会议要点回放；</w:t>
      </w:r>
      <w:r>
        <w:rPr>
          <w:rFonts w:hint="eastAsia" w:ascii="仿宋_GB2312" w:hAnsi="ÃƒÂ¥Ã‚Â¾Ã‚Â®ÃƒÂ¨Ã‚Â½Ã‚Â¯ÃƒÂ©Ã¢â" w:eastAsia="仿宋_GB2312" w:cs="仿宋_GB2312"/>
          <w:i w:val="0"/>
          <w:caps w:val="0"/>
          <w:color w:val="000000"/>
          <w:spacing w:val="0"/>
          <w:kern w:val="0"/>
          <w:sz w:val="32"/>
          <w:szCs w:val="32"/>
          <w:highlight w:val="none"/>
          <w:shd w:val="clear" w:fill="FFFFFF"/>
          <w:lang w:val="en-US" w:eastAsia="zh-CN" w:bidi="ar"/>
        </w:rPr>
        <w:t>全年解读会议</w:t>
      </w:r>
      <w:r>
        <w:rPr>
          <w:rFonts w:hint="eastAsia" w:ascii="仿宋_GB2312" w:hAnsi="Calibri" w:eastAsia="仿宋_GB2312" w:cs="仿宋_GB2312"/>
          <w:i w:val="0"/>
          <w:caps w:val="0"/>
          <w:color w:val="000000"/>
          <w:spacing w:val="0"/>
          <w:kern w:val="0"/>
          <w:sz w:val="32"/>
          <w:szCs w:val="32"/>
          <w:highlight w:val="none"/>
          <w:shd w:val="clear" w:fill="FFFFFF"/>
          <w:lang w:val="en-US" w:eastAsia="zh-CN" w:bidi="ar"/>
        </w:rPr>
        <w:t>19</w:t>
      </w:r>
      <w:r>
        <w:rPr>
          <w:rFonts w:hint="eastAsia" w:ascii="仿宋_GB2312" w:hAnsi="ÃƒÂ¥Ã‚Â¾Ã‚Â®ÃƒÂ¨Ã‚Â½Ã‚Â¯ÃƒÂ©Ã¢â" w:eastAsia="仿宋_GB2312" w:cs="仿宋_GB2312"/>
          <w:i w:val="0"/>
          <w:caps w:val="0"/>
          <w:color w:val="000000"/>
          <w:spacing w:val="0"/>
          <w:kern w:val="0"/>
          <w:sz w:val="32"/>
          <w:szCs w:val="32"/>
          <w:highlight w:val="none"/>
          <w:shd w:val="clear" w:fill="FFFFFF"/>
          <w:lang w:val="en-US" w:eastAsia="zh-CN" w:bidi="ar"/>
        </w:rPr>
        <w:t>次。解读政策</w:t>
      </w:r>
      <w:r>
        <w:rPr>
          <w:rFonts w:hint="eastAsia" w:ascii="仿宋_GB2312" w:hAnsi="Calibri" w:eastAsia="仿宋_GB2312" w:cs="仿宋_GB2312"/>
          <w:i w:val="0"/>
          <w:caps w:val="0"/>
          <w:color w:val="000000"/>
          <w:spacing w:val="0"/>
          <w:kern w:val="0"/>
          <w:sz w:val="32"/>
          <w:szCs w:val="32"/>
          <w:highlight w:val="none"/>
          <w:shd w:val="clear" w:fill="FFFFFF"/>
          <w:lang w:val="en-US" w:eastAsia="zh-CN" w:bidi="ar"/>
        </w:rPr>
        <w:t>61</w:t>
      </w:r>
      <w:r>
        <w:rPr>
          <w:rFonts w:hint="eastAsia" w:ascii="仿宋_GB2312" w:hAnsi="ÃƒÂ¥Ã‚Â¾Ã‚Â®ÃƒÂ¨Ã‚Â½Ã‚Â¯ÃƒÂ©Ã¢â" w:eastAsia="仿宋_GB2312" w:cs="仿宋_GB2312"/>
          <w:i w:val="0"/>
          <w:caps w:val="0"/>
          <w:color w:val="000000"/>
          <w:spacing w:val="0"/>
          <w:kern w:val="0"/>
          <w:sz w:val="32"/>
          <w:szCs w:val="32"/>
          <w:highlight w:val="none"/>
          <w:shd w:val="clear" w:fill="FFFFFF"/>
          <w:lang w:val="en-US" w:eastAsia="zh-CN" w:bidi="ar"/>
        </w:rPr>
        <w:t>篇，其中文字解读</w:t>
      </w:r>
      <w:r>
        <w:rPr>
          <w:rFonts w:hint="eastAsia" w:ascii="仿宋_GB2312" w:hAnsi="Calibri" w:eastAsia="仿宋_GB2312" w:cs="仿宋_GB2312"/>
          <w:i w:val="0"/>
          <w:caps w:val="0"/>
          <w:color w:val="000000"/>
          <w:spacing w:val="0"/>
          <w:kern w:val="0"/>
          <w:sz w:val="32"/>
          <w:szCs w:val="32"/>
          <w:highlight w:val="none"/>
          <w:shd w:val="clear" w:fill="FFFFFF"/>
          <w:lang w:val="en-US" w:eastAsia="zh-CN" w:bidi="ar"/>
        </w:rPr>
        <w:t>31</w:t>
      </w:r>
      <w:r>
        <w:rPr>
          <w:rFonts w:hint="eastAsia" w:ascii="仿宋_GB2312" w:hAnsi="ÃƒÂ¥Ã‚Â¾Ã‚Â®ÃƒÂ¨Ã‚Â½Ã‚Â¯ÃƒÂ©Ã¢â" w:eastAsia="仿宋_GB2312" w:cs="仿宋_GB2312"/>
          <w:i w:val="0"/>
          <w:caps w:val="0"/>
          <w:color w:val="000000"/>
          <w:spacing w:val="0"/>
          <w:kern w:val="0"/>
          <w:sz w:val="32"/>
          <w:szCs w:val="32"/>
          <w:highlight w:val="none"/>
          <w:shd w:val="clear" w:fill="FFFFFF"/>
          <w:lang w:val="en-US" w:eastAsia="zh-CN" w:bidi="ar"/>
        </w:rPr>
        <w:t>篇，主要负责人解读</w:t>
      </w:r>
      <w:r>
        <w:rPr>
          <w:rFonts w:hint="eastAsia" w:ascii="仿宋_GB2312" w:hAnsi="Calibri" w:eastAsia="仿宋_GB2312" w:cs="仿宋_GB2312"/>
          <w:i w:val="0"/>
          <w:caps w:val="0"/>
          <w:color w:val="000000"/>
          <w:spacing w:val="0"/>
          <w:kern w:val="0"/>
          <w:sz w:val="32"/>
          <w:szCs w:val="32"/>
          <w:highlight w:val="none"/>
          <w:shd w:val="clear" w:fill="FFFFFF"/>
          <w:lang w:val="en-US" w:eastAsia="zh-CN" w:bidi="ar"/>
        </w:rPr>
        <w:t>4</w:t>
      </w:r>
      <w:r>
        <w:rPr>
          <w:rFonts w:hint="eastAsia" w:ascii="仿宋_GB2312" w:hAnsi="ÃƒÂ¥Ã‚Â¾Ã‚Â®ÃƒÂ¨Ã‚Â½Ã‚Â¯ÃƒÂ©Ã¢â" w:eastAsia="仿宋_GB2312" w:cs="仿宋_GB2312"/>
          <w:i w:val="0"/>
          <w:caps w:val="0"/>
          <w:color w:val="000000"/>
          <w:spacing w:val="0"/>
          <w:kern w:val="0"/>
          <w:sz w:val="32"/>
          <w:szCs w:val="32"/>
          <w:highlight w:val="none"/>
          <w:shd w:val="clear" w:fill="FFFFFF"/>
          <w:lang w:val="en-US" w:eastAsia="zh-CN" w:bidi="ar"/>
        </w:rPr>
        <w:t>篇，新闻发布会</w:t>
      </w:r>
      <w:r>
        <w:rPr>
          <w:rFonts w:hint="eastAsia" w:ascii="仿宋_GB2312" w:hAnsi="Calibri" w:eastAsia="仿宋_GB2312" w:cs="仿宋_GB2312"/>
          <w:i w:val="0"/>
          <w:caps w:val="0"/>
          <w:color w:val="000000"/>
          <w:spacing w:val="0"/>
          <w:kern w:val="0"/>
          <w:sz w:val="32"/>
          <w:szCs w:val="32"/>
          <w:highlight w:val="none"/>
          <w:shd w:val="clear" w:fill="FFFFFF"/>
          <w:lang w:val="en-US" w:eastAsia="zh-CN" w:bidi="ar"/>
        </w:rPr>
        <w:t>9</w:t>
      </w:r>
      <w:r>
        <w:rPr>
          <w:rFonts w:hint="eastAsia" w:ascii="仿宋_GB2312" w:hAnsi="ÃƒÂ¥Ã‚Â¾Ã‚Â®ÃƒÂ¨Ã‚Â½Ã‚Â¯ÃƒÂ©Ã¢â" w:eastAsia="仿宋_GB2312" w:cs="仿宋_GB2312"/>
          <w:i w:val="0"/>
          <w:caps w:val="0"/>
          <w:color w:val="000000"/>
          <w:spacing w:val="0"/>
          <w:kern w:val="0"/>
          <w:sz w:val="32"/>
          <w:szCs w:val="32"/>
          <w:highlight w:val="none"/>
          <w:shd w:val="clear" w:fill="FFFFFF"/>
          <w:lang w:val="en-US" w:eastAsia="zh-CN" w:bidi="ar"/>
        </w:rPr>
        <w:t>篇，简明问答</w:t>
      </w:r>
      <w:r>
        <w:rPr>
          <w:rFonts w:hint="eastAsia" w:ascii="仿宋_GB2312" w:hAnsi="Calibri" w:eastAsia="仿宋_GB2312" w:cs="仿宋_GB2312"/>
          <w:i w:val="0"/>
          <w:caps w:val="0"/>
          <w:color w:val="000000"/>
          <w:spacing w:val="0"/>
          <w:kern w:val="0"/>
          <w:sz w:val="32"/>
          <w:szCs w:val="32"/>
          <w:highlight w:val="none"/>
          <w:shd w:val="clear" w:fill="FFFFFF"/>
          <w:lang w:val="en-US" w:eastAsia="zh-CN" w:bidi="ar"/>
        </w:rPr>
        <w:t>2</w:t>
      </w:r>
      <w:r>
        <w:rPr>
          <w:rFonts w:hint="eastAsia" w:ascii="仿宋_GB2312" w:hAnsi="ÃƒÂ¥Ã‚Â¾Ã‚Â®ÃƒÂ¨Ã‚Â½Ã‚Â¯ÃƒÂ©Ã¢â" w:eastAsia="仿宋_GB2312" w:cs="仿宋_GB2312"/>
          <w:i w:val="0"/>
          <w:caps w:val="0"/>
          <w:color w:val="000000"/>
          <w:spacing w:val="0"/>
          <w:kern w:val="0"/>
          <w:sz w:val="32"/>
          <w:szCs w:val="32"/>
          <w:highlight w:val="none"/>
          <w:shd w:val="clear" w:fill="FFFFFF"/>
          <w:lang w:val="en-US" w:eastAsia="zh-CN" w:bidi="ar"/>
        </w:rPr>
        <w:t>篇，图文解读</w:t>
      </w:r>
      <w:r>
        <w:rPr>
          <w:rFonts w:hint="eastAsia" w:ascii="仿宋_GB2312" w:hAnsi="Calibri" w:eastAsia="仿宋_GB2312" w:cs="仿宋_GB2312"/>
          <w:i w:val="0"/>
          <w:caps w:val="0"/>
          <w:color w:val="000000"/>
          <w:spacing w:val="0"/>
          <w:kern w:val="0"/>
          <w:sz w:val="32"/>
          <w:szCs w:val="32"/>
          <w:highlight w:val="none"/>
          <w:shd w:val="clear" w:fill="FFFFFF"/>
          <w:lang w:val="en-US" w:eastAsia="zh-CN" w:bidi="ar"/>
        </w:rPr>
        <w:t>10</w:t>
      </w:r>
      <w:r>
        <w:rPr>
          <w:rFonts w:hint="eastAsia" w:ascii="仿宋_GB2312" w:hAnsi="ÃƒÂ¥Ã‚Â¾Ã‚Â®ÃƒÂ¨Ã‚Â½Ã‚Â¯ÃƒÂ©Ã¢â" w:eastAsia="仿宋_GB2312" w:cs="仿宋_GB2312"/>
          <w:i w:val="0"/>
          <w:caps w:val="0"/>
          <w:color w:val="000000"/>
          <w:spacing w:val="0"/>
          <w:kern w:val="0"/>
          <w:sz w:val="32"/>
          <w:szCs w:val="32"/>
          <w:highlight w:val="none"/>
          <w:shd w:val="clear" w:fill="FFFFFF"/>
          <w:lang w:val="en-US" w:eastAsia="zh-CN" w:bidi="ar"/>
        </w:rPr>
        <w:t>篇，视频解读</w:t>
      </w:r>
      <w:r>
        <w:rPr>
          <w:rFonts w:hint="eastAsia" w:ascii="仿宋_GB2312" w:hAnsi="Calibri" w:eastAsia="仿宋_GB2312" w:cs="仿宋_GB2312"/>
          <w:i w:val="0"/>
          <w:caps w:val="0"/>
          <w:color w:val="000000"/>
          <w:spacing w:val="0"/>
          <w:kern w:val="0"/>
          <w:sz w:val="32"/>
          <w:szCs w:val="32"/>
          <w:highlight w:val="none"/>
          <w:shd w:val="clear" w:fill="FFFFFF"/>
          <w:lang w:val="en-US" w:eastAsia="zh-CN" w:bidi="ar"/>
        </w:rPr>
        <w:t>5</w:t>
      </w:r>
      <w:r>
        <w:rPr>
          <w:rFonts w:hint="eastAsia" w:ascii="仿宋_GB2312" w:hAnsi="ÃƒÂ¥Ã‚Â¾Ã‚Â®ÃƒÂ¨Ã‚Â½Ã‚Â¯ÃƒÂ©Ã¢â" w:eastAsia="仿宋_GB2312" w:cs="仿宋_GB2312"/>
          <w:i w:val="0"/>
          <w:caps w:val="0"/>
          <w:color w:val="000000"/>
          <w:spacing w:val="0"/>
          <w:kern w:val="0"/>
          <w:sz w:val="32"/>
          <w:szCs w:val="32"/>
          <w:highlight w:val="none"/>
          <w:shd w:val="clear" w:fill="FFFFFF"/>
          <w:lang w:val="en-US" w:eastAsia="zh-CN" w:bidi="ar"/>
        </w:rPr>
        <w:t>篇。</w:t>
      </w:r>
    </w:p>
    <w:p>
      <w:pPr>
        <w:pStyle w:val="2"/>
        <w:rPr>
          <w:rFonts w:hint="eastAsia"/>
          <w:lang w:val="en-US" w:eastAsia="zh-CN"/>
        </w:rPr>
      </w:pPr>
    </w:p>
    <w:p>
      <w:pPr>
        <w:pStyle w:val="2"/>
        <w:rPr>
          <w:lang w:val="en-US" w:eastAsia="zh-CN"/>
        </w:rPr>
      </w:pPr>
      <w:r>
        <w:rPr>
          <w:rFonts w:hint="eastAsia" w:ascii="仿宋_GB2312" w:hAnsi="宋体" w:eastAsia="仿宋_GB2312" w:cs="仿宋_GB2312"/>
          <w:i w:val="0"/>
          <w:caps w:val="0"/>
          <w:color w:val="000000"/>
          <w:spacing w:val="0"/>
          <w:kern w:val="0"/>
          <w:sz w:val="32"/>
          <w:szCs w:val="32"/>
          <w:highlight w:val="none"/>
          <w:lang w:val="en-US" w:eastAsia="zh-CN" w:bidi="ar"/>
        </w:rPr>
        <w:drawing>
          <wp:anchor distT="0" distB="0" distL="114300" distR="114300" simplePos="0" relativeHeight="251659264" behindDoc="0" locked="0" layoutInCell="1" allowOverlap="1">
            <wp:simplePos x="0" y="0"/>
            <wp:positionH relativeFrom="column">
              <wp:posOffset>167005</wp:posOffset>
            </wp:positionH>
            <wp:positionV relativeFrom="paragraph">
              <wp:posOffset>64770</wp:posOffset>
            </wp:positionV>
            <wp:extent cx="5080000" cy="2954655"/>
            <wp:effectExtent l="4445" t="4445" r="20955" b="69850"/>
            <wp:wrapTopAndBottom/>
            <wp:docPr id="3" name="图表 3" descr="7b0a202020202263686172745265734964223a20223230343734393631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jc w:val="left"/>
        <w:textAlignment w:val="auto"/>
        <w:rPr>
          <w:rFonts w:hint="eastAsia" w:ascii="仿宋_GB2312" w:hAnsi="微软雅黑" w:eastAsia="仿宋_GB2312" w:cs="仿宋_GB2312"/>
          <w:i w:val="0"/>
          <w:iCs w:val="0"/>
          <w:caps w:val="0"/>
          <w:color w:val="000000"/>
          <w:spacing w:val="0"/>
          <w:sz w:val="32"/>
          <w:szCs w:val="32"/>
          <w:highlight w:val="none"/>
        </w:rPr>
      </w:pPr>
      <w:r>
        <w:rPr>
          <w:rFonts w:ascii="仿宋_GB2312" w:hAnsi="微软雅黑" w:eastAsia="仿宋_GB2312" w:cs="仿宋_GB2312"/>
          <w:b/>
          <w:bCs/>
          <w:i w:val="0"/>
          <w:iCs w:val="0"/>
          <w:caps w:val="0"/>
          <w:color w:val="000000"/>
          <w:spacing w:val="0"/>
          <w:kern w:val="0"/>
          <w:sz w:val="32"/>
          <w:szCs w:val="32"/>
          <w:lang w:val="en-US" w:eastAsia="zh-CN" w:bidi="ar"/>
        </w:rPr>
        <w:t>2</w:t>
      </w:r>
      <w:r>
        <w:rPr>
          <w:rFonts w:hint="eastAsia" w:ascii="仿宋_GB2312" w:hAnsi="微软雅黑" w:eastAsia="仿宋_GB2312" w:cs="仿宋_GB2312"/>
          <w:b/>
          <w:bCs/>
          <w:i w:val="0"/>
          <w:iCs w:val="0"/>
          <w:caps w:val="0"/>
          <w:color w:val="000000"/>
          <w:spacing w:val="0"/>
          <w:kern w:val="0"/>
          <w:sz w:val="32"/>
          <w:szCs w:val="32"/>
          <w:lang w:val="en-US" w:eastAsia="zh-CN" w:bidi="ar"/>
        </w:rPr>
        <w:t>.聚焦社会关切，强化公众参与。</w:t>
      </w:r>
      <w:r>
        <w:rPr>
          <w:rFonts w:hint="eastAsia" w:ascii="仿宋_GB2312" w:hAnsi="微软雅黑" w:eastAsia="仿宋_GB2312" w:cs="仿宋_GB2312"/>
          <w:i w:val="0"/>
          <w:iCs w:val="0"/>
          <w:caps w:val="0"/>
          <w:color w:val="000000"/>
          <w:spacing w:val="0"/>
          <w:sz w:val="32"/>
          <w:szCs w:val="32"/>
        </w:rPr>
        <w:t>发布202</w:t>
      </w:r>
      <w:r>
        <w:rPr>
          <w:rFonts w:hint="eastAsia" w:ascii="仿宋_GB2312" w:hAnsi="微软雅黑" w:eastAsia="仿宋_GB2312" w:cs="仿宋_GB2312"/>
          <w:i w:val="0"/>
          <w:iCs w:val="0"/>
          <w:caps w:val="0"/>
          <w:color w:val="000000"/>
          <w:spacing w:val="0"/>
          <w:sz w:val="32"/>
          <w:szCs w:val="32"/>
          <w:lang w:val="en-US" w:eastAsia="zh-CN"/>
        </w:rPr>
        <w:t>3</w:t>
      </w:r>
      <w:r>
        <w:rPr>
          <w:rFonts w:hint="eastAsia" w:ascii="仿宋_GB2312" w:hAnsi="微软雅黑" w:eastAsia="仿宋_GB2312" w:cs="仿宋_GB2312"/>
          <w:i w:val="0"/>
          <w:iCs w:val="0"/>
          <w:caps w:val="0"/>
          <w:color w:val="000000"/>
          <w:spacing w:val="0"/>
          <w:sz w:val="32"/>
          <w:szCs w:val="32"/>
        </w:rPr>
        <w:t>年重大行政决策意见征集，归集展示决策草案、草案解读、意见征集采纳情况，对于群众提出的</w:t>
      </w:r>
      <w:r>
        <w:rPr>
          <w:rFonts w:hint="eastAsia" w:ascii="仿宋_GB2312" w:hAnsi="微软雅黑" w:eastAsia="仿宋_GB2312" w:cs="仿宋_GB2312"/>
          <w:i w:val="0"/>
          <w:iCs w:val="0"/>
          <w:caps w:val="0"/>
          <w:color w:val="000000"/>
          <w:spacing w:val="0"/>
          <w:sz w:val="32"/>
          <w:szCs w:val="32"/>
          <w:highlight w:val="none"/>
        </w:rPr>
        <w:t>意见建议严谨评估，加强反馈；</w:t>
      </w:r>
      <w:r>
        <w:rPr>
          <w:rFonts w:hint="default" w:ascii="Times New Roman" w:hAnsi="Times New Roman" w:eastAsia="仿宋_GB2312" w:cs="Times New Roman"/>
          <w:bCs/>
          <w:sz w:val="32"/>
          <w:szCs w:val="32"/>
          <w:highlight w:val="none"/>
          <w:lang w:val="en-US" w:eastAsia="zh-CN"/>
        </w:rPr>
        <w:t>积极推进行政权力全过程公开，邀请市民代表和利益相关方列席政府常务会议</w:t>
      </w:r>
      <w:r>
        <w:rPr>
          <w:rFonts w:hint="eastAsia" w:ascii="Times New Roman" w:hAnsi="Times New Roman" w:eastAsia="仿宋_GB2312" w:cs="Times New Roman"/>
          <w:bCs/>
          <w:sz w:val="32"/>
          <w:szCs w:val="32"/>
          <w:highlight w:val="none"/>
          <w:lang w:val="en-US" w:eastAsia="zh-CN"/>
        </w:rPr>
        <w:t>15</w:t>
      </w:r>
      <w:r>
        <w:rPr>
          <w:rFonts w:hint="default" w:ascii="Times New Roman" w:hAnsi="Times New Roman" w:eastAsia="仿宋_GB2312" w:cs="Times New Roman"/>
          <w:bCs/>
          <w:sz w:val="32"/>
          <w:szCs w:val="32"/>
          <w:highlight w:val="none"/>
          <w:lang w:val="en-US" w:eastAsia="zh-CN"/>
        </w:rPr>
        <w:t>场。</w:t>
      </w:r>
      <w:r>
        <w:rPr>
          <w:rFonts w:hint="eastAsia" w:ascii="Times New Roman" w:hAnsi="Times New Roman" w:eastAsia="仿宋_GB2312" w:cs="Times New Roman"/>
          <w:bCs/>
          <w:sz w:val="32"/>
          <w:szCs w:val="32"/>
          <w:highlight w:val="none"/>
          <w:lang w:val="en-US" w:eastAsia="zh-CN"/>
        </w:rPr>
        <w:t>开展</w:t>
      </w:r>
      <w:r>
        <w:rPr>
          <w:rFonts w:hint="eastAsia" w:ascii="仿宋_GB2312" w:hAnsi="微软雅黑" w:eastAsia="仿宋_GB2312" w:cs="仿宋_GB2312"/>
          <w:i w:val="0"/>
          <w:iCs w:val="0"/>
          <w:caps w:val="0"/>
          <w:color w:val="000000"/>
          <w:spacing w:val="0"/>
          <w:sz w:val="32"/>
          <w:szCs w:val="32"/>
          <w:highlight w:val="none"/>
        </w:rPr>
        <w:t>“政府开放月活动”，</w:t>
      </w:r>
      <w:r>
        <w:rPr>
          <w:rFonts w:hint="eastAsia" w:ascii="仿宋_GB2312" w:hAnsi="微软雅黑" w:eastAsia="仿宋_GB2312" w:cs="仿宋_GB2312"/>
          <w:i w:val="0"/>
          <w:iCs w:val="0"/>
          <w:caps w:val="0"/>
          <w:color w:val="000000"/>
          <w:spacing w:val="0"/>
          <w:sz w:val="32"/>
          <w:szCs w:val="32"/>
          <w:highlight w:val="none"/>
          <w:lang w:val="en-US" w:eastAsia="zh-CN"/>
        </w:rPr>
        <w:t>举办活动26场次，</w:t>
      </w:r>
      <w:r>
        <w:rPr>
          <w:rFonts w:hint="eastAsia" w:ascii="仿宋_GB2312" w:hAnsi="微软雅黑" w:eastAsia="仿宋_GB2312" w:cs="仿宋_GB2312"/>
          <w:i w:val="0"/>
          <w:iCs w:val="0"/>
          <w:caps w:val="0"/>
          <w:color w:val="000000"/>
          <w:spacing w:val="0"/>
          <w:sz w:val="32"/>
          <w:szCs w:val="32"/>
          <w:highlight w:val="none"/>
        </w:rPr>
        <w:t>邀请企业、群众、社会各界代表走进政府机关了解机构职能、工作流程。</w:t>
      </w:r>
    </w:p>
    <w:p>
      <w:pPr>
        <w:pStyle w:val="2"/>
        <w:ind w:left="0" w:leftChars="0" w:firstLine="0" w:firstLineChars="0"/>
        <w:rPr>
          <w:lang w:val="en-US" w:eastAsia="zh-CN"/>
        </w:rPr>
      </w:pPr>
    </w:p>
    <w:p>
      <w:pPr>
        <w:rPr>
          <w:lang w:val="en-US" w:eastAsia="zh-CN"/>
        </w:rPr>
      </w:pPr>
      <w:r>
        <w:rPr>
          <w:rFonts w:hint="eastAsia" w:eastAsia="仿宋_GB2312"/>
          <w:lang w:eastAsia="zh-CN"/>
        </w:rPr>
        <w:drawing>
          <wp:inline distT="0" distB="0" distL="114300" distR="114300">
            <wp:extent cx="5267960" cy="2620010"/>
            <wp:effectExtent l="0" t="0" r="8890" b="8890"/>
            <wp:docPr id="6" name="图片 6" descr="17061098176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1706109817649"/>
                    <pic:cNvPicPr>
                      <a:picLocks noChangeAspect="true"/>
                    </pic:cNvPicPr>
                  </pic:nvPicPr>
                  <pic:blipFill>
                    <a:blip r:embed="rId9"/>
                    <a:stretch>
                      <a:fillRect/>
                    </a:stretch>
                  </pic:blipFill>
                  <pic:spPr>
                    <a:xfrm>
                      <a:off x="0" y="0"/>
                      <a:ext cx="5267960" cy="262001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jc w:val="left"/>
        <w:textAlignment w:val="auto"/>
        <w:rPr>
          <w:rFonts w:ascii="微软雅黑" w:hAnsi="微软雅黑" w:eastAsia="微软雅黑" w:cs="微软雅黑"/>
          <w:i w:val="0"/>
          <w:iCs w:val="0"/>
          <w:caps w:val="0"/>
          <w:color w:val="000000"/>
          <w:spacing w:val="0"/>
          <w:sz w:val="19"/>
          <w:szCs w:val="19"/>
        </w:rPr>
      </w:pPr>
      <w:r>
        <w:rPr>
          <w:rFonts w:ascii="仿宋_GB2312" w:hAnsi="微软雅黑" w:eastAsia="仿宋_GB2312" w:cs="仿宋_GB2312"/>
          <w:b/>
          <w:bCs/>
          <w:i w:val="0"/>
          <w:iCs w:val="0"/>
          <w:caps w:val="0"/>
          <w:color w:val="000000"/>
          <w:spacing w:val="0"/>
          <w:kern w:val="0"/>
          <w:sz w:val="32"/>
          <w:szCs w:val="32"/>
          <w:lang w:val="en-US" w:eastAsia="zh-CN" w:bidi="ar"/>
        </w:rPr>
        <w:t>3.</w:t>
      </w:r>
      <w:r>
        <w:rPr>
          <w:rFonts w:hint="eastAsia" w:ascii="仿宋_GB2312" w:hAnsi="微软雅黑" w:eastAsia="仿宋_GB2312" w:cs="仿宋_GB2312"/>
          <w:b/>
          <w:bCs/>
          <w:i w:val="0"/>
          <w:iCs w:val="0"/>
          <w:caps w:val="0"/>
          <w:color w:val="000000"/>
          <w:spacing w:val="0"/>
          <w:kern w:val="0"/>
          <w:sz w:val="32"/>
          <w:szCs w:val="32"/>
          <w:lang w:val="en-US" w:eastAsia="zh-CN" w:bidi="ar"/>
        </w:rPr>
        <w:t>夯实基础工作，</w:t>
      </w:r>
      <w:r>
        <w:rPr>
          <w:rFonts w:ascii="仿宋_GB2312" w:hAnsi="微软雅黑" w:eastAsia="仿宋_GB2312" w:cs="仿宋_GB2312"/>
          <w:b/>
          <w:bCs/>
          <w:i w:val="0"/>
          <w:iCs w:val="0"/>
          <w:caps w:val="0"/>
          <w:color w:val="000000"/>
          <w:spacing w:val="0"/>
          <w:kern w:val="0"/>
          <w:sz w:val="32"/>
          <w:szCs w:val="32"/>
          <w:lang w:val="en-US" w:eastAsia="zh-CN" w:bidi="ar"/>
        </w:rPr>
        <w:t>完善信息公开</w:t>
      </w:r>
      <w:r>
        <w:rPr>
          <w:rFonts w:hint="eastAsia" w:ascii="仿宋_GB2312" w:hAnsi="微软雅黑" w:eastAsia="仿宋_GB2312" w:cs="仿宋_GB2312"/>
          <w:b/>
          <w:bCs/>
          <w:i w:val="0"/>
          <w:iCs w:val="0"/>
          <w:caps w:val="0"/>
          <w:color w:val="000000"/>
          <w:spacing w:val="0"/>
          <w:kern w:val="0"/>
          <w:sz w:val="32"/>
          <w:szCs w:val="32"/>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default"/>
          <w:lang w:val="en-US" w:eastAsia="zh-CN"/>
        </w:rPr>
      </w:pPr>
      <w:r>
        <w:rPr>
          <w:rStyle w:val="10"/>
          <w:rFonts w:hint="eastAsia" w:ascii="仿宋_GB2312" w:hAnsi="宋体" w:eastAsia="仿宋_GB2312" w:cs="仿宋_GB2312"/>
          <w:b w:val="0"/>
          <w:bCs/>
          <w:i w:val="0"/>
          <w:caps w:val="0"/>
          <w:color w:val="000000"/>
          <w:spacing w:val="0"/>
          <w:kern w:val="0"/>
          <w:sz w:val="32"/>
          <w:szCs w:val="32"/>
          <w:shd w:val="clear" w:fill="FFFFFF"/>
          <w:lang w:val="en-US" w:eastAsia="zh-CN" w:bidi="ar"/>
        </w:rPr>
        <w:t>2023年在官网政府信息公开页面发布政府信息8772条。其中，</w:t>
      </w:r>
      <w:r>
        <w:rPr>
          <w:rFonts w:ascii="仿宋_GB2312" w:hAnsi="ÃƒÂ¥Ã‚Â¾Ã‚Â®ÃƒÂ¨Ã‚Â½Ã‚Â¯ÃƒÂ©Ã¢â" w:eastAsia="仿宋_GB2312" w:cs="仿宋_GB2312"/>
          <w:i w:val="0"/>
          <w:caps w:val="0"/>
          <w:color w:val="000000"/>
          <w:spacing w:val="0"/>
          <w:kern w:val="0"/>
          <w:sz w:val="32"/>
          <w:szCs w:val="32"/>
          <w:shd w:val="clear" w:fill="FFFFFF"/>
          <w:lang w:val="en-US" w:eastAsia="zh-CN" w:bidi="ar"/>
        </w:rPr>
        <w:t>主动公开规范性文件</w:t>
      </w:r>
      <w:r>
        <w:rPr>
          <w:rFonts w:hint="eastAsia" w:ascii="仿宋_GB2312" w:hAnsi="ÃƒÂ¥Ã‚Â¾Ã‚Â®ÃƒÂ¨Ã‚Â½Ã‚Â¯ÃƒÂ©Ã¢â" w:eastAsia="仿宋_GB2312" w:cs="仿宋_GB2312"/>
          <w:i w:val="0"/>
          <w:caps w:val="0"/>
          <w:color w:val="000000"/>
          <w:spacing w:val="0"/>
          <w:kern w:val="0"/>
          <w:sz w:val="32"/>
          <w:szCs w:val="32"/>
          <w:shd w:val="clear" w:fill="FFFFFF"/>
          <w:lang w:val="en-US" w:eastAsia="zh-CN" w:bidi="ar"/>
        </w:rPr>
        <w:t>2条，解读2条，非规范性文件41条，解读41条；发布规划计划88条；行政事业性收费、涉企收费目录信息47条；本级政府及部门单位财政预决算信息</w:t>
      </w:r>
      <w:r>
        <w:rPr>
          <w:rFonts w:hint="eastAsia" w:ascii="仿宋_GB2312" w:hAnsi="Calibri" w:eastAsia="仿宋_GB2312" w:cs="仿宋_GB2312"/>
          <w:i w:val="0"/>
          <w:caps w:val="0"/>
          <w:color w:val="000000"/>
          <w:spacing w:val="0"/>
          <w:kern w:val="0"/>
          <w:sz w:val="32"/>
          <w:szCs w:val="32"/>
          <w:shd w:val="clear" w:fill="FFFFFF"/>
          <w:lang w:val="en-US" w:eastAsia="zh-CN" w:bidi="ar"/>
        </w:rPr>
        <w:t>258</w:t>
      </w:r>
      <w:r>
        <w:rPr>
          <w:rFonts w:hint="eastAsia" w:ascii="仿宋_GB2312" w:hAnsi="ÃƒÂ¥Ã‚Â¾Ã‚Â®ÃƒÂ¨Ã‚Â½Ã‚Â¯ÃƒÂ©Ã¢â" w:eastAsia="仿宋_GB2312" w:cs="仿宋_GB2312"/>
          <w:i w:val="0"/>
          <w:caps w:val="0"/>
          <w:color w:val="000000"/>
          <w:spacing w:val="0"/>
          <w:kern w:val="0"/>
          <w:sz w:val="32"/>
          <w:szCs w:val="32"/>
          <w:shd w:val="clear" w:fill="FFFFFF"/>
          <w:lang w:val="en-US" w:eastAsia="zh-CN" w:bidi="ar"/>
        </w:rPr>
        <w:t>条；统计数据、统计分析及解读信息</w:t>
      </w:r>
      <w:r>
        <w:rPr>
          <w:rFonts w:hint="eastAsia" w:ascii="仿宋_GB2312" w:hAnsi="Calibri" w:eastAsia="仿宋_GB2312" w:cs="仿宋_GB2312"/>
          <w:i w:val="0"/>
          <w:caps w:val="0"/>
          <w:color w:val="000000"/>
          <w:spacing w:val="0"/>
          <w:kern w:val="0"/>
          <w:sz w:val="32"/>
          <w:szCs w:val="32"/>
          <w:shd w:val="clear" w:fill="FFFFFF"/>
          <w:lang w:val="en-US" w:eastAsia="zh-CN" w:bidi="ar"/>
        </w:rPr>
        <w:t>17</w:t>
      </w:r>
      <w:r>
        <w:rPr>
          <w:rFonts w:hint="eastAsia" w:ascii="仿宋_GB2312" w:hAnsi="ÃƒÂ¥Ã‚Â¾Ã‚Â®ÃƒÂ¨Ã‚Â½Ã‚Â¯ÃƒÂ©Ã¢â" w:eastAsia="仿宋_GB2312" w:cs="仿宋_GB2312"/>
          <w:i w:val="0"/>
          <w:caps w:val="0"/>
          <w:color w:val="000000"/>
          <w:spacing w:val="0"/>
          <w:kern w:val="0"/>
          <w:sz w:val="32"/>
          <w:szCs w:val="32"/>
          <w:shd w:val="clear" w:fill="FFFFFF"/>
          <w:lang w:val="en-US" w:eastAsia="zh-CN" w:bidi="ar"/>
        </w:rPr>
        <w:t>条。人事信息</w:t>
      </w:r>
      <w:r>
        <w:rPr>
          <w:rFonts w:hint="eastAsia" w:ascii="仿宋_GB2312" w:hAnsi="Calibri" w:eastAsia="仿宋_GB2312" w:cs="仿宋_GB2312"/>
          <w:i w:val="0"/>
          <w:caps w:val="0"/>
          <w:color w:val="000000"/>
          <w:spacing w:val="0"/>
          <w:kern w:val="0"/>
          <w:sz w:val="32"/>
          <w:szCs w:val="32"/>
          <w:shd w:val="clear" w:fill="FFFFFF"/>
          <w:lang w:val="en-US" w:eastAsia="zh-CN" w:bidi="ar"/>
        </w:rPr>
        <w:t>33</w:t>
      </w:r>
      <w:r>
        <w:rPr>
          <w:rFonts w:hint="eastAsia" w:ascii="仿宋_GB2312" w:hAnsi="ÃƒÂ¥Ã‚Â¾Ã‚Â®ÃƒÂ¨Ã‚Â½Ã‚Â¯ÃƒÂ©Ã¢â" w:eastAsia="仿宋_GB2312" w:cs="仿宋_GB2312"/>
          <w:i w:val="0"/>
          <w:caps w:val="0"/>
          <w:color w:val="000000"/>
          <w:spacing w:val="0"/>
          <w:kern w:val="0"/>
          <w:sz w:val="32"/>
          <w:szCs w:val="32"/>
          <w:shd w:val="clear" w:fill="FFFFFF"/>
          <w:lang w:val="en-US" w:eastAsia="zh-CN" w:bidi="ar"/>
        </w:rPr>
        <w:t>条。</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2" w:firstLineChars="200"/>
        <w:jc w:val="left"/>
        <w:textAlignment w:val="auto"/>
        <w:rPr>
          <w:rFonts w:hint="eastAsia" w:ascii="楷体" w:hAnsi="楷体" w:eastAsia="楷体" w:cs="楷体"/>
          <w:kern w:val="2"/>
          <w:sz w:val="32"/>
          <w:szCs w:val="32"/>
          <w:lang w:val="en-US" w:eastAsia="zh-CN" w:bidi="ar-SA"/>
        </w:rPr>
      </w:pPr>
      <w:r>
        <w:rPr>
          <w:rStyle w:val="10"/>
          <w:rFonts w:hint="eastAsia" w:ascii="仿宋_GB2312" w:hAnsi="宋体" w:eastAsia="仿宋_GB2312" w:cs="仿宋_GB2312"/>
          <w:i w:val="0"/>
          <w:caps w:val="0"/>
          <w:color w:val="000000"/>
          <w:spacing w:val="0"/>
          <w:kern w:val="0"/>
          <w:sz w:val="32"/>
          <w:szCs w:val="32"/>
          <w:shd w:val="clear" w:fill="FFFFFF"/>
          <w:lang w:val="en-US" w:eastAsia="zh-CN" w:bidi="ar"/>
        </w:rPr>
        <w:t> </w:t>
      </w:r>
      <w:r>
        <w:rPr>
          <w:rFonts w:hint="eastAsia" w:ascii="楷体" w:hAnsi="楷体" w:eastAsia="楷体" w:cs="楷体"/>
          <w:kern w:val="2"/>
          <w:sz w:val="32"/>
          <w:szCs w:val="32"/>
          <w:lang w:val="en-US" w:eastAsia="zh-CN" w:bidi="ar-SA"/>
        </w:rPr>
        <w:t>（二）依申请公开情况</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宋体" w:eastAsia="仿宋_GB2312" w:cs="仿宋_GB2312"/>
          <w:i w:val="0"/>
          <w:caps w:val="0"/>
          <w:color w:val="000000"/>
          <w:spacing w:val="0"/>
          <w:kern w:val="0"/>
          <w:sz w:val="32"/>
          <w:szCs w:val="32"/>
          <w:highlight w:val="none"/>
          <w:lang w:val="en-US" w:eastAsia="zh-CN" w:bidi="ar"/>
        </w:rPr>
      </w:pPr>
      <w:r>
        <w:rPr>
          <w:rFonts w:hint="eastAsia" w:ascii="仿宋_GB2312" w:hAnsi="宋体" w:eastAsia="仿宋_GB2312" w:cs="仿宋_GB2312"/>
          <w:i w:val="0"/>
          <w:caps w:val="0"/>
          <w:color w:val="000000"/>
          <w:spacing w:val="0"/>
          <w:kern w:val="0"/>
          <w:sz w:val="32"/>
          <w:szCs w:val="32"/>
          <w:lang w:val="en-US" w:eastAsia="zh-CN" w:bidi="ar"/>
        </w:rPr>
        <w:t>为提升办理质效，印发了《关于加强和规范政府信息依申请公开协助调查工作的通知》，加强各部门单位对依申请公开受理、登记、复核、答复、归档等环节管理，提升信息公开申请办理程序的规范性。</w:t>
      </w:r>
      <w:r>
        <w:rPr>
          <w:rFonts w:hint="eastAsia" w:ascii="仿宋_GB2312" w:hAnsi="仿宋_GB2312" w:eastAsia="仿宋_GB2312" w:cs="仿宋_GB2312"/>
          <w:sz w:val="32"/>
          <w:szCs w:val="32"/>
          <w:lang w:val="en-US" w:eastAsia="zh-CN" w:bidi="ar"/>
        </w:rPr>
        <w:t>2023</w:t>
      </w:r>
      <w:r>
        <w:rPr>
          <w:rFonts w:hint="eastAsia" w:ascii="仿宋_GB2312" w:hAnsi="仿宋_GB2312" w:eastAsia="仿宋_GB2312" w:cs="仿宋_GB2312"/>
          <w:sz w:val="32"/>
          <w:szCs w:val="32"/>
          <w:lang w:bidi="ar"/>
        </w:rPr>
        <w:t>年内共收到政府信息公开申</w:t>
      </w:r>
      <w:r>
        <w:rPr>
          <w:rFonts w:hint="eastAsia" w:ascii="仿宋_GB2312" w:hAnsi="仿宋_GB2312" w:eastAsia="仿宋_GB2312" w:cs="仿宋_GB2312"/>
          <w:sz w:val="32"/>
          <w:szCs w:val="32"/>
          <w:highlight w:val="none"/>
          <w:lang w:bidi="ar"/>
        </w:rPr>
        <w:t>请</w:t>
      </w:r>
      <w:r>
        <w:rPr>
          <w:rFonts w:hint="eastAsia" w:ascii="仿宋_GB2312" w:hAnsi="仿宋_GB2312" w:eastAsia="仿宋_GB2312" w:cs="仿宋_GB2312"/>
          <w:sz w:val="32"/>
          <w:szCs w:val="32"/>
          <w:highlight w:val="none"/>
          <w:lang w:val="en-US" w:eastAsia="zh-CN" w:bidi="ar"/>
        </w:rPr>
        <w:t>568</w:t>
      </w:r>
      <w:r>
        <w:rPr>
          <w:rFonts w:hint="eastAsia" w:ascii="仿宋_GB2312" w:hAnsi="仿宋_GB2312" w:eastAsia="仿宋_GB2312" w:cs="仿宋_GB2312"/>
          <w:sz w:val="32"/>
          <w:szCs w:val="32"/>
          <w:highlight w:val="none"/>
          <w:lang w:bidi="ar"/>
        </w:rPr>
        <w:t>件</w:t>
      </w:r>
      <w:r>
        <w:rPr>
          <w:rFonts w:hint="eastAsia" w:ascii="仿宋_GB2312" w:hAnsi="仿宋_GB2312" w:eastAsia="仿宋_GB2312" w:cs="仿宋_GB2312"/>
          <w:sz w:val="32"/>
          <w:szCs w:val="32"/>
          <w:lang w:bidi="ar"/>
        </w:rPr>
        <w:t>，较去年增长</w:t>
      </w:r>
      <w:r>
        <w:rPr>
          <w:rFonts w:hint="eastAsia" w:ascii="仿宋_GB2312" w:hAnsi="仿宋_GB2312" w:eastAsia="仿宋_GB2312" w:cs="仿宋_GB2312"/>
          <w:sz w:val="32"/>
          <w:szCs w:val="32"/>
          <w:lang w:val="en-US" w:eastAsia="zh-CN" w:bidi="ar"/>
        </w:rPr>
        <w:t>290</w:t>
      </w: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eastAsia="zh-CN" w:bidi="ar"/>
        </w:rPr>
        <w:t>。</w:t>
      </w:r>
      <w:r>
        <w:rPr>
          <w:rFonts w:hint="eastAsia" w:ascii="仿宋_GB2312" w:hAnsi="宋体" w:eastAsia="仿宋_GB2312" w:cs="仿宋_GB2312"/>
          <w:i w:val="0"/>
          <w:caps w:val="0"/>
          <w:color w:val="000000"/>
          <w:spacing w:val="0"/>
          <w:kern w:val="0"/>
          <w:sz w:val="32"/>
          <w:szCs w:val="32"/>
          <w:highlight w:val="none"/>
          <w:lang w:val="en-US" w:eastAsia="zh-CN" w:bidi="ar"/>
        </w:rPr>
        <w:t>从申请内容看，</w:t>
      </w:r>
      <w:r>
        <w:rPr>
          <w:rFonts w:hint="eastAsia" w:ascii="仿宋_GB2312" w:hAnsi="仿宋_GB2312" w:eastAsia="仿宋_GB2312" w:cs="仿宋_GB2312"/>
          <w:sz w:val="32"/>
          <w:szCs w:val="32"/>
          <w:lang w:eastAsia="zh-CN" w:bidi="ar"/>
        </w:rPr>
        <w:t>主要</w:t>
      </w:r>
      <w:r>
        <w:rPr>
          <w:rFonts w:hint="eastAsia" w:ascii="仿宋_GB2312" w:hAnsi="仿宋_GB2312" w:eastAsia="仿宋_GB2312" w:cs="仿宋_GB2312"/>
          <w:sz w:val="32"/>
          <w:szCs w:val="32"/>
          <w:lang w:bidi="ar"/>
        </w:rPr>
        <w:t>涉及</w:t>
      </w:r>
      <w:r>
        <w:rPr>
          <w:rFonts w:hint="eastAsia" w:ascii="仿宋_GB2312" w:hAnsi="仿宋_GB2312" w:eastAsia="仿宋_GB2312" w:cs="仿宋_GB2312"/>
          <w:sz w:val="32"/>
          <w:szCs w:val="32"/>
          <w:lang w:eastAsia="zh-CN" w:bidi="ar"/>
        </w:rPr>
        <w:t>房屋</w:t>
      </w:r>
      <w:r>
        <w:rPr>
          <w:rFonts w:hint="eastAsia" w:ascii="仿宋_GB2312" w:hAnsi="仿宋_GB2312" w:eastAsia="仿宋_GB2312" w:cs="仿宋_GB2312"/>
          <w:sz w:val="32"/>
          <w:szCs w:val="32"/>
          <w:lang w:bidi="ar"/>
        </w:rPr>
        <w:t>拆迁、</w:t>
      </w:r>
      <w:r>
        <w:rPr>
          <w:rFonts w:hint="eastAsia" w:ascii="仿宋_GB2312" w:hAnsi="仿宋_GB2312" w:eastAsia="仿宋_GB2312" w:cs="仿宋_GB2312"/>
          <w:sz w:val="32"/>
          <w:szCs w:val="32"/>
          <w:lang w:eastAsia="zh-CN"/>
        </w:rPr>
        <w:t>土地征收</w:t>
      </w:r>
      <w:r>
        <w:rPr>
          <w:rFonts w:hint="eastAsia" w:ascii="仿宋_GB2312" w:hAnsi="仿宋_GB2312" w:eastAsia="仿宋_GB2312" w:cs="仿宋_GB2312"/>
          <w:sz w:val="32"/>
          <w:szCs w:val="32"/>
        </w:rPr>
        <w:t>等方面</w:t>
      </w:r>
      <w:r>
        <w:rPr>
          <w:rFonts w:hint="eastAsia" w:ascii="仿宋_GB2312" w:hAnsi="仿宋_GB2312" w:eastAsia="仿宋_GB2312" w:cs="仿宋_GB2312"/>
          <w:sz w:val="32"/>
          <w:szCs w:val="32"/>
          <w:lang w:eastAsia="zh-CN"/>
        </w:rPr>
        <w:t>。</w:t>
      </w:r>
      <w:r>
        <w:rPr>
          <w:rFonts w:hint="eastAsia" w:ascii="仿宋_GB2312" w:hAnsi="宋体" w:eastAsia="仿宋_GB2312" w:cs="仿宋_GB2312"/>
          <w:i w:val="0"/>
          <w:caps w:val="0"/>
          <w:color w:val="000000"/>
          <w:spacing w:val="0"/>
          <w:kern w:val="0"/>
          <w:sz w:val="32"/>
          <w:szCs w:val="32"/>
          <w:highlight w:val="none"/>
          <w:lang w:val="en-US" w:eastAsia="zh-CN" w:bidi="ar"/>
        </w:rPr>
        <w:t>从申请答复看，“予以公开”198件；“部分公开”132件；“不予公开”31件；“无法提供”184件；“不予处理”1件；“其他处理”18件；转下年度办理4件；与往年相比，数量出现大幅度增长。</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640" w:firstLineChars="200"/>
        <w:jc w:val="left"/>
        <w:textAlignment w:val="auto"/>
        <w:rPr>
          <w:rFonts w:hint="eastAsia" w:ascii="仿宋_GB2312" w:hAnsi="宋体" w:eastAsia="仿宋_GB2312" w:cs="仿宋_GB2312"/>
          <w:i w:val="0"/>
          <w:caps w:val="0"/>
          <w:color w:val="000000"/>
          <w:spacing w:val="0"/>
          <w:kern w:val="0"/>
          <w:sz w:val="32"/>
          <w:szCs w:val="32"/>
          <w:highlight w:val="none"/>
          <w:lang w:val="en-US" w:eastAsia="zh-CN" w:bidi="ar"/>
        </w:rPr>
      </w:pPr>
      <w:r>
        <w:rPr>
          <w:rFonts w:hint="eastAsia" w:ascii="仿宋_GB2312" w:hAnsi="宋体" w:eastAsia="仿宋_GB2312" w:cs="仿宋_GB2312"/>
          <w:i w:val="0"/>
          <w:caps w:val="0"/>
          <w:color w:val="000000"/>
          <w:spacing w:val="0"/>
          <w:kern w:val="0"/>
          <w:sz w:val="32"/>
          <w:szCs w:val="32"/>
          <w:highlight w:val="none"/>
          <w:lang w:val="en-US" w:eastAsia="zh-CN" w:bidi="ar"/>
        </w:rPr>
        <w:t>共办理政府信息公开行政复议32件，结果维持25件，结果纠正6件，其他处理1件；行政诉讼10件，结果维持4件，撤诉1件，尚未审结5件。</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rightChars="0"/>
        <w:jc w:val="left"/>
        <w:textAlignment w:val="auto"/>
        <w:rPr>
          <w:rFonts w:hint="eastAsia" w:ascii="仿宋_GB2312" w:hAnsi="宋体" w:eastAsia="仿宋_GB2312" w:cs="仿宋_GB2312"/>
          <w:i w:val="0"/>
          <w:caps w:val="0"/>
          <w:color w:val="000000"/>
          <w:spacing w:val="0"/>
          <w:kern w:val="0"/>
          <w:sz w:val="32"/>
          <w:szCs w:val="32"/>
          <w:highlight w:val="none"/>
          <w:lang w:val="en-US" w:eastAsia="zh-CN" w:bidi="ar"/>
        </w:rPr>
      </w:pPr>
      <w:r>
        <w:rPr>
          <w:rFonts w:hint="eastAsia" w:ascii="仿宋_GB2312" w:hAnsi="宋体" w:eastAsia="仿宋_GB2312" w:cs="仿宋_GB2312"/>
          <w:i w:val="0"/>
          <w:caps w:val="0"/>
          <w:color w:val="000000"/>
          <w:spacing w:val="0"/>
          <w:kern w:val="0"/>
          <w:sz w:val="32"/>
          <w:szCs w:val="32"/>
          <w:highlight w:val="none"/>
          <w:lang w:val="en-US" w:eastAsia="zh-CN" w:bidi="ar"/>
        </w:rPr>
        <w:drawing>
          <wp:anchor distT="0" distB="0" distL="114300" distR="114300" simplePos="0" relativeHeight="251662336" behindDoc="0" locked="0" layoutInCell="1" allowOverlap="1">
            <wp:simplePos x="0" y="0"/>
            <wp:positionH relativeFrom="column">
              <wp:posOffset>89535</wp:posOffset>
            </wp:positionH>
            <wp:positionV relativeFrom="paragraph">
              <wp:posOffset>53975</wp:posOffset>
            </wp:positionV>
            <wp:extent cx="5102225" cy="3143885"/>
            <wp:effectExtent l="0" t="0" r="3175" b="18415"/>
            <wp:wrapTopAndBottom/>
            <wp:docPr id="2" name="图片 2" descr="85279359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852793590"/>
                    <pic:cNvPicPr>
                      <a:picLocks noChangeAspect="true"/>
                    </pic:cNvPicPr>
                  </pic:nvPicPr>
                  <pic:blipFill>
                    <a:blip r:embed="rId10"/>
                    <a:stretch>
                      <a:fillRect/>
                    </a:stretch>
                  </pic:blipFill>
                  <pic:spPr>
                    <a:xfrm>
                      <a:off x="0" y="0"/>
                      <a:ext cx="5102225" cy="3143885"/>
                    </a:xfrm>
                    <a:prstGeom prst="rect">
                      <a:avLst/>
                    </a:prstGeom>
                  </pic:spPr>
                </pic:pic>
              </a:graphicData>
            </a:graphic>
          </wp:anchor>
        </w:drawing>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rightChars="0"/>
        <w:jc w:val="center"/>
        <w:textAlignment w:val="auto"/>
        <w:rPr>
          <w:rFonts w:hint="eastAsia" w:ascii="仿宋_GB2312" w:hAnsi="宋体" w:eastAsia="仿宋_GB2312" w:cs="仿宋_GB2312"/>
          <w:i w:val="0"/>
          <w:caps w:val="0"/>
          <w:color w:val="000000"/>
          <w:spacing w:val="0"/>
          <w:kern w:val="0"/>
          <w:sz w:val="28"/>
          <w:szCs w:val="28"/>
          <w:highlight w:val="none"/>
          <w:lang w:val="en-US" w:eastAsia="zh-CN" w:bidi="ar"/>
        </w:rPr>
      </w:pP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rightChars="0"/>
        <w:jc w:val="center"/>
        <w:textAlignment w:val="auto"/>
        <w:rPr>
          <w:rFonts w:hint="default" w:ascii="仿宋_GB2312" w:hAnsi="宋体" w:eastAsia="仿宋_GB2312" w:cs="仿宋_GB2312"/>
          <w:i w:val="0"/>
          <w:caps w:val="0"/>
          <w:color w:val="000000"/>
          <w:spacing w:val="0"/>
          <w:kern w:val="0"/>
          <w:sz w:val="28"/>
          <w:szCs w:val="28"/>
          <w:highlight w:val="none"/>
          <w:lang w:val="en-US" w:eastAsia="zh-CN" w:bidi="ar"/>
        </w:rPr>
      </w:pPr>
      <w:r>
        <w:rPr>
          <w:rFonts w:hint="eastAsia" w:ascii="仿宋_GB2312" w:hAnsi="宋体" w:eastAsia="仿宋_GB2312" w:cs="仿宋_GB2312"/>
          <w:i w:val="0"/>
          <w:caps w:val="0"/>
          <w:color w:val="000000"/>
          <w:spacing w:val="0"/>
          <w:kern w:val="0"/>
          <w:sz w:val="28"/>
          <w:szCs w:val="28"/>
          <w:highlight w:val="none"/>
          <w:lang w:val="en-US" w:eastAsia="zh-CN" w:bidi="ar"/>
        </w:rPr>
        <w:t>2021—2023年滕州市人民政府依申请公开办理数据对比</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640" w:firstLineChars="200"/>
        <w:jc w:val="left"/>
        <w:textAlignment w:val="auto"/>
        <w:rPr>
          <w:rFonts w:hint="eastAsia" w:ascii="仿宋_GB2312" w:hAnsi="宋体" w:eastAsia="仿宋_GB2312" w:cs="仿宋_GB2312"/>
          <w:i w:val="0"/>
          <w:caps w:val="0"/>
          <w:color w:val="000000"/>
          <w:spacing w:val="0"/>
          <w:kern w:val="0"/>
          <w:sz w:val="32"/>
          <w:szCs w:val="32"/>
          <w:highlight w:val="none"/>
          <w:lang w:val="en-US" w:eastAsia="zh-CN" w:bidi="ar"/>
        </w:rPr>
      </w:pPr>
      <w:r>
        <w:rPr>
          <w:rFonts w:hint="eastAsia" w:ascii="仿宋_GB2312" w:hAnsi="宋体" w:eastAsia="仿宋_GB2312" w:cs="仿宋_GB2312"/>
          <w:i w:val="0"/>
          <w:caps w:val="0"/>
          <w:color w:val="000000"/>
          <w:spacing w:val="0"/>
          <w:kern w:val="0"/>
          <w:sz w:val="32"/>
          <w:szCs w:val="32"/>
          <w:highlight w:val="none"/>
          <w:lang w:val="en-US" w:eastAsia="zh-CN" w:bidi="ar"/>
        </w:rPr>
        <w:drawing>
          <wp:anchor distT="0" distB="0" distL="114300" distR="114300" simplePos="0" relativeHeight="251663360" behindDoc="0" locked="0" layoutInCell="1" allowOverlap="1">
            <wp:simplePos x="0" y="0"/>
            <wp:positionH relativeFrom="column">
              <wp:posOffset>376555</wp:posOffset>
            </wp:positionH>
            <wp:positionV relativeFrom="paragraph">
              <wp:posOffset>121920</wp:posOffset>
            </wp:positionV>
            <wp:extent cx="4754880" cy="1979295"/>
            <wp:effectExtent l="0" t="0" r="7620" b="1905"/>
            <wp:wrapTopAndBottom/>
            <wp:docPr id="7" name="图片 7" descr="13679029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1367902917"/>
                    <pic:cNvPicPr>
                      <a:picLocks noChangeAspect="true"/>
                    </pic:cNvPicPr>
                  </pic:nvPicPr>
                  <pic:blipFill>
                    <a:blip r:embed="rId11"/>
                    <a:srcRect t="7398"/>
                    <a:stretch>
                      <a:fillRect/>
                    </a:stretch>
                  </pic:blipFill>
                  <pic:spPr>
                    <a:xfrm>
                      <a:off x="0" y="0"/>
                      <a:ext cx="4754880" cy="1979295"/>
                    </a:xfrm>
                    <a:prstGeom prst="rect">
                      <a:avLst/>
                    </a:prstGeom>
                  </pic:spPr>
                </pic:pic>
              </a:graphicData>
            </a:graphic>
          </wp:anchor>
        </w:drawing>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640" w:firstLineChars="200"/>
        <w:jc w:val="left"/>
        <w:textAlignment w:val="auto"/>
        <w:rPr>
          <w:rFonts w:hint="eastAsia" w:ascii="仿宋_GB2312" w:hAnsi="宋体" w:eastAsia="仿宋_GB2312" w:cs="仿宋_GB2312"/>
          <w:i w:val="0"/>
          <w:caps w:val="0"/>
          <w:color w:val="000000"/>
          <w:spacing w:val="0"/>
          <w:kern w:val="0"/>
          <w:sz w:val="32"/>
          <w:szCs w:val="32"/>
          <w:lang w:val="en-US" w:eastAsia="zh-CN" w:bidi="ar"/>
        </w:rPr>
      </w:pPr>
      <w:r>
        <w:rPr>
          <w:rFonts w:hint="eastAsia" w:ascii="仿宋_GB2312" w:hAnsi="宋体" w:eastAsia="仿宋_GB2312" w:cs="仿宋_GB2312"/>
          <w:i w:val="0"/>
          <w:iCs w:val="0"/>
          <w:caps w:val="0"/>
          <w:color w:val="000000"/>
          <w:spacing w:val="0"/>
          <w:sz w:val="32"/>
          <w:szCs w:val="32"/>
          <w:lang w:val="en-US" w:eastAsia="zh-CN"/>
        </w:rPr>
        <w:t>同时，</w:t>
      </w:r>
      <w:r>
        <w:rPr>
          <w:rFonts w:ascii="仿宋_GB2312" w:hAnsi="宋体" w:eastAsia="仿宋_GB2312" w:cs="仿宋_GB2312"/>
          <w:i w:val="0"/>
          <w:iCs w:val="0"/>
          <w:caps w:val="0"/>
          <w:color w:val="000000"/>
          <w:spacing w:val="0"/>
          <w:sz w:val="32"/>
          <w:szCs w:val="32"/>
        </w:rPr>
        <w:t>为规范</w:t>
      </w:r>
      <w:r>
        <w:rPr>
          <w:rFonts w:hint="eastAsia" w:ascii="仿宋_GB2312" w:hAnsi="宋体" w:eastAsia="仿宋_GB2312" w:cs="仿宋_GB2312"/>
          <w:i w:val="0"/>
          <w:iCs w:val="0"/>
          <w:caps w:val="0"/>
          <w:color w:val="000000"/>
          <w:spacing w:val="0"/>
          <w:sz w:val="32"/>
          <w:szCs w:val="32"/>
        </w:rPr>
        <w:t>政府信息告知书程序、文书规范性，开展</w:t>
      </w:r>
      <w:r>
        <w:rPr>
          <w:rFonts w:hint="eastAsia" w:ascii="仿宋_GB2312" w:hAnsi="宋体" w:eastAsia="仿宋_GB2312" w:cs="仿宋_GB2312"/>
          <w:i w:val="0"/>
          <w:iCs w:val="0"/>
          <w:caps w:val="0"/>
          <w:color w:val="000000"/>
          <w:spacing w:val="0"/>
          <w:sz w:val="32"/>
          <w:szCs w:val="32"/>
          <w:lang w:val="en-US" w:eastAsia="zh-CN"/>
        </w:rPr>
        <w:t>依申请公开业务大比武，现场</w:t>
      </w:r>
      <w:r>
        <w:rPr>
          <w:rFonts w:hint="eastAsia" w:ascii="仿宋_GB2312" w:hAnsi="宋体" w:eastAsia="仿宋_GB2312" w:cs="仿宋_GB2312"/>
          <w:i w:val="0"/>
          <w:iCs w:val="0"/>
          <w:caps w:val="0"/>
          <w:color w:val="000000"/>
          <w:spacing w:val="0"/>
          <w:sz w:val="32"/>
          <w:szCs w:val="32"/>
        </w:rPr>
        <w:t>模拟测试</w:t>
      </w:r>
      <w:r>
        <w:rPr>
          <w:rFonts w:hint="eastAsia" w:ascii="仿宋_GB2312" w:hAnsi="宋体" w:eastAsia="仿宋_GB2312" w:cs="仿宋_GB2312"/>
          <w:i w:val="0"/>
          <w:iCs w:val="0"/>
          <w:caps w:val="0"/>
          <w:color w:val="000000"/>
          <w:spacing w:val="0"/>
          <w:sz w:val="32"/>
          <w:szCs w:val="32"/>
          <w:lang w:eastAsia="zh-CN"/>
        </w:rPr>
        <w:t>，</w:t>
      </w:r>
      <w:r>
        <w:rPr>
          <w:rFonts w:hint="eastAsia" w:ascii="仿宋_GB2312" w:hAnsi="宋体" w:eastAsia="仿宋_GB2312" w:cs="仿宋_GB2312"/>
          <w:i w:val="0"/>
          <w:iCs w:val="0"/>
          <w:caps w:val="0"/>
          <w:color w:val="000000"/>
          <w:spacing w:val="0"/>
          <w:sz w:val="32"/>
          <w:szCs w:val="32"/>
          <w:lang w:val="en-US" w:eastAsia="zh-CN"/>
        </w:rPr>
        <w:t>平时加强</w:t>
      </w:r>
      <w:r>
        <w:rPr>
          <w:rFonts w:hint="eastAsia" w:ascii="仿宋_GB2312" w:hAnsi="宋体" w:eastAsia="仿宋_GB2312" w:cs="仿宋_GB2312"/>
          <w:i w:val="0"/>
          <w:iCs w:val="0"/>
          <w:caps w:val="0"/>
          <w:color w:val="000000"/>
          <w:spacing w:val="0"/>
          <w:sz w:val="32"/>
          <w:szCs w:val="32"/>
        </w:rPr>
        <w:t>告知书审核</w:t>
      </w:r>
      <w:r>
        <w:rPr>
          <w:rFonts w:hint="eastAsia" w:ascii="仿宋_GB2312" w:hAnsi="宋体" w:eastAsia="仿宋_GB2312" w:cs="仿宋_GB2312"/>
          <w:i w:val="0"/>
          <w:iCs w:val="0"/>
          <w:caps w:val="0"/>
          <w:color w:val="000000"/>
          <w:spacing w:val="0"/>
          <w:sz w:val="32"/>
          <w:szCs w:val="32"/>
          <w:lang w:eastAsia="zh-CN"/>
        </w:rPr>
        <w:t>、</w:t>
      </w:r>
      <w:r>
        <w:rPr>
          <w:rFonts w:hint="eastAsia" w:ascii="仿宋_GB2312" w:hAnsi="宋体" w:eastAsia="仿宋_GB2312" w:cs="仿宋_GB2312"/>
          <w:i w:val="0"/>
          <w:iCs w:val="0"/>
          <w:caps w:val="0"/>
          <w:color w:val="000000"/>
          <w:spacing w:val="0"/>
          <w:sz w:val="32"/>
          <w:szCs w:val="32"/>
          <w:lang w:val="en-US" w:eastAsia="zh-CN"/>
        </w:rPr>
        <w:t>运用“一对一”指导</w:t>
      </w:r>
      <w:r>
        <w:rPr>
          <w:rFonts w:hint="eastAsia" w:ascii="仿宋_GB2312" w:hAnsi="宋体" w:eastAsia="仿宋_GB2312" w:cs="仿宋_GB2312"/>
          <w:i w:val="0"/>
          <w:iCs w:val="0"/>
          <w:caps w:val="0"/>
          <w:color w:val="000000"/>
          <w:spacing w:val="0"/>
          <w:sz w:val="32"/>
          <w:szCs w:val="32"/>
        </w:rPr>
        <w:t>等方式，提升依申请公开答复水平。</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640" w:firstLineChars="200"/>
        <w:jc w:val="left"/>
        <w:textAlignment w:val="auto"/>
        <w:rPr>
          <w:rFonts w:hint="eastAsia" w:ascii="楷体" w:hAnsi="楷体" w:eastAsia="楷体" w:cs="楷体"/>
          <w:kern w:val="2"/>
          <w:sz w:val="32"/>
          <w:szCs w:val="32"/>
          <w:highlight w:val="yellow"/>
          <w:lang w:val="en-US" w:eastAsia="zh-CN" w:bidi="ar-SA"/>
        </w:rPr>
      </w:pPr>
      <w:r>
        <w:rPr>
          <w:rFonts w:hint="eastAsia" w:ascii="楷体" w:hAnsi="楷体" w:eastAsia="楷体" w:cs="楷体"/>
          <w:kern w:val="2"/>
          <w:sz w:val="32"/>
          <w:szCs w:val="32"/>
          <w:highlight w:val="none"/>
          <w:lang w:val="en-US" w:eastAsia="zh-CN" w:bidi="ar-SA"/>
        </w:rPr>
        <w:t>（三）政府信息管理情况</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2" w:firstLineChars="200"/>
        <w:jc w:val="left"/>
        <w:textAlignment w:val="auto"/>
        <w:rPr>
          <w:rFonts w:hint="eastAsia" w:ascii="仿宋_GB2312" w:hAnsi="宋体" w:eastAsia="仿宋_GB2312" w:cs="仿宋_GB2312"/>
          <w:i w:val="0"/>
          <w:caps w:val="0"/>
          <w:color w:val="000000"/>
          <w:spacing w:val="0"/>
          <w:kern w:val="0"/>
          <w:sz w:val="32"/>
          <w:szCs w:val="32"/>
          <w:lang w:val="en-US" w:eastAsia="zh-CN" w:bidi="ar"/>
        </w:rPr>
      </w:pPr>
      <w:r>
        <w:rPr>
          <w:rFonts w:hint="eastAsia" w:ascii="仿宋_GB2312" w:hAnsi="宋体" w:eastAsia="仿宋_GB2312" w:cs="仿宋_GB2312"/>
          <w:b/>
          <w:bCs/>
          <w:i w:val="0"/>
          <w:iCs w:val="0"/>
          <w:caps w:val="0"/>
          <w:color w:val="000000"/>
          <w:spacing w:val="0"/>
          <w:sz w:val="32"/>
          <w:szCs w:val="32"/>
          <w:lang w:val="en-US" w:eastAsia="zh-CN"/>
        </w:rPr>
        <w:t>一是</w:t>
      </w:r>
      <w:r>
        <w:rPr>
          <w:rFonts w:ascii="仿宋_GB2312" w:hAnsi="宋体" w:eastAsia="仿宋_GB2312" w:cs="仿宋_GB2312"/>
          <w:i w:val="0"/>
          <w:iCs w:val="0"/>
          <w:caps w:val="0"/>
          <w:color w:val="000000"/>
          <w:spacing w:val="0"/>
          <w:sz w:val="32"/>
          <w:szCs w:val="32"/>
        </w:rPr>
        <w:t>进一步完善主动公开目录，</w:t>
      </w:r>
      <w:r>
        <w:rPr>
          <w:rFonts w:hint="default" w:ascii="Times New Roman" w:hAnsi="Times New Roman" w:eastAsia="仿宋_GB2312" w:cs="Times New Roman"/>
          <w:spacing w:val="10"/>
          <w:kern w:val="2"/>
          <w:sz w:val="32"/>
          <w:szCs w:val="32"/>
          <w:lang w:val="en-US" w:eastAsia="zh-CN" w:bidi="ar-SA"/>
        </w:rPr>
        <w:t>在目录内容上，按照“应公开、尽公开”要求，动态更新目录内容，做到在内容上做“加法”</w:t>
      </w:r>
      <w:r>
        <w:rPr>
          <w:rFonts w:hint="eastAsia" w:ascii="Times New Roman" w:hAnsi="Times New Roman" w:eastAsia="仿宋_GB2312" w:cs="Times New Roman"/>
          <w:spacing w:val="10"/>
          <w:kern w:val="2"/>
          <w:sz w:val="32"/>
          <w:szCs w:val="32"/>
          <w:lang w:val="en-US" w:eastAsia="zh-CN" w:bidi="ar-SA"/>
        </w:rPr>
        <w:t>；在目录管理形式上，</w:t>
      </w:r>
      <w:r>
        <w:rPr>
          <w:rFonts w:ascii="仿宋_GB2312" w:hAnsi="宋体" w:eastAsia="仿宋_GB2312" w:cs="仿宋_GB2312"/>
          <w:i w:val="0"/>
          <w:iCs w:val="0"/>
          <w:caps w:val="0"/>
          <w:color w:val="000000"/>
          <w:spacing w:val="0"/>
          <w:sz w:val="32"/>
          <w:szCs w:val="32"/>
          <w:lang w:val="en-US" w:eastAsia="zh-CN"/>
        </w:rPr>
        <w:t>指导各单位加强横向协同、纵向合作，通力做好政府信息管理工作</w:t>
      </w:r>
      <w:r>
        <w:rPr>
          <w:rFonts w:hint="eastAsia" w:ascii="仿宋_GB2312" w:hAnsi="宋体" w:eastAsia="仿宋_GB2312" w:cs="仿宋_GB2312"/>
          <w:i w:val="0"/>
          <w:iCs w:val="0"/>
          <w:caps w:val="0"/>
          <w:color w:val="000000"/>
          <w:spacing w:val="0"/>
          <w:sz w:val="32"/>
          <w:szCs w:val="32"/>
          <w:lang w:eastAsia="zh-CN"/>
        </w:rPr>
        <w:t>。</w:t>
      </w:r>
      <w:r>
        <w:rPr>
          <w:rFonts w:hint="eastAsia" w:ascii="仿宋_GB2312" w:hAnsi="宋体" w:eastAsia="仿宋_GB2312" w:cs="仿宋_GB2312"/>
          <w:b/>
          <w:bCs/>
          <w:i w:val="0"/>
          <w:iCs w:val="0"/>
          <w:caps w:val="0"/>
          <w:color w:val="000000"/>
          <w:spacing w:val="0"/>
          <w:sz w:val="32"/>
          <w:szCs w:val="32"/>
          <w:lang w:val="en-US" w:eastAsia="zh-CN"/>
        </w:rPr>
        <w:t>二是</w:t>
      </w:r>
      <w:r>
        <w:rPr>
          <w:rStyle w:val="10"/>
          <w:rFonts w:ascii="仿宋" w:hAnsi="仿宋" w:eastAsia="仿宋" w:cs="仿宋"/>
          <w:b w:val="0"/>
          <w:bCs/>
          <w:i w:val="0"/>
          <w:caps w:val="0"/>
          <w:color w:val="333333"/>
          <w:spacing w:val="0"/>
          <w:kern w:val="0"/>
          <w:sz w:val="31"/>
          <w:szCs w:val="31"/>
          <w:lang w:val="en-US" w:eastAsia="zh-CN" w:bidi="ar"/>
        </w:rPr>
        <w:t>严格落实保密机制流程。</w:t>
      </w:r>
      <w:r>
        <w:rPr>
          <w:rFonts w:hint="eastAsia" w:ascii="仿宋_GB2312" w:hAnsi="宋体" w:eastAsia="仿宋_GB2312" w:cs="仿宋_GB2312"/>
          <w:b w:val="0"/>
          <w:bCs/>
          <w:i w:val="0"/>
          <w:caps w:val="0"/>
          <w:color w:val="000000"/>
          <w:spacing w:val="0"/>
          <w:kern w:val="0"/>
          <w:sz w:val="32"/>
          <w:szCs w:val="32"/>
          <w:lang w:val="en-US" w:eastAsia="zh-CN" w:bidi="ar"/>
        </w:rPr>
        <w:t>对</w:t>
      </w:r>
      <w:r>
        <w:rPr>
          <w:rFonts w:hint="eastAsia" w:ascii="仿宋_GB2312" w:hAnsi="宋体" w:eastAsia="仿宋_GB2312" w:cs="仿宋_GB2312"/>
          <w:i w:val="0"/>
          <w:caps w:val="0"/>
          <w:color w:val="000000"/>
          <w:spacing w:val="0"/>
          <w:kern w:val="0"/>
          <w:sz w:val="32"/>
          <w:szCs w:val="32"/>
          <w:lang w:val="en-US" w:eastAsia="zh-CN" w:bidi="ar"/>
        </w:rPr>
        <w:t>公开信息进行层层审批把关，</w:t>
      </w:r>
      <w:r>
        <w:rPr>
          <w:rFonts w:ascii="仿宋_GB2312" w:hAnsi="宋体" w:eastAsia="仿宋_GB2312" w:cs="仿宋_GB2312"/>
          <w:i w:val="0"/>
          <w:caps w:val="0"/>
          <w:color w:val="000000"/>
          <w:spacing w:val="0"/>
          <w:kern w:val="0"/>
          <w:sz w:val="32"/>
          <w:szCs w:val="32"/>
          <w:lang w:val="en-US" w:eastAsia="zh-CN" w:bidi="ar"/>
        </w:rPr>
        <w:t>加强内部协同合作，</w:t>
      </w:r>
      <w:r>
        <w:rPr>
          <w:rFonts w:hint="eastAsia" w:ascii="仿宋_GB2312" w:hAnsi="宋体" w:eastAsia="仿宋_GB2312" w:cs="仿宋_GB2312"/>
          <w:i w:val="0"/>
          <w:caps w:val="0"/>
          <w:color w:val="000000"/>
          <w:spacing w:val="0"/>
          <w:kern w:val="0"/>
          <w:sz w:val="32"/>
          <w:szCs w:val="32"/>
          <w:lang w:val="en-US" w:eastAsia="zh-CN" w:bidi="ar"/>
        </w:rPr>
        <w:t>确保信息发布的规范性、安全性和及时性。全年未发生在政府信息公开过程中公布涉密文件和泄密的情况。</w:t>
      </w:r>
      <w:r>
        <w:rPr>
          <w:rFonts w:hint="eastAsia" w:ascii="仿宋_GB2312" w:hAnsi="宋体" w:eastAsia="仿宋_GB2312" w:cs="仿宋_GB2312"/>
          <w:b/>
          <w:bCs/>
          <w:i w:val="0"/>
          <w:iCs w:val="0"/>
          <w:caps w:val="0"/>
          <w:color w:val="000000"/>
          <w:spacing w:val="0"/>
          <w:sz w:val="32"/>
          <w:szCs w:val="32"/>
          <w:lang w:val="en-US" w:eastAsia="zh-CN"/>
        </w:rPr>
        <w:t>三是</w:t>
      </w:r>
      <w:r>
        <w:rPr>
          <w:rFonts w:hint="eastAsia" w:ascii="仿宋_GB2312" w:hAnsi="宋体" w:eastAsia="仿宋_GB2312" w:cs="仿宋_GB2312"/>
          <w:i w:val="0"/>
          <w:iCs w:val="0"/>
          <w:caps w:val="0"/>
          <w:color w:val="000000"/>
          <w:spacing w:val="0"/>
          <w:sz w:val="32"/>
          <w:szCs w:val="32"/>
          <w:lang w:val="en-US" w:eastAsia="zh-CN"/>
        </w:rPr>
        <w:t>文件库归集管理，将2017年至今到市政府文件、市政府办公室文件集中整理，规范上传至政府文件库，高质量发布现行有效规章和行政规范性文件，结合市政府规章以及行政规范文件的定期清理工作，做到与省文件库实时同步更新的同时，实现全市规范性文件数据库动态管理。</w:t>
      </w:r>
      <w:r>
        <w:rPr>
          <w:rFonts w:hint="eastAsia" w:ascii="仿宋_GB2312" w:hAnsi="宋体" w:eastAsia="仿宋_GB2312" w:cs="仿宋_GB2312"/>
          <w:b/>
          <w:bCs/>
          <w:i w:val="0"/>
          <w:iCs w:val="0"/>
          <w:caps w:val="0"/>
          <w:color w:val="000000"/>
          <w:spacing w:val="0"/>
          <w:sz w:val="32"/>
          <w:szCs w:val="32"/>
          <w:lang w:val="en-US" w:eastAsia="zh-CN"/>
        </w:rPr>
        <w:t>四是</w:t>
      </w:r>
      <w:r>
        <w:rPr>
          <w:rFonts w:hint="default" w:ascii="仿宋_GB2312" w:hAnsi="宋体" w:eastAsia="仿宋_GB2312" w:cs="仿宋_GB2312"/>
          <w:i w:val="0"/>
          <w:iCs w:val="0"/>
          <w:caps w:val="0"/>
          <w:color w:val="000000"/>
          <w:spacing w:val="0"/>
          <w:sz w:val="32"/>
          <w:szCs w:val="32"/>
          <w:lang w:val="en-US" w:eastAsia="zh-CN"/>
        </w:rPr>
        <w:t>持续做好政府公报工作</w:t>
      </w:r>
      <w:r>
        <w:rPr>
          <w:rFonts w:hint="eastAsia" w:ascii="仿宋_GB2312" w:hAnsi="宋体" w:eastAsia="仿宋_GB2312" w:cs="仿宋_GB2312"/>
          <w:i w:val="0"/>
          <w:iCs w:val="0"/>
          <w:caps w:val="0"/>
          <w:color w:val="000000"/>
          <w:spacing w:val="0"/>
          <w:sz w:val="32"/>
          <w:szCs w:val="32"/>
          <w:lang w:val="en-US" w:eastAsia="zh-CN"/>
        </w:rPr>
        <w:t>，全年</w:t>
      </w:r>
      <w:r>
        <w:rPr>
          <w:rFonts w:hint="default" w:ascii="Times New Roman" w:hAnsi="Times New Roman" w:eastAsia="仿宋_GB2312" w:cs="Times New Roman"/>
          <w:bCs/>
          <w:sz w:val="32"/>
          <w:szCs w:val="32"/>
          <w:lang w:val="en-US" w:eastAsia="zh-CN"/>
        </w:rPr>
        <w:t>高质量编辑</w:t>
      </w:r>
      <w:r>
        <w:rPr>
          <w:rFonts w:hint="eastAsia" w:ascii="仿宋_GB2312" w:hAnsi="宋体" w:eastAsia="仿宋_GB2312" w:cs="仿宋_GB2312"/>
          <w:i w:val="0"/>
          <w:iCs w:val="0"/>
          <w:caps w:val="0"/>
          <w:color w:val="000000"/>
          <w:spacing w:val="0"/>
          <w:sz w:val="32"/>
          <w:szCs w:val="32"/>
          <w:lang w:val="en-US" w:eastAsia="zh-CN"/>
        </w:rPr>
        <w:t>《滕州市人民政府</w:t>
      </w:r>
      <w:r>
        <w:rPr>
          <w:rFonts w:hint="eastAsia" w:ascii="仿宋_GB2312" w:hAnsi="宋体" w:eastAsia="仿宋_GB2312" w:cs="仿宋_GB2312"/>
          <w:i w:val="0"/>
          <w:iCs w:val="0"/>
          <w:caps w:val="0"/>
          <w:color w:val="000000"/>
          <w:spacing w:val="0"/>
          <w:sz w:val="32"/>
          <w:szCs w:val="32"/>
          <w:highlight w:val="none"/>
          <w:lang w:val="en-US" w:eastAsia="zh-CN"/>
        </w:rPr>
        <w:t>公报》12期，</w:t>
      </w:r>
      <w:r>
        <w:rPr>
          <w:rFonts w:hint="default" w:ascii="Times New Roman" w:hAnsi="Times New Roman" w:eastAsia="仿宋_GB2312" w:cs="Times New Roman"/>
          <w:bCs/>
          <w:sz w:val="32"/>
          <w:szCs w:val="32"/>
          <w:highlight w:val="none"/>
          <w:lang w:val="en-US" w:eastAsia="zh-CN"/>
        </w:rPr>
        <w:t>同步办好公报移动电子版</w:t>
      </w:r>
      <w:r>
        <w:rPr>
          <w:rFonts w:hint="eastAsia" w:ascii="仿宋_GB2312" w:hAnsi="宋体" w:eastAsia="仿宋_GB2312" w:cs="仿宋_GB2312"/>
          <w:i w:val="0"/>
          <w:iCs w:val="0"/>
          <w:caps w:val="0"/>
          <w:color w:val="000000"/>
          <w:spacing w:val="0"/>
          <w:sz w:val="32"/>
          <w:szCs w:val="32"/>
          <w:highlight w:val="none"/>
          <w:lang w:val="en-US" w:eastAsia="zh-CN"/>
        </w:rPr>
        <w:t>，实现</w:t>
      </w:r>
      <w:r>
        <w:rPr>
          <w:rFonts w:hint="default" w:ascii="Times New Roman" w:hAnsi="Times New Roman" w:eastAsia="仿宋_GB2312" w:cs="Times New Roman"/>
          <w:bCs/>
          <w:sz w:val="32"/>
          <w:szCs w:val="32"/>
          <w:highlight w:val="none"/>
          <w:lang w:val="en-US" w:eastAsia="zh-CN"/>
        </w:rPr>
        <w:t>政府公报电子化率、上</w:t>
      </w:r>
      <w:r>
        <w:rPr>
          <w:rFonts w:hint="default" w:ascii="Times New Roman" w:hAnsi="Times New Roman" w:eastAsia="仿宋_GB2312" w:cs="Times New Roman"/>
          <w:bCs/>
          <w:sz w:val="32"/>
          <w:szCs w:val="32"/>
          <w:lang w:val="en-US" w:eastAsia="zh-CN"/>
        </w:rPr>
        <w:t>网及时率100%</w:t>
      </w:r>
      <w:r>
        <w:rPr>
          <w:rFonts w:hint="eastAsia" w:ascii="仿宋_GB2312" w:hAnsi="宋体" w:eastAsia="仿宋_GB2312" w:cs="仿宋_GB2312"/>
          <w:i w:val="0"/>
          <w:iCs w:val="0"/>
          <w:caps w:val="0"/>
          <w:color w:val="000000"/>
          <w:spacing w:val="0"/>
          <w:sz w:val="32"/>
          <w:szCs w:val="32"/>
          <w:lang w:val="en-US" w:eastAsia="zh-CN"/>
        </w:rPr>
        <w:t>。除此之外，还将纸质版公报分发到各单位政务公开体验区、档案馆和图书</w:t>
      </w:r>
      <w:r>
        <w:rPr>
          <w:rFonts w:hint="eastAsia" w:ascii="仿宋_GB2312" w:hAnsi="宋体" w:eastAsia="仿宋_GB2312" w:cs="仿宋_GB2312"/>
          <w:i w:val="0"/>
          <w:caps w:val="0"/>
          <w:color w:val="000000"/>
          <w:spacing w:val="0"/>
          <w:kern w:val="0"/>
          <w:sz w:val="32"/>
          <w:szCs w:val="32"/>
          <w:lang w:val="en-US" w:eastAsia="zh-CN" w:bidi="ar"/>
        </w:rPr>
        <w:t>馆政府信息公开查阅中心，提供免费查阅，扩大阅读群体范围。</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640" w:firstLineChars="200"/>
        <w:jc w:val="left"/>
        <w:textAlignment w:val="auto"/>
        <w:rPr>
          <w:rFonts w:hint="eastAsia" w:ascii="楷体" w:hAnsi="楷体" w:eastAsia="楷体" w:cs="楷体"/>
          <w:kern w:val="2"/>
          <w:sz w:val="32"/>
          <w:szCs w:val="32"/>
          <w:highlight w:val="none"/>
          <w:lang w:val="en-US" w:eastAsia="zh-CN" w:bidi="ar-SA"/>
        </w:rPr>
      </w:pPr>
      <w:r>
        <w:rPr>
          <w:rFonts w:hint="eastAsia" w:ascii="楷体" w:hAnsi="楷体" w:eastAsia="楷体" w:cs="楷体"/>
          <w:kern w:val="2"/>
          <w:sz w:val="32"/>
          <w:szCs w:val="32"/>
          <w:highlight w:val="none"/>
          <w:lang w:val="en-US" w:eastAsia="zh-CN" w:bidi="ar-SA"/>
        </w:rPr>
        <w:t>（四）平台建设情况</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宋体" w:eastAsia="仿宋_GB2312" w:cs="仿宋_GB2312"/>
          <w:i w:val="0"/>
          <w:caps w:val="0"/>
          <w:color w:val="000000"/>
          <w:spacing w:val="0"/>
          <w:kern w:val="0"/>
          <w:sz w:val="32"/>
          <w:szCs w:val="32"/>
          <w:highlight w:val="none"/>
          <w:lang w:val="en-US" w:eastAsia="zh-CN" w:bidi="ar"/>
        </w:rPr>
      </w:pPr>
      <w:r>
        <w:rPr>
          <w:rFonts w:hint="eastAsia" w:ascii="仿宋_GB2312" w:hAnsi="宋体" w:eastAsia="仿宋_GB2312" w:cs="仿宋_GB2312"/>
          <w:i w:val="0"/>
          <w:caps w:val="0"/>
          <w:color w:val="000000"/>
          <w:spacing w:val="0"/>
          <w:kern w:val="0"/>
          <w:sz w:val="32"/>
          <w:szCs w:val="32"/>
          <w:highlight w:val="none"/>
          <w:lang w:val="en-US" w:eastAsia="zh-CN" w:bidi="ar"/>
        </w:rPr>
        <w:t>紧扣数据赋能，进一步夯实公开平台体系建设。</w:t>
      </w:r>
      <w:r>
        <w:rPr>
          <w:rFonts w:hint="default" w:ascii="Times New Roman" w:hAnsi="Times New Roman" w:eastAsia="仿宋_GB2312" w:cs="Times New Roman"/>
          <w:bCs/>
          <w:sz w:val="32"/>
          <w:szCs w:val="32"/>
          <w:lang w:val="en-US" w:eastAsia="zh-CN"/>
        </w:rPr>
        <w:t>充分发挥门户网站“主阵地”作用，优化市政府网站栏目设置，</w:t>
      </w:r>
      <w:r>
        <w:rPr>
          <w:rFonts w:hint="eastAsia" w:ascii="仿宋_GB2312" w:hAnsi="宋体" w:eastAsia="仿宋_GB2312" w:cs="仿宋_GB2312"/>
          <w:i w:val="0"/>
          <w:caps w:val="0"/>
          <w:color w:val="000000"/>
          <w:spacing w:val="0"/>
          <w:kern w:val="0"/>
          <w:sz w:val="32"/>
          <w:szCs w:val="32"/>
          <w:highlight w:val="none"/>
          <w:lang w:val="en-US" w:eastAsia="zh-CN" w:bidi="ar"/>
        </w:rPr>
        <w:t>更新政府开放日、双随机一公开、重大决策预公开等多个专题专栏，切实为群众提供优质、高效的政务公开体验。着力政府网站和政务新媒体日常监管运维，定期组织三方检测普查，全年共完成政府网站检测普查4次，新媒体检测普查4次；一年来，未出现被市政府通报的不合格政府网站和政务新媒体。</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楷体" w:hAnsi="楷体" w:eastAsia="楷体" w:cs="楷体"/>
          <w:b w:val="0"/>
          <w:bCs w:val="0"/>
          <w:sz w:val="32"/>
          <w:szCs w:val="32"/>
          <w:highlight w:val="none"/>
          <w:lang w:val="en-US" w:eastAsia="zh-CN"/>
        </w:rPr>
      </w:pPr>
      <w:r>
        <w:rPr>
          <w:rFonts w:hint="eastAsia" w:ascii="楷体" w:hAnsi="楷体" w:eastAsia="楷体" w:cs="楷体"/>
          <w:kern w:val="2"/>
          <w:sz w:val="32"/>
          <w:szCs w:val="32"/>
          <w:highlight w:val="none"/>
          <w:lang w:val="en-US" w:eastAsia="zh-CN" w:bidi="ar-SA"/>
        </w:rPr>
        <w:t>（五）监督保障情况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2" w:firstLineChars="200"/>
        <w:jc w:val="left"/>
        <w:textAlignment w:val="auto"/>
        <w:rPr>
          <w:rFonts w:hint="eastAsia" w:ascii="仿宋_GB2312" w:hAnsi="宋体" w:eastAsia="仿宋_GB2312" w:cs="仿宋_GB2312"/>
          <w:i w:val="0"/>
          <w:caps w:val="0"/>
          <w:color w:val="000000"/>
          <w:spacing w:val="0"/>
          <w:kern w:val="0"/>
          <w:sz w:val="32"/>
          <w:szCs w:val="32"/>
          <w:lang w:val="en-US" w:eastAsia="zh-CN" w:bidi="ar"/>
        </w:rPr>
      </w:pPr>
      <w:r>
        <w:rPr>
          <w:rFonts w:ascii="仿宋_GB2312" w:hAnsi="宋体" w:eastAsia="仿宋_GB2312" w:cs="仿宋_GB2312"/>
          <w:b/>
          <w:bCs/>
          <w:i w:val="0"/>
          <w:caps w:val="0"/>
          <w:color w:val="000000"/>
          <w:spacing w:val="0"/>
          <w:kern w:val="0"/>
          <w:sz w:val="32"/>
          <w:szCs w:val="32"/>
          <w:highlight w:val="none"/>
          <w:lang w:val="en-US" w:eastAsia="zh-CN" w:bidi="ar"/>
        </w:rPr>
        <w:t>一是加强组织领导</w:t>
      </w:r>
      <w:r>
        <w:rPr>
          <w:rFonts w:ascii="仿宋_GB2312" w:hAnsi="宋体" w:eastAsia="仿宋_GB2312" w:cs="仿宋_GB2312"/>
          <w:b/>
          <w:bCs/>
          <w:i w:val="0"/>
          <w:caps w:val="0"/>
          <w:color w:val="000000"/>
          <w:spacing w:val="0"/>
          <w:kern w:val="0"/>
          <w:sz w:val="32"/>
          <w:szCs w:val="32"/>
          <w:lang w:val="en-US" w:eastAsia="zh-CN" w:bidi="ar"/>
        </w:rPr>
        <w:t>。</w:t>
      </w:r>
      <w:r>
        <w:rPr>
          <w:rFonts w:hint="eastAsia" w:ascii="仿宋_GB2312" w:hAnsi="宋体" w:eastAsia="仿宋_GB2312" w:cs="仿宋_GB2312"/>
          <w:i w:val="0"/>
          <w:caps w:val="0"/>
          <w:color w:val="000000"/>
          <w:spacing w:val="0"/>
          <w:kern w:val="0"/>
          <w:sz w:val="32"/>
          <w:szCs w:val="32"/>
          <w:highlight w:val="none"/>
          <w:lang w:val="en-US" w:eastAsia="zh-CN" w:bidi="ar"/>
        </w:rPr>
        <w:t>及时调整政务公开工作领导小组，统筹推进、指导、协调、监督政务公开工作。根据工作开展情况进一步完善体制机制，持续推动政务公开工作走深走细走实。</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left"/>
        <w:rPr>
          <w:rFonts w:hint="eastAsia" w:ascii="仿宋_GB2312" w:hAnsi="宋体" w:eastAsia="仿宋_GB2312" w:cs="仿宋_GB2312"/>
          <w:i w:val="0"/>
          <w:caps w:val="0"/>
          <w:color w:val="000000"/>
          <w:spacing w:val="0"/>
          <w:kern w:val="0"/>
          <w:sz w:val="32"/>
          <w:szCs w:val="32"/>
          <w:highlight w:val="none"/>
          <w:lang w:val="en-US" w:eastAsia="zh-CN" w:bidi="ar"/>
        </w:rPr>
      </w:pPr>
      <w:r>
        <w:rPr>
          <w:rFonts w:hint="eastAsia" w:ascii="仿宋_GB2312" w:hAnsi="宋体" w:eastAsia="仿宋_GB2312" w:cs="仿宋_GB2312"/>
          <w:b/>
          <w:bCs/>
          <w:i w:val="0"/>
          <w:caps w:val="0"/>
          <w:color w:val="000000"/>
          <w:spacing w:val="0"/>
          <w:kern w:val="0"/>
          <w:sz w:val="32"/>
          <w:szCs w:val="32"/>
          <w:highlight w:val="none"/>
          <w:lang w:val="en-US" w:eastAsia="zh-CN" w:bidi="ar"/>
        </w:rPr>
        <w:t>二是完善</w:t>
      </w:r>
      <w:r>
        <w:rPr>
          <w:rFonts w:hint="eastAsia" w:ascii="仿宋_GB2312" w:hAnsi="Arial" w:eastAsia="仿宋_GB2312" w:cs="仿宋_GB2312"/>
          <w:b/>
          <w:bCs/>
          <w:i w:val="0"/>
          <w:caps w:val="0"/>
          <w:color w:val="000000"/>
          <w:spacing w:val="0"/>
          <w:sz w:val="32"/>
          <w:szCs w:val="32"/>
          <w:highlight w:val="none"/>
          <w:shd w:val="clear" w:color="auto" w:fill="FFFFFF"/>
        </w:rPr>
        <w:t>机制建设。</w:t>
      </w:r>
      <w:r>
        <w:rPr>
          <w:rFonts w:hint="eastAsia" w:ascii="仿宋_GB2312" w:hAnsi="Times New Roman" w:eastAsia="仿宋_GB2312" w:cs="仿宋_GB2312"/>
          <w:i w:val="0"/>
          <w:caps w:val="0"/>
          <w:color w:val="000000"/>
          <w:spacing w:val="0"/>
          <w:kern w:val="0"/>
          <w:sz w:val="32"/>
          <w:szCs w:val="32"/>
          <w:lang w:val="en-US" w:eastAsia="zh-CN" w:bidi="ar"/>
        </w:rPr>
        <w:t>建立政务公开与大数据中心联合督查制度，进一步完善政务公开专项督查、专人日常检测、问题整改一体化工作机制，对信息时效性、规范性、错链、错别字进行全面检查，发现问题及时整改，提升信息发布质量。对各单位的主动公开、依申请公开、信息撰写等工作进行测评，测评结果计入高质量发展综合绩效考核成绩，测评考核制度进一步完善，切实提升全市政务公开工作水平。</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2" w:firstLineChars="200"/>
        <w:jc w:val="left"/>
        <w:textAlignment w:val="auto"/>
      </w:pPr>
      <w:r>
        <w:rPr>
          <w:rFonts w:hint="eastAsia" w:ascii="仿宋_GB2312" w:hAnsi="宋体" w:eastAsia="仿宋_GB2312" w:cs="仿宋_GB2312"/>
          <w:b/>
          <w:bCs/>
          <w:i w:val="0"/>
          <w:caps w:val="0"/>
          <w:color w:val="000000"/>
          <w:spacing w:val="0"/>
          <w:kern w:val="0"/>
          <w:sz w:val="32"/>
          <w:szCs w:val="32"/>
          <w:highlight w:val="none"/>
          <w:lang w:val="en-US" w:eastAsia="zh-CN" w:bidi="ar"/>
        </w:rPr>
        <w:t>三是</w:t>
      </w:r>
      <w:r>
        <w:rPr>
          <w:rFonts w:hint="eastAsia" w:ascii="仿宋_GB2312" w:hAnsi="仿宋_GB2312" w:eastAsia="仿宋_GB2312" w:cs="仿宋_GB2312"/>
          <w:b/>
          <w:bCs/>
          <w:i w:val="0"/>
          <w:caps w:val="0"/>
          <w:color w:val="auto"/>
          <w:spacing w:val="0"/>
          <w:sz w:val="32"/>
          <w:szCs w:val="32"/>
          <w:highlight w:val="none"/>
          <w:shd w:val="clear" w:color="auto" w:fill="FFFFFF"/>
          <w:lang w:eastAsia="zh-CN"/>
        </w:rPr>
        <w:t>抓好</w:t>
      </w:r>
      <w:r>
        <w:rPr>
          <w:rFonts w:hint="eastAsia" w:ascii="仿宋_GB2312" w:hAnsi="仿宋_GB2312" w:eastAsia="仿宋_GB2312" w:cs="仿宋_GB2312"/>
          <w:b/>
          <w:bCs/>
          <w:i w:val="0"/>
          <w:caps w:val="0"/>
          <w:color w:val="auto"/>
          <w:spacing w:val="0"/>
          <w:sz w:val="32"/>
          <w:szCs w:val="32"/>
          <w:highlight w:val="none"/>
          <w:shd w:val="clear" w:color="auto" w:fill="FFFFFF"/>
        </w:rPr>
        <w:t>队伍建设</w:t>
      </w:r>
      <w:r>
        <w:rPr>
          <w:rFonts w:hint="eastAsia" w:ascii="仿宋_GB2312" w:hAnsi="仿宋_GB2312" w:eastAsia="仿宋_GB2312" w:cs="仿宋_GB2312"/>
          <w:b/>
          <w:bCs/>
          <w:i w:val="0"/>
          <w:caps w:val="0"/>
          <w:color w:val="auto"/>
          <w:spacing w:val="0"/>
          <w:sz w:val="32"/>
          <w:szCs w:val="32"/>
          <w:shd w:val="clear" w:color="auto" w:fill="FFFFFF"/>
          <w:lang w:eastAsia="zh-CN"/>
        </w:rPr>
        <w:t>。</w:t>
      </w:r>
      <w:r>
        <w:rPr>
          <w:rFonts w:hint="default" w:ascii="仿宋_GB2312" w:hAnsi="Times New Roman" w:eastAsia="仿宋_GB2312" w:cs="仿宋_GB2312"/>
          <w:i w:val="0"/>
          <w:caps w:val="0"/>
          <w:color w:val="000000"/>
          <w:spacing w:val="0"/>
          <w:kern w:val="0"/>
          <w:sz w:val="32"/>
          <w:szCs w:val="32"/>
          <w:lang w:val="en-US" w:eastAsia="zh-CN" w:bidi="ar"/>
        </w:rPr>
        <w:t>印发《202</w:t>
      </w:r>
      <w:r>
        <w:rPr>
          <w:rFonts w:hint="eastAsia" w:ascii="仿宋_GB2312" w:hAnsi="Times New Roman" w:eastAsia="仿宋_GB2312" w:cs="仿宋_GB2312"/>
          <w:i w:val="0"/>
          <w:caps w:val="0"/>
          <w:color w:val="000000"/>
          <w:spacing w:val="0"/>
          <w:kern w:val="0"/>
          <w:sz w:val="32"/>
          <w:szCs w:val="32"/>
          <w:lang w:val="en-US" w:eastAsia="zh-CN" w:bidi="ar"/>
        </w:rPr>
        <w:t>3</w:t>
      </w:r>
      <w:r>
        <w:rPr>
          <w:rFonts w:hint="default" w:ascii="仿宋_GB2312" w:hAnsi="Times New Roman" w:eastAsia="仿宋_GB2312" w:cs="仿宋_GB2312"/>
          <w:i w:val="0"/>
          <w:caps w:val="0"/>
          <w:color w:val="000000"/>
          <w:spacing w:val="0"/>
          <w:kern w:val="0"/>
          <w:sz w:val="32"/>
          <w:szCs w:val="32"/>
          <w:lang w:val="en-US" w:eastAsia="zh-CN" w:bidi="ar"/>
        </w:rPr>
        <w:t>年</w:t>
      </w:r>
      <w:r>
        <w:rPr>
          <w:rFonts w:hint="eastAsia" w:ascii="仿宋_GB2312" w:hAnsi="Times New Roman" w:eastAsia="仿宋_GB2312" w:cs="仿宋_GB2312"/>
          <w:i w:val="0"/>
          <w:caps w:val="0"/>
          <w:color w:val="000000"/>
          <w:spacing w:val="0"/>
          <w:kern w:val="0"/>
          <w:sz w:val="32"/>
          <w:szCs w:val="32"/>
          <w:lang w:val="en-US" w:eastAsia="zh-CN" w:bidi="ar"/>
        </w:rPr>
        <w:t>滕州</w:t>
      </w:r>
      <w:r>
        <w:rPr>
          <w:rFonts w:hint="default" w:ascii="仿宋_GB2312" w:hAnsi="Times New Roman" w:eastAsia="仿宋_GB2312" w:cs="仿宋_GB2312"/>
          <w:i w:val="0"/>
          <w:caps w:val="0"/>
          <w:color w:val="000000"/>
          <w:spacing w:val="0"/>
          <w:kern w:val="0"/>
          <w:sz w:val="32"/>
          <w:szCs w:val="32"/>
          <w:lang w:val="en-US" w:eastAsia="zh-CN" w:bidi="ar"/>
        </w:rPr>
        <w:t>市政务公开</w:t>
      </w:r>
      <w:r>
        <w:rPr>
          <w:rFonts w:hint="eastAsia" w:ascii="仿宋_GB2312" w:hAnsi="Times New Roman" w:eastAsia="仿宋_GB2312" w:cs="仿宋_GB2312"/>
          <w:i w:val="0"/>
          <w:caps w:val="0"/>
          <w:color w:val="000000"/>
          <w:spacing w:val="0"/>
          <w:kern w:val="0"/>
          <w:sz w:val="32"/>
          <w:szCs w:val="32"/>
          <w:lang w:val="en-US" w:eastAsia="zh-CN" w:bidi="ar"/>
        </w:rPr>
        <w:t>考核评估指标体系信息保障标准</w:t>
      </w:r>
      <w:r>
        <w:rPr>
          <w:rFonts w:hint="default" w:ascii="仿宋_GB2312" w:hAnsi="Times New Roman" w:eastAsia="仿宋_GB2312" w:cs="仿宋_GB2312"/>
          <w:i w:val="0"/>
          <w:caps w:val="0"/>
          <w:color w:val="000000"/>
          <w:spacing w:val="0"/>
          <w:kern w:val="0"/>
          <w:sz w:val="32"/>
          <w:szCs w:val="32"/>
          <w:lang w:val="en-US" w:eastAsia="zh-CN" w:bidi="ar"/>
        </w:rPr>
        <w:t>》</w:t>
      </w:r>
      <w:r>
        <w:rPr>
          <w:rFonts w:hint="eastAsia" w:ascii="仿宋_GB2312" w:hAnsi="Times New Roman" w:eastAsia="仿宋_GB2312" w:cs="仿宋_GB2312"/>
          <w:i w:val="0"/>
          <w:caps w:val="0"/>
          <w:color w:val="000000"/>
          <w:spacing w:val="0"/>
          <w:kern w:val="0"/>
          <w:sz w:val="32"/>
          <w:szCs w:val="32"/>
          <w:lang w:val="en-US" w:eastAsia="zh-CN" w:bidi="ar"/>
        </w:rPr>
        <w:t>《政策文件库操作说明》</w:t>
      </w:r>
      <w:r>
        <w:rPr>
          <w:rFonts w:hint="default" w:ascii="仿宋_GB2312" w:hAnsi="Times New Roman" w:eastAsia="仿宋_GB2312" w:cs="仿宋_GB2312"/>
          <w:i w:val="0"/>
          <w:caps w:val="0"/>
          <w:color w:val="000000"/>
          <w:spacing w:val="0"/>
          <w:kern w:val="0"/>
          <w:sz w:val="32"/>
          <w:szCs w:val="32"/>
          <w:lang w:val="en-US" w:eastAsia="zh-CN" w:bidi="ar"/>
        </w:rPr>
        <w:t>，实行全面培训和精准培训相结合，</w:t>
      </w:r>
      <w:r>
        <w:rPr>
          <w:rFonts w:hint="eastAsia" w:ascii="仿宋_GB2312" w:hAnsi="Times New Roman" w:eastAsia="仿宋_GB2312" w:cs="仿宋_GB2312"/>
          <w:i w:val="0"/>
          <w:caps w:val="0"/>
          <w:color w:val="000000"/>
          <w:spacing w:val="0"/>
          <w:kern w:val="0"/>
          <w:sz w:val="32"/>
          <w:szCs w:val="32"/>
          <w:lang w:val="en-US" w:eastAsia="zh-CN" w:bidi="ar"/>
        </w:rPr>
        <w:t>着力提升政府信息公开人员队伍素质能力，搭建学习交流平台，开展以干代训、座谈交流、专题培训等各类培训活动，结合阶段性对各部门各镇街的政务公开工作进行检查，整理问题台账，有针对性的进行整改及时解决各部门镇街政务公开重点难点问题。邀请法律顾问参与点评政府信息依申请公开业务培训会议，确保依申请工作保质保量完成。全方位提升政府信息公开干部队伍业务水平。</w:t>
      </w:r>
    </w:p>
    <w:p>
      <w:pPr>
        <w:pStyle w:val="7"/>
        <w:widowControl/>
        <w:shd w:val="clear" w:color="auto" w:fill="FFFFFF"/>
        <w:spacing w:beforeAutospacing="0" w:after="240" w:afterAutospacing="0"/>
        <w:ind w:firstLine="640" w:firstLineChars="200"/>
        <w:jc w:val="both"/>
        <w:rPr>
          <w:rFonts w:ascii="黑体" w:hAnsi="黑体" w:eastAsia="黑体" w:cs="黑体"/>
          <w:color w:val="333333"/>
          <w:sz w:val="32"/>
          <w:szCs w:val="32"/>
        </w:rPr>
      </w:pPr>
      <w:r>
        <w:rPr>
          <w:rFonts w:hint="eastAsia" w:ascii="黑体" w:hAnsi="黑体" w:eastAsia="黑体" w:cs="黑体"/>
          <w:color w:val="333333"/>
          <w:sz w:val="32"/>
          <w:szCs w:val="32"/>
          <w:shd w:val="clear" w:color="auto" w:fill="FFFFFF"/>
        </w:rPr>
        <w:t>二、主动公开政府信息情况</w:t>
      </w:r>
    </w:p>
    <w:tbl>
      <w:tblPr>
        <w:tblStyle w:val="8"/>
        <w:tblW w:w="8824" w:type="dxa"/>
        <w:tblInd w:w="0" w:type="dxa"/>
        <w:tblLayout w:type="fixed"/>
        <w:tblCellMar>
          <w:top w:w="0" w:type="dxa"/>
          <w:left w:w="108" w:type="dxa"/>
          <w:bottom w:w="0" w:type="dxa"/>
          <w:right w:w="108" w:type="dxa"/>
        </w:tblCellMar>
      </w:tblPr>
      <w:tblGrid>
        <w:gridCol w:w="2206"/>
        <w:gridCol w:w="2206"/>
        <w:gridCol w:w="2206"/>
        <w:gridCol w:w="2206"/>
      </w:tblGrid>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第二十条第（一）项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本年制发件数</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本年废止件数</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现行有效件数</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规章</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行政规范性文件</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2</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center"/>
              <w:rPr>
                <w:rFonts w:hint="default"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highlight w:val="none"/>
                <w:lang w:val="en-US" w:eastAsia="zh-CN"/>
              </w:rPr>
              <w:t>15</w:t>
            </w:r>
          </w:p>
        </w:tc>
      </w:tr>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第二十条第（五）项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行政许可</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hint="default"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71745</w:t>
            </w:r>
          </w:p>
        </w:tc>
      </w:tr>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第二十条第（六）项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4"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行政处罚</w:t>
            </w:r>
          </w:p>
        </w:tc>
        <w:tc>
          <w:tcPr>
            <w:tcW w:w="6618" w:type="dxa"/>
            <w:gridSpan w:val="3"/>
            <w:tcBorders>
              <w:top w:val="single" w:color="auto" w:sz="8" w:space="0"/>
              <w:left w:val="nil"/>
              <w:bottom w:val="single" w:color="auto" w:sz="4" w:space="0"/>
              <w:right w:val="single" w:color="000000" w:sz="8" w:space="0"/>
            </w:tcBorders>
            <w:noWrap w:val="0"/>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6432</w:t>
            </w:r>
          </w:p>
        </w:tc>
      </w:tr>
      <w:tr>
        <w:tblPrEx>
          <w:tblCellMar>
            <w:top w:w="0" w:type="dxa"/>
            <w:left w:w="108" w:type="dxa"/>
            <w:bottom w:w="0" w:type="dxa"/>
            <w:right w:w="108" w:type="dxa"/>
          </w:tblCellMar>
        </w:tblPrEx>
        <w:trPr>
          <w:trHeight w:val="567" w:hRule="atLeast"/>
        </w:trPr>
        <w:tc>
          <w:tcPr>
            <w:tcW w:w="2206" w:type="dxa"/>
            <w:tcBorders>
              <w:top w:val="single" w:color="auto" w:sz="4" w:space="0"/>
              <w:left w:val="single" w:color="auto" w:sz="4" w:space="0"/>
              <w:bottom w:val="single" w:color="auto" w:sz="4"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行政强制</w:t>
            </w:r>
          </w:p>
        </w:tc>
        <w:tc>
          <w:tcPr>
            <w:tcW w:w="6618" w:type="dxa"/>
            <w:gridSpan w:val="3"/>
            <w:tcBorders>
              <w:top w:val="single" w:color="auto" w:sz="4" w:space="0"/>
              <w:left w:val="nil"/>
              <w:bottom w:val="single" w:color="auto" w:sz="4" w:space="0"/>
              <w:right w:val="single" w:color="auto" w:sz="4" w:space="0"/>
            </w:tcBorders>
            <w:noWrap w:val="0"/>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270</w:t>
            </w:r>
          </w:p>
        </w:tc>
      </w:tr>
      <w:tr>
        <w:tblPrEx>
          <w:tblCellMar>
            <w:top w:w="0" w:type="dxa"/>
            <w:left w:w="108" w:type="dxa"/>
            <w:bottom w:w="0" w:type="dxa"/>
            <w:right w:w="108" w:type="dxa"/>
          </w:tblCellMar>
        </w:tblPrEx>
        <w:trPr>
          <w:trHeight w:val="567" w:hRule="atLeast"/>
        </w:trPr>
        <w:tc>
          <w:tcPr>
            <w:tcW w:w="8824" w:type="dxa"/>
            <w:gridSpan w:val="4"/>
            <w:tcBorders>
              <w:top w:val="single" w:color="auto" w:sz="4"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第二十条第（八）项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本年收费金额（单位：万元）</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行政事业性收费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hint="default"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35208</w:t>
            </w:r>
          </w:p>
        </w:tc>
      </w:tr>
    </w:tbl>
    <w:p>
      <w:pPr>
        <w:pStyle w:val="7"/>
        <w:widowControl/>
        <w:shd w:val="clear" w:color="auto" w:fill="FFFFFF"/>
        <w:spacing w:beforeAutospacing="0" w:after="240" w:afterAutospacing="0"/>
        <w:ind w:firstLine="320" w:firstLineChars="100"/>
        <w:jc w:val="both"/>
        <w:rPr>
          <w:rFonts w:hint="eastAsia" w:ascii="黑体" w:hAnsi="黑体" w:eastAsia="黑体" w:cs="黑体"/>
          <w:b w:val="0"/>
          <w:bCs/>
          <w:color w:val="333333"/>
          <w:sz w:val="32"/>
          <w:szCs w:val="32"/>
          <w:shd w:val="clear" w:color="auto" w:fill="FFFFFF"/>
        </w:rPr>
      </w:pP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320" w:firstLineChars="100"/>
        <w:jc w:val="both"/>
        <w:textAlignment w:val="auto"/>
        <w:rPr>
          <w:rFonts w:hint="eastAsia" w:ascii="黑体" w:hAnsi="黑体" w:eastAsia="黑体" w:cs="黑体"/>
          <w:b w:val="0"/>
          <w:bCs/>
          <w:color w:val="FF0000"/>
          <w:sz w:val="40"/>
          <w:szCs w:val="40"/>
          <w:highlight w:val="yellow"/>
          <w:lang w:val="en-US" w:eastAsia="zh-CN"/>
        </w:rPr>
      </w:pPr>
      <w:r>
        <w:rPr>
          <w:rFonts w:hint="eastAsia" w:ascii="黑体" w:hAnsi="黑体" w:eastAsia="黑体" w:cs="黑体"/>
          <w:b w:val="0"/>
          <w:bCs/>
          <w:color w:val="333333"/>
          <w:sz w:val="32"/>
          <w:szCs w:val="32"/>
          <w:shd w:val="clear" w:color="auto" w:fill="FFFFFF"/>
        </w:rPr>
        <w:t>三、收到和处理政府信息公开申请情况</w:t>
      </w:r>
    </w:p>
    <w:tbl>
      <w:tblPr>
        <w:tblStyle w:val="8"/>
        <w:tblW w:w="99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6"/>
        <w:gridCol w:w="1701"/>
        <w:gridCol w:w="2976"/>
        <w:gridCol w:w="829"/>
        <w:gridCol w:w="567"/>
        <w:gridCol w:w="567"/>
        <w:gridCol w:w="731"/>
        <w:gridCol w:w="708"/>
        <w:gridCol w:w="567"/>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93" w:type="dxa"/>
            <w:gridSpan w:val="3"/>
            <w:vMerge w:val="restart"/>
            <w:noWrap w:val="0"/>
            <w:tcMar>
              <w:left w:w="108" w:type="dxa"/>
              <w:right w:w="108" w:type="dxa"/>
            </w:tcMar>
            <w:vAlign w:val="center"/>
          </w:tcPr>
          <w:p>
            <w:pPr>
              <w:widowControl/>
              <w:jc w:val="center"/>
              <w:rPr>
                <w:rFonts w:ascii="楷体_GB2312" w:hAnsi="黑体" w:eastAsia="楷体_GB2312"/>
                <w:kern w:val="0"/>
                <w:szCs w:val="21"/>
              </w:rPr>
            </w:pPr>
            <w:r>
              <w:rPr>
                <w:rFonts w:hint="eastAsia" w:ascii="楷体_GB2312" w:hAnsi="黑体" w:eastAsia="楷体_GB2312"/>
                <w:kern w:val="0"/>
                <w:szCs w:val="21"/>
              </w:rPr>
              <w:t>（本列数据的勾稽关系为：第一项加第二项之和，</w:t>
            </w:r>
          </w:p>
          <w:p>
            <w:pPr>
              <w:widowControl/>
              <w:jc w:val="center"/>
              <w:rPr>
                <w:rFonts w:ascii="仿宋_GB2312" w:hAnsi="Times New Roman" w:eastAsia="仿宋_GB2312"/>
                <w:szCs w:val="21"/>
              </w:rPr>
            </w:pPr>
            <w:r>
              <w:rPr>
                <w:rFonts w:hint="eastAsia" w:ascii="楷体_GB2312" w:hAnsi="黑体" w:eastAsia="楷体_GB2312"/>
                <w:kern w:val="0"/>
                <w:szCs w:val="21"/>
              </w:rPr>
              <w:t>等于第三项加第四项之和）</w:t>
            </w:r>
          </w:p>
        </w:tc>
        <w:tc>
          <w:tcPr>
            <w:tcW w:w="4820" w:type="dxa"/>
            <w:gridSpan w:val="7"/>
            <w:noWrap w:val="0"/>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申请人情况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93" w:type="dxa"/>
            <w:gridSpan w:val="3"/>
            <w:vMerge w:val="continue"/>
            <w:noWrap w:val="0"/>
            <w:tcMar>
              <w:left w:w="108" w:type="dxa"/>
              <w:right w:w="108" w:type="dxa"/>
            </w:tcMar>
            <w:vAlign w:val="center"/>
          </w:tcPr>
          <w:p>
            <w:pPr>
              <w:jc w:val="center"/>
              <w:rPr>
                <w:rFonts w:ascii="仿宋_GB2312" w:hAnsi="Times New Roman" w:eastAsia="仿宋_GB2312"/>
                <w:szCs w:val="21"/>
              </w:rPr>
            </w:pPr>
          </w:p>
        </w:tc>
        <w:tc>
          <w:tcPr>
            <w:tcW w:w="829" w:type="dxa"/>
            <w:vMerge w:val="restart"/>
            <w:noWrap w:val="0"/>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自然人</w:t>
            </w:r>
          </w:p>
        </w:tc>
        <w:tc>
          <w:tcPr>
            <w:tcW w:w="3140" w:type="dxa"/>
            <w:gridSpan w:val="5"/>
            <w:noWrap w:val="0"/>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法人或其他组织</w:t>
            </w:r>
          </w:p>
        </w:tc>
        <w:tc>
          <w:tcPr>
            <w:tcW w:w="851" w:type="dxa"/>
            <w:vMerge w:val="restart"/>
            <w:noWrap w:val="0"/>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093" w:type="dxa"/>
            <w:gridSpan w:val="3"/>
            <w:vMerge w:val="continue"/>
            <w:noWrap w:val="0"/>
            <w:tcMar>
              <w:left w:w="108" w:type="dxa"/>
              <w:right w:w="108" w:type="dxa"/>
            </w:tcMar>
            <w:vAlign w:val="center"/>
          </w:tcPr>
          <w:p>
            <w:pPr>
              <w:jc w:val="center"/>
              <w:rPr>
                <w:rFonts w:ascii="仿宋_GB2312" w:hAnsi="Times New Roman" w:eastAsia="仿宋_GB2312"/>
                <w:szCs w:val="21"/>
              </w:rPr>
            </w:pPr>
          </w:p>
        </w:tc>
        <w:tc>
          <w:tcPr>
            <w:tcW w:w="829" w:type="dxa"/>
            <w:vMerge w:val="continue"/>
            <w:noWrap w:val="0"/>
            <w:tcMar>
              <w:left w:w="108" w:type="dxa"/>
              <w:right w:w="108" w:type="dxa"/>
            </w:tcMar>
            <w:vAlign w:val="center"/>
          </w:tcPr>
          <w:p>
            <w:pPr>
              <w:jc w:val="center"/>
              <w:rPr>
                <w:rFonts w:ascii="黑体" w:hAnsi="黑体" w:eastAsia="黑体"/>
                <w:szCs w:val="21"/>
              </w:rPr>
            </w:pPr>
          </w:p>
        </w:tc>
        <w:tc>
          <w:tcPr>
            <w:tcW w:w="567" w:type="dxa"/>
            <w:noWrap w:val="0"/>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商业企业</w:t>
            </w:r>
          </w:p>
        </w:tc>
        <w:tc>
          <w:tcPr>
            <w:tcW w:w="567" w:type="dxa"/>
            <w:noWrap w:val="0"/>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科研机构</w:t>
            </w:r>
          </w:p>
        </w:tc>
        <w:tc>
          <w:tcPr>
            <w:tcW w:w="731" w:type="dxa"/>
            <w:noWrap w:val="0"/>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社会公益组织</w:t>
            </w:r>
          </w:p>
        </w:tc>
        <w:tc>
          <w:tcPr>
            <w:tcW w:w="708" w:type="dxa"/>
            <w:noWrap w:val="0"/>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法律服务机构</w:t>
            </w:r>
          </w:p>
        </w:tc>
        <w:tc>
          <w:tcPr>
            <w:tcW w:w="567" w:type="dxa"/>
            <w:noWrap w:val="0"/>
            <w:tcMar>
              <w:left w:w="108" w:type="dxa"/>
              <w:right w:w="108" w:type="dxa"/>
            </w:tcMar>
            <w:vAlign w:val="center"/>
          </w:tcPr>
          <w:p>
            <w:pPr>
              <w:widowControl/>
              <w:spacing w:line="360" w:lineRule="exact"/>
              <w:ind w:left="-63" w:leftChars="-30" w:right="-134" w:rightChars="-64"/>
              <w:jc w:val="center"/>
              <w:rPr>
                <w:rFonts w:ascii="黑体" w:hAnsi="黑体" w:eastAsia="黑体"/>
                <w:szCs w:val="21"/>
              </w:rPr>
            </w:pPr>
            <w:r>
              <w:rPr>
                <w:rFonts w:hint="eastAsia" w:ascii="黑体" w:hAnsi="黑体" w:eastAsia="黑体"/>
                <w:kern w:val="0"/>
                <w:szCs w:val="21"/>
              </w:rPr>
              <w:t>其他</w:t>
            </w:r>
          </w:p>
        </w:tc>
        <w:tc>
          <w:tcPr>
            <w:tcW w:w="851" w:type="dxa"/>
            <w:vMerge w:val="continue"/>
            <w:noWrap w:val="0"/>
            <w:tcMar>
              <w:left w:w="108" w:type="dxa"/>
              <w:right w:w="108" w:type="dxa"/>
            </w:tcMar>
            <w:vAlign w:val="center"/>
          </w:tcPr>
          <w:p>
            <w:pPr>
              <w:jc w:val="center"/>
              <w:rPr>
                <w:rFonts w:ascii="仿宋_GB2312" w:hAnsi="Times New Roman"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5093" w:type="dxa"/>
            <w:gridSpan w:val="3"/>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w:t>
            </w:r>
            <w:bookmarkStart w:id="0" w:name="_Hlk66973412"/>
            <w:r>
              <w:rPr>
                <w:rFonts w:hint="eastAsia" w:ascii="黑体" w:hAnsi="黑体" w:eastAsia="黑体"/>
                <w:kern w:val="0"/>
                <w:szCs w:val="21"/>
              </w:rPr>
              <w:t>本年新收政府信息公开申请数量</w:t>
            </w:r>
            <w:bookmarkEnd w:id="0"/>
          </w:p>
        </w:tc>
        <w:tc>
          <w:tcPr>
            <w:tcW w:w="829"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536</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25</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7</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568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二、上年结转政府信息公开申请数量</w:t>
            </w:r>
          </w:p>
        </w:tc>
        <w:tc>
          <w:tcPr>
            <w:tcW w:w="829"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restart"/>
            <w:noWrap w:val="0"/>
            <w:tcMar>
              <w:left w:w="108" w:type="dxa"/>
              <w:right w:w="108" w:type="dxa"/>
            </w:tcMar>
            <w:vAlign w:val="center"/>
          </w:tcPr>
          <w:p>
            <w:pPr>
              <w:widowControl/>
              <w:spacing w:after="180"/>
              <w:rPr>
                <w:rFonts w:ascii="黑体" w:hAnsi="黑体" w:eastAsia="黑体"/>
                <w:szCs w:val="21"/>
              </w:rPr>
            </w:pPr>
            <w:r>
              <w:rPr>
                <w:rFonts w:hint="eastAsia" w:ascii="黑体" w:hAnsi="黑体" w:eastAsia="黑体"/>
                <w:kern w:val="0"/>
                <w:szCs w:val="21"/>
              </w:rPr>
              <w:t>三、本年度办理结果</w:t>
            </w:r>
          </w:p>
        </w:tc>
        <w:tc>
          <w:tcPr>
            <w:tcW w:w="4677" w:type="dxa"/>
            <w:gridSpan w:val="2"/>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（一）予以公开</w:t>
            </w:r>
          </w:p>
        </w:tc>
        <w:tc>
          <w:tcPr>
            <w:tcW w:w="829"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184</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8</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6</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4677" w:type="dxa"/>
            <w:gridSpan w:val="2"/>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（二）部分公开（</w:t>
            </w:r>
            <w:bookmarkStart w:id="1" w:name="_Hlk66973981"/>
            <w:r>
              <w:rPr>
                <w:rFonts w:hint="eastAsia" w:ascii="黑体" w:hAnsi="黑体" w:eastAsia="黑体"/>
                <w:kern w:val="0"/>
                <w:szCs w:val="21"/>
              </w:rPr>
              <w:t>区分处理的，只计这一情形，不计其他情形</w:t>
            </w:r>
            <w:bookmarkEnd w:id="1"/>
            <w:r>
              <w:rPr>
                <w:rFonts w:hint="eastAsia" w:ascii="黑体" w:hAnsi="黑体" w:eastAsia="黑体"/>
                <w:kern w:val="0"/>
                <w:szCs w:val="21"/>
              </w:rPr>
              <w:t>）</w:t>
            </w:r>
          </w:p>
        </w:tc>
        <w:tc>
          <w:tcPr>
            <w:tcW w:w="829"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121</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11</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（三）不予公开</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1.属于国家秘密</w:t>
            </w:r>
          </w:p>
        </w:tc>
        <w:tc>
          <w:tcPr>
            <w:tcW w:w="829"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2" w:name="_Hlk66974104"/>
            <w:r>
              <w:rPr>
                <w:rFonts w:hint="eastAsia" w:ascii="仿宋_GB2312" w:hAnsi="黑体" w:eastAsia="仿宋_GB2312"/>
                <w:kern w:val="0"/>
                <w:szCs w:val="21"/>
              </w:rPr>
              <w:t>其他法律行政法规禁止公开</w:t>
            </w:r>
            <w:bookmarkEnd w:id="2"/>
          </w:p>
        </w:tc>
        <w:tc>
          <w:tcPr>
            <w:tcW w:w="829"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5</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3.危及“三安全一稳定”</w:t>
            </w:r>
          </w:p>
        </w:tc>
        <w:tc>
          <w:tcPr>
            <w:tcW w:w="829"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4.</w:t>
            </w:r>
            <w:bookmarkStart w:id="3" w:name="_Hlk66974290"/>
            <w:r>
              <w:rPr>
                <w:rFonts w:hint="eastAsia" w:ascii="仿宋_GB2312" w:hAnsi="黑体" w:eastAsia="仿宋_GB2312"/>
                <w:kern w:val="0"/>
                <w:szCs w:val="21"/>
              </w:rPr>
              <w:t>保护第三方合法权益</w:t>
            </w:r>
            <w:bookmarkEnd w:id="3"/>
          </w:p>
        </w:tc>
        <w:tc>
          <w:tcPr>
            <w:tcW w:w="829"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3</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5.属于三类内部事务信息</w:t>
            </w:r>
          </w:p>
        </w:tc>
        <w:tc>
          <w:tcPr>
            <w:tcW w:w="829"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11</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6.</w:t>
            </w:r>
            <w:bookmarkStart w:id="4" w:name="_Hlk66974555"/>
            <w:r>
              <w:rPr>
                <w:rFonts w:hint="eastAsia" w:ascii="仿宋_GB2312" w:hAnsi="黑体" w:eastAsia="仿宋_GB2312"/>
                <w:kern w:val="0"/>
                <w:szCs w:val="21"/>
              </w:rPr>
              <w:t>属于四类过程性信息</w:t>
            </w:r>
            <w:bookmarkEnd w:id="4"/>
          </w:p>
        </w:tc>
        <w:tc>
          <w:tcPr>
            <w:tcW w:w="829"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7.属于行政执法案卷</w:t>
            </w:r>
          </w:p>
        </w:tc>
        <w:tc>
          <w:tcPr>
            <w:tcW w:w="829"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3</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8.</w:t>
            </w:r>
            <w:bookmarkStart w:id="5" w:name="_Hlk66975211"/>
            <w:r>
              <w:rPr>
                <w:rFonts w:hint="eastAsia" w:ascii="仿宋_GB2312" w:hAnsi="黑体" w:eastAsia="仿宋_GB2312"/>
                <w:kern w:val="0"/>
                <w:szCs w:val="21"/>
              </w:rPr>
              <w:t>属于行政查询事项</w:t>
            </w:r>
            <w:bookmarkEnd w:id="5"/>
          </w:p>
        </w:tc>
        <w:tc>
          <w:tcPr>
            <w:tcW w:w="829"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9</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（四）无法提供</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1.本机关不掌握相关政府信息</w:t>
            </w:r>
          </w:p>
        </w:tc>
        <w:tc>
          <w:tcPr>
            <w:tcW w:w="829"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152</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4</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ind w:left="-107" w:leftChars="-51"/>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6" w:name="_Hlk66975392"/>
            <w:r>
              <w:rPr>
                <w:rFonts w:hint="eastAsia" w:ascii="仿宋_GB2312" w:hAnsi="黑体" w:eastAsia="仿宋_GB2312"/>
                <w:kern w:val="0"/>
                <w:szCs w:val="21"/>
              </w:rPr>
              <w:t>没有现成信息需要另行制作</w:t>
            </w:r>
            <w:bookmarkEnd w:id="6"/>
          </w:p>
        </w:tc>
        <w:tc>
          <w:tcPr>
            <w:tcW w:w="829"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28</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ind w:left="-107" w:leftChars="-51"/>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w:t>
            </w:r>
            <w:bookmarkStart w:id="7" w:name="_Hlk66975466"/>
            <w:r>
              <w:rPr>
                <w:rFonts w:hint="eastAsia" w:ascii="仿宋_GB2312" w:hAnsi="黑体" w:eastAsia="仿宋_GB2312"/>
                <w:kern w:val="0"/>
                <w:szCs w:val="21"/>
              </w:rPr>
              <w:t>补正后申请内容仍不明确</w:t>
            </w:r>
            <w:bookmarkEnd w:id="7"/>
          </w:p>
        </w:tc>
        <w:tc>
          <w:tcPr>
            <w:tcW w:w="829" w:type="dxa"/>
            <w:noWrap w:val="0"/>
            <w:tcMar>
              <w:left w:w="108" w:type="dxa"/>
              <w:right w:w="108" w:type="dxa"/>
            </w:tcMar>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（五）不予处理</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w:t>
            </w:r>
            <w:bookmarkStart w:id="8" w:name="_Hlk66975537"/>
            <w:r>
              <w:rPr>
                <w:rFonts w:hint="eastAsia" w:ascii="仿宋_GB2312" w:hAnsi="黑体" w:eastAsia="仿宋_GB2312"/>
                <w:kern w:val="0"/>
                <w:szCs w:val="21"/>
              </w:rPr>
              <w:t>信访举报投诉类申请</w:t>
            </w:r>
            <w:bookmarkEnd w:id="8"/>
          </w:p>
        </w:tc>
        <w:tc>
          <w:tcPr>
            <w:tcW w:w="829"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2.重复申请</w:t>
            </w:r>
          </w:p>
        </w:tc>
        <w:tc>
          <w:tcPr>
            <w:tcW w:w="829"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3.要求提供公开出版物</w:t>
            </w:r>
          </w:p>
        </w:tc>
        <w:tc>
          <w:tcPr>
            <w:tcW w:w="829"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4.无正当理由大量反复申请</w:t>
            </w:r>
          </w:p>
        </w:tc>
        <w:tc>
          <w:tcPr>
            <w:tcW w:w="829"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300" w:lineRule="exact"/>
              <w:rPr>
                <w:rFonts w:ascii="仿宋_GB2312" w:hAnsi="黑体" w:eastAsia="仿宋_GB2312"/>
                <w:kern w:val="0"/>
                <w:szCs w:val="21"/>
              </w:rPr>
            </w:pPr>
            <w:r>
              <w:rPr>
                <w:rFonts w:hint="eastAsia" w:ascii="仿宋_GB2312" w:hAnsi="黑体" w:eastAsia="仿宋_GB2312"/>
                <w:kern w:val="0"/>
                <w:szCs w:val="21"/>
              </w:rPr>
              <w:t>5.要求行政机关确认或重新</w:t>
            </w:r>
          </w:p>
          <w:p>
            <w:pPr>
              <w:widowControl/>
              <w:spacing w:line="300" w:lineRule="exact"/>
              <w:ind w:firstLine="210" w:firstLineChars="100"/>
              <w:rPr>
                <w:rFonts w:ascii="仿宋_GB2312" w:hAnsi="黑体" w:eastAsia="仿宋_GB2312"/>
                <w:szCs w:val="21"/>
              </w:rPr>
            </w:pPr>
            <w:r>
              <w:rPr>
                <w:rFonts w:hint="eastAsia" w:ascii="仿宋_GB2312" w:hAnsi="黑体" w:eastAsia="仿宋_GB2312"/>
                <w:kern w:val="0"/>
                <w:szCs w:val="21"/>
              </w:rPr>
              <w:t>出具已获取信息</w:t>
            </w:r>
          </w:p>
        </w:tc>
        <w:tc>
          <w:tcPr>
            <w:tcW w:w="829"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（六）其他处理</w:t>
            </w:r>
          </w:p>
        </w:tc>
        <w:tc>
          <w:tcPr>
            <w:tcW w:w="2976" w:type="dxa"/>
            <w:noWrap w:val="0"/>
            <w:vAlign w:val="center"/>
          </w:tcPr>
          <w:p>
            <w:pPr>
              <w:widowControl/>
              <w:spacing w:line="300" w:lineRule="exact"/>
              <w:rPr>
                <w:rFonts w:ascii="仿宋_GB2312" w:hAnsi="楷体" w:eastAsia="仿宋_GB2312"/>
              </w:rPr>
            </w:pPr>
            <w:r>
              <w:rPr>
                <w:rFonts w:hint="eastAsia" w:ascii="仿宋_GB2312" w:hAnsi="楷体" w:eastAsia="仿宋_GB2312"/>
              </w:rPr>
              <w:t>1.申请人无正当理由逾期不补正、行政机关不再处理其政府信息公开申请</w:t>
            </w:r>
          </w:p>
        </w:tc>
        <w:tc>
          <w:tcPr>
            <w:tcW w:w="829"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2</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widowControl/>
              <w:spacing w:line="300" w:lineRule="exact"/>
              <w:rPr>
                <w:rFonts w:ascii="黑体" w:hAnsi="黑体" w:eastAsia="黑体"/>
                <w:kern w:val="0"/>
                <w:szCs w:val="21"/>
              </w:rPr>
            </w:pPr>
          </w:p>
        </w:tc>
        <w:tc>
          <w:tcPr>
            <w:tcW w:w="2976" w:type="dxa"/>
            <w:noWrap w:val="0"/>
            <w:vAlign w:val="center"/>
          </w:tcPr>
          <w:p>
            <w:pPr>
              <w:widowControl/>
              <w:spacing w:line="300" w:lineRule="exact"/>
              <w:rPr>
                <w:rFonts w:ascii="仿宋_GB2312" w:hAnsi="黑体" w:eastAsia="仿宋_GB2312"/>
                <w:kern w:val="0"/>
                <w:szCs w:val="21"/>
              </w:rPr>
            </w:pPr>
            <w:r>
              <w:rPr>
                <w:rFonts w:hint="eastAsia" w:ascii="仿宋_GB2312" w:hAnsi="楷体" w:eastAsia="仿宋_GB2312"/>
              </w:rPr>
              <w:t>2.申请人逾期未按收费通知要求缴纳费用、行政机关不再处理其政府信息公开申请</w:t>
            </w:r>
          </w:p>
        </w:tc>
        <w:tc>
          <w:tcPr>
            <w:tcW w:w="829"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8</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widowControl/>
              <w:spacing w:line="300" w:lineRule="exact"/>
              <w:rPr>
                <w:rFonts w:ascii="黑体" w:hAnsi="黑体" w:eastAsia="黑体"/>
                <w:kern w:val="0"/>
                <w:szCs w:val="21"/>
              </w:rPr>
            </w:pPr>
          </w:p>
        </w:tc>
        <w:tc>
          <w:tcPr>
            <w:tcW w:w="2976" w:type="dxa"/>
            <w:noWrap w:val="0"/>
            <w:vAlign w:val="center"/>
          </w:tcPr>
          <w:p>
            <w:pPr>
              <w:widowControl/>
              <w:spacing w:line="300" w:lineRule="exact"/>
              <w:rPr>
                <w:rFonts w:ascii="仿宋_GB2312" w:hAnsi="黑体" w:eastAsia="仿宋_GB2312"/>
                <w:kern w:val="0"/>
                <w:szCs w:val="21"/>
              </w:rPr>
            </w:pPr>
            <w:r>
              <w:rPr>
                <w:rFonts w:hint="eastAsia" w:ascii="仿宋_GB2312" w:hAnsi="楷体" w:eastAsia="仿宋_GB2312"/>
              </w:rPr>
              <w:t>3.其他</w:t>
            </w:r>
          </w:p>
        </w:tc>
        <w:tc>
          <w:tcPr>
            <w:tcW w:w="829"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5</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4677" w:type="dxa"/>
            <w:gridSpan w:val="2"/>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（七）总计</w:t>
            </w:r>
          </w:p>
        </w:tc>
        <w:tc>
          <w:tcPr>
            <w:tcW w:w="829"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532</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25</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7</w:t>
            </w:r>
          </w:p>
        </w:tc>
        <w:tc>
          <w:tcPr>
            <w:tcW w:w="567"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564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3" w:type="dxa"/>
            <w:gridSpan w:val="3"/>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四、结转下年度继续办理</w:t>
            </w:r>
          </w:p>
        </w:tc>
        <w:tc>
          <w:tcPr>
            <w:tcW w:w="829" w:type="dxa"/>
            <w:noWrap w:val="0"/>
            <w:tcMar>
              <w:left w:w="108" w:type="dxa"/>
              <w:right w:w="108" w:type="dxa"/>
            </w:tcMar>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4</w:t>
            </w:r>
          </w:p>
        </w:tc>
        <w:tc>
          <w:tcPr>
            <w:tcW w:w="567" w:type="dxa"/>
            <w:noWrap w:val="0"/>
            <w:tcMar>
              <w:left w:w="108" w:type="dxa"/>
              <w:right w:w="108" w:type="dxa"/>
            </w:tcMar>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31" w:type="dxa"/>
            <w:noWrap w:val="0"/>
            <w:tcMar>
              <w:left w:w="108" w:type="dxa"/>
              <w:right w:w="108" w:type="dxa"/>
            </w:tcMar>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708" w:type="dxa"/>
            <w:noWrap w:val="0"/>
            <w:tcMar>
              <w:left w:w="108" w:type="dxa"/>
              <w:right w:w="108" w:type="dxa"/>
            </w:tcMar>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567" w:type="dxa"/>
            <w:noWrap w:val="0"/>
            <w:tcMar>
              <w:left w:w="108" w:type="dxa"/>
              <w:right w:w="108" w:type="dxa"/>
            </w:tcMar>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851" w:type="dxa"/>
            <w:noWrap w:val="0"/>
            <w:tcMar>
              <w:left w:w="108" w:type="dxa"/>
              <w:right w:w="108" w:type="dxa"/>
            </w:tcMar>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4</w:t>
            </w:r>
          </w:p>
        </w:tc>
      </w:tr>
    </w:tbl>
    <w:p>
      <w:pPr>
        <w:pStyle w:val="7"/>
        <w:widowControl/>
        <w:shd w:val="clear" w:color="auto" w:fill="FFFFFF"/>
        <w:spacing w:beforeAutospacing="0" w:afterAutospacing="0"/>
        <w:jc w:val="both"/>
        <w:rPr>
          <w:rFonts w:ascii="宋体" w:hAnsi="宋体" w:eastAsia="宋体" w:cs="宋体"/>
          <w:color w:val="333333"/>
        </w:rPr>
      </w:pPr>
      <w:r>
        <w:rPr>
          <w:rFonts w:hint="eastAsia" w:ascii="黑体" w:hAnsi="黑体" w:eastAsia="黑体" w:cs="宋体"/>
          <w:color w:val="333333"/>
          <w:sz w:val="32"/>
          <w:szCs w:val="32"/>
          <w:shd w:val="clear" w:color="auto" w:fill="FFFFFF"/>
        </w:rPr>
        <w:t>四、政府信息公开行政复议、行政诉讼情况</w:t>
      </w:r>
    </w:p>
    <w:tbl>
      <w:tblPr>
        <w:tblStyle w:val="8"/>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ind w:left="-149" w:leftChars="-71" w:right="-170" w:rightChars="-81"/>
              <w:jc w:val="center"/>
              <w:rPr>
                <w:rFonts w:ascii="黑体" w:hAnsi="黑体" w:eastAsia="黑体"/>
                <w:kern w:val="0"/>
                <w:sz w:val="20"/>
                <w:szCs w:val="20"/>
              </w:rPr>
            </w:pPr>
            <w:r>
              <w:rPr>
                <w:rFonts w:ascii="黑体" w:hAnsi="黑体" w:eastAsia="黑体"/>
                <w:kern w:val="0"/>
                <w:sz w:val="20"/>
                <w:szCs w:val="20"/>
              </w:rPr>
              <w:t>结果</w:t>
            </w:r>
          </w:p>
          <w:p>
            <w:pPr>
              <w:widowControl/>
              <w:ind w:left="-149" w:leftChars="-71" w:right="-170" w:rightChars="-81"/>
              <w:jc w:val="center"/>
              <w:rPr>
                <w:rFonts w:ascii="黑体" w:hAnsi="黑体" w:eastAsia="黑体"/>
              </w:rPr>
            </w:pPr>
            <w:r>
              <w:rPr>
                <w:rFonts w:ascii="黑体" w:hAnsi="黑体" w:eastAsia="黑体"/>
                <w:kern w:val="0"/>
                <w:sz w:val="20"/>
                <w:szCs w:val="20"/>
              </w:rPr>
              <w:t>维持</w:t>
            </w:r>
          </w:p>
        </w:tc>
        <w:tc>
          <w:tcPr>
            <w:tcW w:w="604" w:type="dxa"/>
            <w:vMerge w:val="restart"/>
            <w:tcBorders>
              <w:top w:val="nil"/>
              <w:left w:val="nil"/>
              <w:bottom w:val="single" w:color="auto" w:sz="8" w:space="0"/>
              <w:right w:val="single" w:color="auto" w:sz="8" w:space="0"/>
            </w:tcBorders>
            <w:noWrap w:val="0"/>
            <w:tcMar>
              <w:left w:w="108" w:type="dxa"/>
              <w:right w:w="108" w:type="dxa"/>
            </w:tcMar>
            <w:vAlign w:val="center"/>
          </w:tcPr>
          <w:p>
            <w:pPr>
              <w:widowControl/>
              <w:ind w:left="-43" w:leftChars="-21" w:right="-132" w:rightChars="-63" w:hanging="1"/>
              <w:jc w:val="center"/>
              <w:rPr>
                <w:rFonts w:ascii="黑体" w:hAnsi="黑体" w:eastAsia="黑体"/>
              </w:rPr>
            </w:pPr>
            <w:r>
              <w:rPr>
                <w:rFonts w:ascii="黑体" w:hAnsi="黑体" w:eastAsia="黑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82" w:leftChars="-39" w:right="-97" w:rightChars="-46"/>
              <w:jc w:val="center"/>
              <w:rPr>
                <w:rFonts w:ascii="黑体" w:hAnsi="黑体" w:eastAsia="黑体"/>
              </w:rPr>
            </w:pPr>
            <w:r>
              <w:rPr>
                <w:rFonts w:ascii="黑体" w:hAnsi="黑体" w:eastAsia="黑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18" w:leftChars="-56" w:right="-118" w:rightChars="-56"/>
              <w:jc w:val="center"/>
              <w:rPr>
                <w:rFonts w:ascii="黑体" w:hAnsi="黑体" w:eastAsia="黑体"/>
                <w:kern w:val="0"/>
                <w:sz w:val="20"/>
                <w:szCs w:val="20"/>
              </w:rPr>
            </w:pPr>
            <w:r>
              <w:rPr>
                <w:rFonts w:ascii="黑体" w:hAnsi="黑体" w:eastAsia="黑体"/>
                <w:kern w:val="0"/>
                <w:sz w:val="20"/>
                <w:szCs w:val="20"/>
              </w:rPr>
              <w:t>尚未</w:t>
            </w:r>
          </w:p>
          <w:p>
            <w:pPr>
              <w:widowControl/>
              <w:ind w:left="-118" w:leftChars="-56" w:right="-118" w:rightChars="-56"/>
              <w:jc w:val="center"/>
              <w:rPr>
                <w:rFonts w:ascii="黑体" w:hAnsi="黑体" w:eastAsia="黑体"/>
              </w:rPr>
            </w:pPr>
            <w:r>
              <w:rPr>
                <w:rFonts w:ascii="黑体" w:hAnsi="黑体" w:eastAsia="黑体"/>
                <w:kern w:val="0"/>
                <w:sz w:val="20"/>
                <w:szCs w:val="20"/>
              </w:rPr>
              <w:t>审结</w:t>
            </w:r>
          </w:p>
        </w:tc>
        <w:tc>
          <w:tcPr>
            <w:tcW w:w="658"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spacing w:line="320" w:lineRule="exact"/>
              <w:jc w:val="center"/>
              <w:rPr>
                <w:rFonts w:ascii="黑体" w:hAnsi="黑体" w:eastAsia="黑体"/>
                <w:kern w:val="0"/>
                <w:sz w:val="20"/>
                <w:szCs w:val="20"/>
              </w:rPr>
            </w:pPr>
            <w:r>
              <w:rPr>
                <w:rFonts w:ascii="黑体" w:hAnsi="黑体" w:eastAsia="黑体"/>
                <w:kern w:val="0"/>
                <w:sz w:val="20"/>
                <w:szCs w:val="20"/>
              </w:rPr>
              <w:t>总</w:t>
            </w:r>
          </w:p>
          <w:p>
            <w:pPr>
              <w:widowControl/>
              <w:spacing w:line="320" w:lineRule="exact"/>
              <w:jc w:val="center"/>
              <w:rPr>
                <w:rFonts w:ascii="黑体" w:hAnsi="黑体" w:eastAsia="黑体"/>
              </w:rPr>
            </w:pPr>
            <w:r>
              <w:rPr>
                <w:rFonts w:ascii="黑体" w:hAnsi="黑体" w:eastAsia="黑体"/>
                <w:kern w:val="0"/>
                <w:sz w:val="20"/>
                <w:szCs w:val="20"/>
              </w:rPr>
              <w:t>计</w:t>
            </w:r>
          </w:p>
        </w:tc>
        <w:tc>
          <w:tcPr>
            <w:tcW w:w="2970"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bookmarkStart w:id="9" w:name="_Hlk67039688"/>
            <w:r>
              <w:rPr>
                <w:rFonts w:ascii="黑体" w:hAnsi="黑体" w:eastAsia="黑体"/>
                <w:kern w:val="0"/>
                <w:sz w:val="20"/>
                <w:szCs w:val="20"/>
              </w:rPr>
              <w:t>复议后起诉</w:t>
            </w:r>
            <w:bookmarkEnd w:id="9"/>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58"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550" w:type="dxa"/>
            <w:tcBorders>
              <w:top w:val="nil"/>
              <w:left w:val="nil"/>
              <w:bottom w:val="single" w:color="auto" w:sz="8" w:space="0"/>
              <w:right w:val="single" w:color="auto" w:sz="8" w:space="0"/>
            </w:tcBorders>
            <w:noWrap w:val="0"/>
            <w:tcMar>
              <w:left w:w="108" w:type="dxa"/>
              <w:right w:w="108" w:type="dxa"/>
            </w:tcMar>
            <w:vAlign w:val="center"/>
          </w:tcPr>
          <w:p>
            <w:pPr>
              <w:widowControl/>
              <w:ind w:left="-105" w:leftChars="-50" w:right="-126" w:rightChars="-60"/>
              <w:jc w:val="center"/>
              <w:rPr>
                <w:rFonts w:ascii="黑体" w:hAnsi="黑体" w:eastAsia="黑体"/>
              </w:rPr>
            </w:pPr>
            <w:r>
              <w:rPr>
                <w:rFonts w:ascii="黑体" w:hAnsi="黑体" w:eastAsia="黑体"/>
                <w:kern w:val="0"/>
                <w:sz w:val="20"/>
                <w:szCs w:val="20"/>
              </w:rPr>
              <w:t>结果维持</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ind w:left="-86" w:leftChars="-41" w:right="-88" w:rightChars="-42"/>
              <w:jc w:val="center"/>
              <w:rPr>
                <w:rFonts w:ascii="黑体" w:hAnsi="黑体" w:eastAsia="黑体"/>
              </w:rPr>
            </w:pPr>
            <w:r>
              <w:rPr>
                <w:rFonts w:ascii="黑体" w:hAnsi="黑体" w:eastAsia="黑体"/>
                <w:kern w:val="0"/>
                <w:sz w:val="20"/>
                <w:szCs w:val="20"/>
              </w:rPr>
              <w:t>结果纠正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26" w:leftChars="-60" w:right="-136" w:rightChars="-65"/>
              <w:jc w:val="center"/>
              <w:rPr>
                <w:rFonts w:ascii="黑体" w:hAnsi="黑体" w:eastAsia="黑体"/>
                <w:kern w:val="0"/>
                <w:sz w:val="20"/>
                <w:szCs w:val="20"/>
              </w:rPr>
            </w:pPr>
            <w:r>
              <w:rPr>
                <w:rFonts w:ascii="黑体" w:hAnsi="黑体" w:eastAsia="黑体"/>
                <w:kern w:val="0"/>
                <w:sz w:val="20"/>
                <w:szCs w:val="20"/>
              </w:rPr>
              <w:t>其他</w:t>
            </w:r>
          </w:p>
          <w:p>
            <w:pPr>
              <w:widowControl/>
              <w:ind w:left="-126" w:leftChars="-60" w:right="-136" w:rightChars="-65"/>
              <w:jc w:val="center"/>
              <w:rPr>
                <w:rFonts w:ascii="黑体" w:hAnsi="黑体" w:eastAsia="黑体"/>
              </w:rPr>
            </w:pPr>
            <w:r>
              <w:rPr>
                <w:rFonts w:ascii="黑体" w:hAnsi="黑体" w:eastAsia="黑体"/>
                <w:kern w:val="0"/>
                <w:sz w:val="20"/>
                <w:szCs w:val="20"/>
              </w:rPr>
              <w:t>结果</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64" w:leftChars="-78" w:right="-153" w:rightChars="-73"/>
              <w:jc w:val="center"/>
              <w:rPr>
                <w:rFonts w:ascii="黑体" w:hAnsi="黑体" w:eastAsia="黑体"/>
                <w:kern w:val="0"/>
                <w:sz w:val="20"/>
                <w:szCs w:val="20"/>
              </w:rPr>
            </w:pPr>
            <w:r>
              <w:rPr>
                <w:rFonts w:ascii="黑体" w:hAnsi="黑体" w:eastAsia="黑体"/>
                <w:kern w:val="0"/>
                <w:sz w:val="20"/>
                <w:szCs w:val="20"/>
              </w:rPr>
              <w:t>尚未</w:t>
            </w:r>
          </w:p>
          <w:p>
            <w:pPr>
              <w:widowControl/>
              <w:ind w:left="-164" w:leftChars="-78" w:right="-153" w:rightChars="-73"/>
              <w:jc w:val="center"/>
              <w:rPr>
                <w:rFonts w:ascii="黑体" w:hAnsi="黑体" w:eastAsia="黑体"/>
              </w:rPr>
            </w:pPr>
            <w:r>
              <w:rPr>
                <w:rFonts w:ascii="黑体" w:hAnsi="黑体" w:eastAsia="黑体"/>
                <w:kern w:val="0"/>
                <w:sz w:val="20"/>
                <w:szCs w:val="20"/>
              </w:rPr>
              <w:t>审结</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99" w:leftChars="-47" w:right="-78" w:rightChars="-37"/>
              <w:jc w:val="center"/>
              <w:rPr>
                <w:rFonts w:ascii="黑体" w:hAnsi="黑体" w:eastAsia="黑体"/>
              </w:rPr>
            </w:pPr>
            <w:r>
              <w:rPr>
                <w:rFonts w:ascii="黑体" w:hAnsi="黑体" w:eastAsia="黑体"/>
                <w:kern w:val="0"/>
                <w:sz w:val="20"/>
                <w:szCs w:val="20"/>
              </w:rPr>
              <w:t>结果维持</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36" w:leftChars="-65" w:right="-124" w:rightChars="-59"/>
              <w:jc w:val="center"/>
              <w:rPr>
                <w:rFonts w:ascii="黑体" w:hAnsi="黑体" w:eastAsia="黑体"/>
                <w:kern w:val="0"/>
                <w:sz w:val="20"/>
                <w:szCs w:val="20"/>
              </w:rPr>
            </w:pPr>
            <w:r>
              <w:rPr>
                <w:rFonts w:ascii="黑体" w:hAnsi="黑体" w:eastAsia="黑体"/>
                <w:kern w:val="0"/>
                <w:sz w:val="20"/>
                <w:szCs w:val="20"/>
              </w:rPr>
              <w:t>结果</w:t>
            </w:r>
          </w:p>
          <w:p>
            <w:pPr>
              <w:widowControl/>
              <w:ind w:left="-136" w:leftChars="-65" w:right="-124" w:rightChars="-59"/>
              <w:jc w:val="center"/>
              <w:rPr>
                <w:rFonts w:ascii="黑体" w:hAnsi="黑体" w:eastAsia="黑体"/>
              </w:rPr>
            </w:pPr>
            <w:r>
              <w:rPr>
                <w:rFonts w:ascii="黑体" w:hAnsi="黑体" w:eastAsia="黑体"/>
                <w:kern w:val="0"/>
                <w:sz w:val="20"/>
                <w:szCs w:val="20"/>
              </w:rPr>
              <w:t>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73" w:leftChars="-83" w:right="-134" w:rightChars="-64" w:hanging="1"/>
              <w:jc w:val="center"/>
              <w:rPr>
                <w:rFonts w:ascii="黑体" w:hAnsi="黑体" w:eastAsia="黑体"/>
                <w:kern w:val="0"/>
                <w:sz w:val="20"/>
                <w:szCs w:val="20"/>
              </w:rPr>
            </w:pPr>
            <w:r>
              <w:rPr>
                <w:rFonts w:ascii="黑体" w:hAnsi="黑体" w:eastAsia="黑体"/>
                <w:kern w:val="0"/>
                <w:sz w:val="20"/>
                <w:szCs w:val="20"/>
              </w:rPr>
              <w:t>其他</w:t>
            </w:r>
          </w:p>
          <w:p>
            <w:pPr>
              <w:widowControl/>
              <w:ind w:left="-173" w:leftChars="-83" w:right="-134" w:rightChars="-64" w:hanging="1"/>
              <w:jc w:val="center"/>
              <w:rPr>
                <w:rFonts w:ascii="黑体" w:hAnsi="黑体" w:eastAsia="黑体"/>
              </w:rPr>
            </w:pPr>
            <w:r>
              <w:rPr>
                <w:rFonts w:ascii="黑体" w:hAnsi="黑体" w:eastAsia="黑体"/>
                <w:kern w:val="0"/>
                <w:sz w:val="20"/>
                <w:szCs w:val="20"/>
              </w:rPr>
              <w:t>结果</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67" w:leftChars="-33" w:right="-105" w:rightChars="-50" w:hanging="2" w:hangingChars="1"/>
              <w:jc w:val="center"/>
              <w:rPr>
                <w:rFonts w:ascii="黑体" w:hAnsi="黑体" w:eastAsia="黑体"/>
              </w:rPr>
            </w:pPr>
            <w:r>
              <w:rPr>
                <w:rFonts w:ascii="黑体" w:hAnsi="黑体" w:eastAsia="黑体"/>
                <w:kern w:val="0"/>
                <w:sz w:val="20"/>
                <w:szCs w:val="20"/>
              </w:rPr>
              <w:t>尚未审结</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25</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highlight w:val="none"/>
                <w:lang w:val="en-US" w:eastAsia="zh-CN"/>
              </w:rPr>
              <w:t>6</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658"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32</w:t>
            </w:r>
          </w:p>
        </w:tc>
        <w:tc>
          <w:tcPr>
            <w:tcW w:w="550"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2</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4</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3</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3</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6</w:t>
            </w:r>
          </w:p>
        </w:tc>
      </w:tr>
    </w:tbl>
    <w:p>
      <w:pPr>
        <w:pStyle w:val="7"/>
        <w:keepNext w:val="0"/>
        <w:keepLines w:val="0"/>
        <w:pageBreakBefore w:val="0"/>
        <w:widowControl/>
        <w:numPr>
          <w:ilvl w:val="0"/>
          <w:numId w:val="0"/>
        </w:numPr>
        <w:shd w:val="clear" w:color="auto" w:fill="FFFFFF"/>
        <w:kinsoku/>
        <w:wordWrap/>
        <w:overflowPunct/>
        <w:topLinePunct w:val="0"/>
        <w:autoSpaceDE/>
        <w:autoSpaceDN/>
        <w:bidi w:val="0"/>
        <w:spacing w:beforeAutospacing="0" w:afterAutospacing="0" w:line="540" w:lineRule="exact"/>
        <w:ind w:firstLine="640" w:firstLineChars="200"/>
        <w:jc w:val="both"/>
        <w:textAlignment w:val="auto"/>
        <w:rPr>
          <w:rFonts w:hint="eastAsia" w:ascii="黑体" w:hAnsi="黑体" w:eastAsia="黑体" w:cs="宋体"/>
          <w:color w:val="333333"/>
          <w:sz w:val="32"/>
          <w:szCs w:val="32"/>
          <w:shd w:val="clear" w:color="auto" w:fill="FFFFFF"/>
        </w:rPr>
      </w:pPr>
      <w:r>
        <w:rPr>
          <w:rFonts w:hint="eastAsia" w:ascii="黑体" w:hAnsi="黑体" w:eastAsia="黑体" w:cs="宋体"/>
          <w:color w:val="333333"/>
          <w:sz w:val="32"/>
          <w:szCs w:val="32"/>
          <w:shd w:val="clear" w:color="auto" w:fill="FFFFFF"/>
          <w:lang w:val="en-US" w:eastAsia="zh-CN"/>
        </w:rPr>
        <w:t>五、</w:t>
      </w:r>
      <w:r>
        <w:rPr>
          <w:rFonts w:hint="eastAsia" w:ascii="黑体" w:hAnsi="黑体" w:eastAsia="黑体" w:cs="宋体"/>
          <w:color w:val="333333"/>
          <w:sz w:val="32"/>
          <w:szCs w:val="32"/>
          <w:shd w:val="clear" w:color="auto" w:fill="FFFFFF"/>
        </w:rPr>
        <w:t>存在的主要问题及改进情况</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仿宋_GB2312" w:hAnsi="微软雅黑" w:eastAsia="仿宋_GB2312" w:cs="仿宋_GB2312"/>
          <w:i w:val="0"/>
          <w:iCs w:val="0"/>
          <w:caps w:val="0"/>
          <w:color w:val="000000"/>
          <w:spacing w:val="0"/>
          <w:kern w:val="0"/>
          <w:sz w:val="32"/>
          <w:szCs w:val="32"/>
          <w:lang w:val="en-US" w:eastAsia="zh-CN" w:bidi="ar"/>
        </w:rPr>
      </w:pPr>
      <w:r>
        <w:rPr>
          <w:rFonts w:hint="eastAsia" w:ascii="楷体" w:hAnsi="楷体" w:eastAsia="楷体" w:cs="楷体"/>
          <w:b w:val="0"/>
          <w:bCs w:val="0"/>
          <w:i w:val="0"/>
          <w:iCs w:val="0"/>
          <w:caps w:val="0"/>
          <w:color w:val="000000"/>
          <w:spacing w:val="0"/>
          <w:kern w:val="0"/>
          <w:sz w:val="32"/>
          <w:szCs w:val="32"/>
          <w:lang w:val="en-US" w:eastAsia="zh-CN" w:bidi="ar"/>
        </w:rPr>
        <w:t>主要问题：</w:t>
      </w:r>
      <w:r>
        <w:rPr>
          <w:rFonts w:hint="eastAsia" w:ascii="仿宋_GB2312" w:hAnsi="微软雅黑" w:eastAsia="仿宋_GB2312" w:cs="仿宋_GB2312"/>
          <w:b/>
          <w:bCs/>
          <w:i w:val="0"/>
          <w:iCs w:val="0"/>
          <w:caps w:val="0"/>
          <w:color w:val="000000"/>
          <w:spacing w:val="0"/>
          <w:kern w:val="0"/>
          <w:sz w:val="32"/>
          <w:szCs w:val="32"/>
          <w:lang w:val="en-US" w:eastAsia="zh-CN" w:bidi="ar"/>
        </w:rPr>
        <w:t>一是</w:t>
      </w:r>
      <w:r>
        <w:rPr>
          <w:rFonts w:hint="eastAsia" w:ascii="仿宋_GB2312" w:hAnsi="微软雅黑" w:eastAsia="仿宋_GB2312" w:cs="仿宋_GB2312"/>
          <w:i w:val="0"/>
          <w:iCs w:val="0"/>
          <w:caps w:val="0"/>
          <w:color w:val="000000"/>
          <w:spacing w:val="0"/>
          <w:kern w:val="0"/>
          <w:sz w:val="32"/>
          <w:szCs w:val="32"/>
          <w:lang w:val="en-US" w:eastAsia="zh-CN" w:bidi="ar"/>
        </w:rPr>
        <w:t>政务公开队伍建设有待加强。</w:t>
      </w:r>
      <w:r>
        <w:rPr>
          <w:rFonts w:hint="eastAsia" w:ascii="仿宋_GB2312" w:hAnsi="微软雅黑" w:eastAsia="仿宋_GB2312" w:cs="仿宋_GB2312"/>
          <w:b/>
          <w:bCs/>
          <w:i w:val="0"/>
          <w:iCs w:val="0"/>
          <w:caps w:val="0"/>
          <w:color w:val="000000"/>
          <w:spacing w:val="0"/>
          <w:kern w:val="0"/>
          <w:sz w:val="32"/>
          <w:szCs w:val="32"/>
          <w:lang w:val="en-US" w:eastAsia="zh-CN" w:bidi="ar"/>
        </w:rPr>
        <w:t>二是</w:t>
      </w:r>
      <w:r>
        <w:rPr>
          <w:rFonts w:hint="eastAsia" w:ascii="仿宋_GB2312" w:hAnsi="微软雅黑" w:eastAsia="仿宋_GB2312" w:cs="仿宋_GB2312"/>
          <w:i w:val="0"/>
          <w:iCs w:val="0"/>
          <w:caps w:val="0"/>
          <w:color w:val="000000"/>
          <w:spacing w:val="0"/>
          <w:kern w:val="0"/>
          <w:sz w:val="32"/>
          <w:szCs w:val="32"/>
          <w:lang w:val="en-US" w:eastAsia="zh-CN" w:bidi="ar"/>
        </w:rPr>
        <w:t>政府信息公开缺少鲜明的特色亮点工作。</w:t>
      </w:r>
      <w:r>
        <w:rPr>
          <w:rFonts w:hint="eastAsia" w:ascii="仿宋_GB2312" w:hAnsi="微软雅黑" w:eastAsia="仿宋_GB2312" w:cs="仿宋_GB2312"/>
          <w:b/>
          <w:bCs/>
          <w:i w:val="0"/>
          <w:iCs w:val="0"/>
          <w:caps w:val="0"/>
          <w:color w:val="000000"/>
          <w:spacing w:val="0"/>
          <w:kern w:val="0"/>
          <w:sz w:val="32"/>
          <w:szCs w:val="32"/>
          <w:lang w:val="en-US" w:eastAsia="zh-CN" w:bidi="ar"/>
        </w:rPr>
        <w:t>三是</w:t>
      </w:r>
      <w:r>
        <w:rPr>
          <w:rFonts w:hint="eastAsia" w:ascii="仿宋_GB2312" w:hAnsi="微软雅黑" w:eastAsia="仿宋_GB2312" w:cs="仿宋_GB2312"/>
          <w:i w:val="0"/>
          <w:iCs w:val="0"/>
          <w:caps w:val="0"/>
          <w:color w:val="000000"/>
          <w:spacing w:val="0"/>
          <w:kern w:val="0"/>
          <w:sz w:val="32"/>
          <w:szCs w:val="32"/>
          <w:lang w:val="en-US" w:eastAsia="zh-CN" w:bidi="ar"/>
        </w:rPr>
        <w:t>公共企事业单位信息公开有待持续深化。</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_GB2312" w:hAnsi="微软雅黑" w:eastAsia="仿宋_GB2312" w:cs="仿宋_GB2312"/>
          <w:i w:val="0"/>
          <w:iCs w:val="0"/>
          <w:caps w:val="0"/>
          <w:color w:val="000000"/>
          <w:spacing w:val="0"/>
          <w:kern w:val="0"/>
          <w:sz w:val="32"/>
          <w:szCs w:val="32"/>
          <w:lang w:val="en-US" w:eastAsia="zh-CN" w:bidi="ar"/>
        </w:rPr>
      </w:pPr>
      <w:r>
        <w:rPr>
          <w:rFonts w:hint="eastAsia" w:ascii="楷体" w:hAnsi="楷体" w:eastAsia="楷体" w:cs="楷体"/>
          <w:b w:val="0"/>
          <w:bCs w:val="0"/>
          <w:i w:val="0"/>
          <w:iCs w:val="0"/>
          <w:caps w:val="0"/>
          <w:color w:val="000000"/>
          <w:spacing w:val="0"/>
          <w:kern w:val="0"/>
          <w:sz w:val="32"/>
          <w:szCs w:val="32"/>
          <w:lang w:val="en-US" w:eastAsia="zh-CN" w:bidi="ar"/>
        </w:rPr>
        <w:t>改进情况：</w:t>
      </w:r>
      <w:r>
        <w:rPr>
          <w:rFonts w:hint="eastAsia" w:ascii="仿宋_GB2312" w:hAnsi="微软雅黑" w:eastAsia="仿宋_GB2312" w:cs="仿宋_GB2312"/>
          <w:b/>
          <w:bCs/>
          <w:i w:val="0"/>
          <w:iCs w:val="0"/>
          <w:caps w:val="0"/>
          <w:color w:val="000000"/>
          <w:spacing w:val="0"/>
          <w:kern w:val="0"/>
          <w:sz w:val="32"/>
          <w:szCs w:val="32"/>
          <w:lang w:val="en-US" w:eastAsia="zh-CN" w:bidi="ar"/>
        </w:rPr>
        <w:t>一是</w:t>
      </w:r>
      <w:r>
        <w:rPr>
          <w:rFonts w:hint="eastAsia" w:ascii="仿宋_GB2312" w:hAnsi="微软雅黑" w:eastAsia="仿宋_GB2312" w:cs="仿宋_GB2312"/>
          <w:i w:val="0"/>
          <w:iCs w:val="0"/>
          <w:caps w:val="0"/>
          <w:color w:val="000000"/>
          <w:spacing w:val="0"/>
          <w:kern w:val="0"/>
          <w:sz w:val="32"/>
          <w:szCs w:val="32"/>
          <w:lang w:val="en-US" w:eastAsia="zh-CN" w:bidi="ar"/>
        </w:rPr>
        <w:t>积极组织培训学习、座谈交流，</w:t>
      </w:r>
      <w:r>
        <w:rPr>
          <w:rFonts w:hint="eastAsia" w:ascii="仿宋_GB2312" w:hAnsi="仿宋_GB2312" w:eastAsia="仿宋_GB2312" w:cs="仿宋_GB2312"/>
          <w:kern w:val="0"/>
          <w:sz w:val="32"/>
          <w:szCs w:val="32"/>
          <w:lang w:bidi="ar"/>
        </w:rPr>
        <w:t>结合相关法规文件和工作实际，提高培训的针对性、指导性和实践性，帮助培训对象深刻理解政府信息公开工作面临的新形势、新任务、新要求，增强工作的紧迫感</w:t>
      </w:r>
      <w:bookmarkStart w:id="10" w:name="_GoBack"/>
      <w:bookmarkEnd w:id="10"/>
      <w:r>
        <w:rPr>
          <w:rFonts w:hint="eastAsia" w:ascii="仿宋_GB2312" w:hAnsi="仿宋_GB2312" w:eastAsia="仿宋_GB2312" w:cs="仿宋_GB2312"/>
          <w:kern w:val="0"/>
          <w:sz w:val="32"/>
          <w:szCs w:val="32"/>
          <w:lang w:bidi="ar"/>
        </w:rPr>
        <w:t>、主动性，找准存在问题、掌握工作方法</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打造素质过硬的政府信息公开队伍</w:t>
      </w:r>
      <w:r>
        <w:rPr>
          <w:rFonts w:hint="eastAsia" w:ascii="仿宋_GB2312" w:hAnsi="仿宋_GB2312" w:eastAsia="仿宋_GB2312" w:cs="仿宋_GB2312"/>
          <w:kern w:val="0"/>
          <w:sz w:val="32"/>
          <w:szCs w:val="32"/>
          <w:lang w:val="en-US" w:eastAsia="zh-CN" w:bidi="ar"/>
        </w:rPr>
        <w:t>；</w:t>
      </w:r>
      <w:r>
        <w:rPr>
          <w:rFonts w:hint="eastAsia" w:ascii="仿宋_GB2312" w:hAnsi="微软雅黑" w:eastAsia="仿宋_GB2312" w:cs="仿宋_GB2312"/>
          <w:b/>
          <w:bCs/>
          <w:i w:val="0"/>
          <w:iCs w:val="0"/>
          <w:caps w:val="0"/>
          <w:color w:val="000000"/>
          <w:spacing w:val="0"/>
          <w:kern w:val="0"/>
          <w:sz w:val="32"/>
          <w:szCs w:val="32"/>
          <w:lang w:val="en-US" w:eastAsia="zh-CN" w:bidi="ar"/>
        </w:rPr>
        <w:t>二是</w:t>
      </w:r>
      <w:r>
        <w:rPr>
          <w:rFonts w:hint="eastAsia" w:ascii="仿宋_GB2312" w:hAnsi="仿宋_GB2312" w:eastAsia="仿宋_GB2312" w:cs="仿宋_GB2312"/>
          <w:kern w:val="0"/>
          <w:sz w:val="32"/>
          <w:szCs w:val="32"/>
          <w:lang w:bidi="ar"/>
        </w:rPr>
        <w:t>积极学习政府信息公开先进地区的经验做法，结合本地区政府信息公开工作实际，打造具有地方特色的政府信息公开品牌，以品牌促公开，梳理汇总特色亮点，积极报送信息稿件，进一步推广我市政府信息公开工作成果</w:t>
      </w:r>
      <w:r>
        <w:rPr>
          <w:rFonts w:hint="eastAsia" w:ascii="仿宋_GB2312" w:hAnsi="仿宋_GB2312" w:eastAsia="仿宋_GB2312" w:cs="仿宋_GB2312"/>
          <w:kern w:val="0"/>
          <w:sz w:val="32"/>
          <w:szCs w:val="32"/>
          <w:lang w:val="en-US" w:eastAsia="zh-CN" w:bidi="ar"/>
        </w:rPr>
        <w:t>；</w:t>
      </w:r>
      <w:r>
        <w:rPr>
          <w:rFonts w:hint="eastAsia" w:ascii="仿宋_GB2312" w:hAnsi="微软雅黑" w:eastAsia="仿宋_GB2312" w:cs="仿宋_GB2312"/>
          <w:b/>
          <w:bCs/>
          <w:i w:val="0"/>
          <w:iCs w:val="0"/>
          <w:caps w:val="0"/>
          <w:color w:val="000000"/>
          <w:spacing w:val="0"/>
          <w:kern w:val="0"/>
          <w:sz w:val="32"/>
          <w:szCs w:val="32"/>
          <w:lang w:val="en-US" w:eastAsia="zh-CN" w:bidi="ar"/>
        </w:rPr>
        <w:t>三是</w:t>
      </w:r>
      <w:r>
        <w:rPr>
          <w:rFonts w:hint="eastAsia" w:ascii="仿宋_GB2312" w:hAnsi="仿宋_GB2312" w:eastAsia="仿宋_GB2312" w:cs="仿宋_GB2312"/>
          <w:kern w:val="0"/>
          <w:sz w:val="32"/>
          <w:szCs w:val="32"/>
          <w:lang w:bidi="ar"/>
        </w:rPr>
        <w:t>加强对我市公共企事业单位信息公开工作的监督管理，</w:t>
      </w:r>
      <w:r>
        <w:rPr>
          <w:rFonts w:hint="eastAsia" w:ascii="仿宋_GB2312" w:hAnsi="仿宋_GB2312" w:eastAsia="仿宋_GB2312" w:cs="仿宋_GB2312"/>
          <w:kern w:val="0"/>
          <w:sz w:val="32"/>
          <w:szCs w:val="32"/>
          <w:lang w:val="en-US" w:eastAsia="zh-CN" w:bidi="ar"/>
        </w:rPr>
        <w:t>集中整理和发布扩大有效投资相关政策，以及促进创业创新、中小微企业及持殊困难行业的纾难解困、保障和改善民生等税费优惠政策和服务信息，</w:t>
      </w:r>
      <w:r>
        <w:rPr>
          <w:rFonts w:hint="eastAsia" w:ascii="仿宋_GB2312" w:hAnsi="仿宋_GB2312" w:eastAsia="仿宋_GB2312" w:cs="仿宋_GB2312"/>
          <w:kern w:val="0"/>
          <w:sz w:val="32"/>
          <w:szCs w:val="32"/>
          <w:lang w:bidi="ar"/>
        </w:rPr>
        <w:t>畅通信息公开咨询渠道，限时回应关切，</w:t>
      </w:r>
      <w:r>
        <w:rPr>
          <w:rFonts w:hint="eastAsia" w:ascii="仿宋_GB2312" w:hAnsi="仿宋_GB2312" w:eastAsia="仿宋_GB2312" w:cs="仿宋_GB2312"/>
          <w:kern w:val="0"/>
          <w:sz w:val="32"/>
          <w:szCs w:val="32"/>
          <w:lang w:eastAsia="zh-CN" w:bidi="ar"/>
        </w:rPr>
        <w:t>满足企业、群众的个性化信息需求。</w:t>
      </w:r>
    </w:p>
    <w:p>
      <w:pPr>
        <w:pStyle w:val="7"/>
        <w:keepNext w:val="0"/>
        <w:keepLines w:val="0"/>
        <w:pageBreakBefore w:val="0"/>
        <w:widowControl/>
        <w:shd w:val="clear" w:color="auto" w:fill="FFFFFF"/>
        <w:kinsoku/>
        <w:wordWrap/>
        <w:overflowPunct/>
        <w:topLinePunct w:val="0"/>
        <w:autoSpaceDE/>
        <w:autoSpaceDN/>
        <w:bidi w:val="0"/>
        <w:spacing w:beforeAutospacing="0" w:afterAutospacing="0" w:line="540" w:lineRule="exact"/>
        <w:ind w:firstLine="640" w:firstLineChars="200"/>
        <w:jc w:val="both"/>
        <w:textAlignment w:val="auto"/>
        <w:rPr>
          <w:rFonts w:hint="eastAsia" w:ascii="黑体" w:hAnsi="黑体" w:eastAsia="黑体" w:cs="宋体"/>
          <w:color w:val="333333"/>
          <w:sz w:val="32"/>
          <w:szCs w:val="32"/>
          <w:shd w:val="clear" w:color="auto" w:fill="FFFFFF"/>
        </w:rPr>
      </w:pPr>
      <w:r>
        <w:rPr>
          <w:rFonts w:hint="eastAsia" w:ascii="黑体" w:hAnsi="黑体" w:eastAsia="黑体" w:cs="宋体"/>
          <w:color w:val="333333"/>
          <w:sz w:val="32"/>
          <w:szCs w:val="32"/>
          <w:shd w:val="clear" w:color="auto" w:fill="FFFFFF"/>
        </w:rPr>
        <w:t>六、其他需要报告的事项</w:t>
      </w:r>
    </w:p>
    <w:p>
      <w:pPr>
        <w:keepNext w:val="0"/>
        <w:keepLines w:val="0"/>
        <w:pageBreakBefore w:val="0"/>
        <w:kinsoku/>
        <w:wordWrap/>
        <w:overflowPunct/>
        <w:topLinePunct w:val="0"/>
        <w:autoSpaceDE/>
        <w:autoSpaceDN/>
        <w:bidi w:val="0"/>
        <w:spacing w:line="600" w:lineRule="exact"/>
        <w:ind w:firstLine="640" w:firstLineChars="200"/>
        <w:textAlignment w:val="auto"/>
        <w:rPr>
          <w:rFonts w:hint="default" w:ascii="仿宋_GB2312" w:eastAsia="仿宋_GB2312"/>
          <w:sz w:val="32"/>
          <w:szCs w:val="32"/>
          <w:highlight w:val="yellow"/>
          <w:lang w:val="en-US" w:eastAsia="zh-CN"/>
        </w:rPr>
      </w:pPr>
      <w:r>
        <w:rPr>
          <w:rFonts w:hint="eastAsia" w:ascii="仿宋_GB2312" w:eastAsia="仿宋_GB2312"/>
          <w:sz w:val="32"/>
          <w:szCs w:val="32"/>
          <w:lang w:val="en-US" w:eastAsia="zh-CN"/>
        </w:rPr>
        <w:t>1.</w:t>
      </w:r>
      <w:r>
        <w:rPr>
          <w:rFonts w:hint="eastAsia" w:ascii="仿宋_GB2312" w:eastAsia="仿宋_GB2312"/>
          <w:sz w:val="32"/>
          <w:szCs w:val="32"/>
        </w:rPr>
        <w:t>收取信息处理费情况方面。</w:t>
      </w:r>
      <w:r>
        <w:rPr>
          <w:rFonts w:hint="eastAsia" w:ascii="仿宋_GB2312" w:eastAsia="仿宋_GB2312"/>
          <w:sz w:val="32"/>
          <w:szCs w:val="32"/>
          <w:highlight w:val="none"/>
        </w:rPr>
        <w:t>202</w:t>
      </w: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年度，</w:t>
      </w:r>
      <w:r>
        <w:rPr>
          <w:rFonts w:hint="eastAsia" w:ascii="仿宋_GB2312" w:eastAsia="仿宋_GB2312"/>
          <w:sz w:val="32"/>
          <w:szCs w:val="32"/>
          <w:highlight w:val="none"/>
          <w:lang w:eastAsia="zh-CN"/>
        </w:rPr>
        <w:t>滕州市政府</w:t>
      </w:r>
      <w:r>
        <w:rPr>
          <w:rFonts w:hint="eastAsia" w:ascii="仿宋_GB2312" w:eastAsia="仿宋_GB2312"/>
          <w:sz w:val="32"/>
          <w:szCs w:val="32"/>
          <w:highlight w:val="none"/>
        </w:rPr>
        <w:t>未收取信息处理费</w:t>
      </w:r>
      <w:r>
        <w:rPr>
          <w:rFonts w:hint="eastAsia" w:ascii="仿宋_GB2312" w:eastAsia="仿宋_GB2312"/>
          <w:sz w:val="32"/>
          <w:szCs w:val="32"/>
          <w:highlight w:val="none"/>
          <w:lang w:eastAsia="zh-CN"/>
        </w:rPr>
        <w:t>。所属部门单位共收取</w:t>
      </w:r>
      <w:r>
        <w:rPr>
          <w:rFonts w:hint="eastAsia" w:ascii="仿宋_GB2312" w:eastAsia="仿宋_GB2312"/>
          <w:sz w:val="32"/>
          <w:szCs w:val="32"/>
          <w:highlight w:val="none"/>
        </w:rPr>
        <w:t>信息处理费</w:t>
      </w:r>
      <w:r>
        <w:rPr>
          <w:rFonts w:hint="eastAsia" w:ascii="仿宋_GB2312" w:eastAsia="仿宋_GB2312"/>
          <w:sz w:val="32"/>
          <w:szCs w:val="32"/>
          <w:highlight w:val="none"/>
          <w:lang w:val="en-US" w:eastAsia="zh-CN"/>
        </w:rPr>
        <w:t>1280元。</w:t>
      </w:r>
    </w:p>
    <w:p>
      <w:pPr>
        <w:keepNext w:val="0"/>
        <w:keepLines w:val="0"/>
        <w:pageBreakBefore w:val="0"/>
        <w:widowControl/>
        <w:kinsoku/>
        <w:wordWrap/>
        <w:overflowPunct/>
        <w:topLinePunct w:val="0"/>
        <w:autoSpaceDE/>
        <w:autoSpaceDN/>
        <w:bidi w:val="0"/>
        <w:spacing w:line="6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落实上级年度政务公开工作要点情况。对照《</w:t>
      </w:r>
      <w:r>
        <w:rPr>
          <w:rFonts w:hint="eastAsia" w:ascii="仿宋_GB2312" w:eastAsia="仿宋_GB2312"/>
          <w:sz w:val="32"/>
          <w:szCs w:val="32"/>
          <w:lang w:eastAsia="zh-CN"/>
        </w:rPr>
        <w:t>枣庄市</w:t>
      </w:r>
      <w:r>
        <w:rPr>
          <w:rFonts w:hint="eastAsia" w:ascii="仿宋_GB2312" w:eastAsia="仿宋_GB2312"/>
          <w:sz w:val="32"/>
          <w:szCs w:val="32"/>
        </w:rPr>
        <w:t>202</w:t>
      </w:r>
      <w:r>
        <w:rPr>
          <w:rFonts w:hint="eastAsia" w:ascii="仿宋_GB2312" w:eastAsia="仿宋_GB2312"/>
          <w:sz w:val="32"/>
          <w:szCs w:val="32"/>
          <w:lang w:val="en-US" w:eastAsia="zh-CN"/>
        </w:rPr>
        <w:t>3</w:t>
      </w:r>
      <w:r>
        <w:rPr>
          <w:rFonts w:hint="eastAsia" w:ascii="仿宋_GB2312" w:eastAsia="仿宋_GB2312"/>
          <w:sz w:val="32"/>
          <w:szCs w:val="32"/>
        </w:rPr>
        <w:t>年政务公开政务公开工作要点》，印发</w:t>
      </w:r>
      <w:r>
        <w:rPr>
          <w:rFonts w:hint="eastAsia" w:ascii="仿宋_GB2312" w:eastAsia="仿宋_GB2312"/>
          <w:sz w:val="32"/>
          <w:szCs w:val="32"/>
          <w:lang w:eastAsia="zh-CN"/>
        </w:rPr>
        <w:t>《</w:t>
      </w:r>
      <w:r>
        <w:rPr>
          <w:rFonts w:hint="eastAsia" w:ascii="仿宋_GB2312" w:hAnsi="宋体" w:eastAsia="仿宋_GB2312" w:cs="宋体"/>
          <w:kern w:val="0"/>
          <w:sz w:val="32"/>
          <w:szCs w:val="32"/>
          <w:lang w:val="en-US" w:eastAsia="zh-CN" w:bidi="ar-SA"/>
        </w:rPr>
        <w:t>滕州市2023年政务公开工作要点》和《落实枣庄市2023年政务公开工作要点工作台账》</w:t>
      </w:r>
      <w:r>
        <w:rPr>
          <w:rFonts w:hint="eastAsia" w:ascii="仿宋_GB2312" w:eastAsia="仿宋_GB2312"/>
          <w:sz w:val="32"/>
          <w:szCs w:val="32"/>
        </w:rPr>
        <w:t>，围绕重要决策部署、夯实政务公开基础、重点领域信息公开、提高政策公开质量等方面深化公开，</w:t>
      </w:r>
      <w:r>
        <w:rPr>
          <w:rFonts w:hint="eastAsia" w:ascii="仿宋_GB2312" w:hAnsi="仿宋_GB2312" w:eastAsia="仿宋_GB2312" w:cs="仿宋_GB2312"/>
          <w:kern w:val="0"/>
          <w:sz w:val="32"/>
          <w:szCs w:val="32"/>
          <w:lang w:bidi="ar"/>
        </w:rPr>
        <w:t>对政府网站栏目设置进行优化调整，按月对信息发布情况进行检查调度，确保上级各项工作任务落实到位</w:t>
      </w:r>
      <w:r>
        <w:rPr>
          <w:rFonts w:hint="eastAsia" w:ascii="仿宋_GB2312" w:eastAsia="仿宋_GB2312"/>
          <w:sz w:val="32"/>
          <w:szCs w:val="32"/>
        </w:rPr>
        <w:t>。</w:t>
      </w:r>
    </w:p>
    <w:p>
      <w:pPr>
        <w:keepNext w:val="0"/>
        <w:keepLines w:val="0"/>
        <w:pageBreakBefore w:val="0"/>
        <w:kinsoku/>
        <w:wordWrap/>
        <w:overflowPunct/>
        <w:topLinePunct w:val="0"/>
        <w:autoSpaceDE/>
        <w:autoSpaceDN/>
        <w:bidi w:val="0"/>
        <w:spacing w:line="60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3.</w:t>
      </w:r>
      <w:r>
        <w:rPr>
          <w:rFonts w:hint="eastAsia" w:ascii="仿宋_GB2312" w:eastAsia="仿宋_GB2312"/>
          <w:sz w:val="32"/>
          <w:szCs w:val="32"/>
        </w:rPr>
        <w:t>人大代表建议和政协提案办理情况方面。20</w:t>
      </w:r>
      <w:r>
        <w:rPr>
          <w:rFonts w:hint="eastAsia" w:ascii="仿宋_GB2312" w:eastAsia="仿宋_GB2312"/>
          <w:sz w:val="32"/>
          <w:szCs w:val="32"/>
          <w:lang w:val="en-US" w:eastAsia="zh-CN"/>
        </w:rPr>
        <w:t>23</w:t>
      </w:r>
      <w:r>
        <w:rPr>
          <w:rFonts w:hint="eastAsia" w:ascii="仿宋_GB2312" w:eastAsia="仿宋_GB2312"/>
          <w:sz w:val="32"/>
          <w:szCs w:val="32"/>
        </w:rPr>
        <w:t>年，</w:t>
      </w:r>
      <w:r>
        <w:rPr>
          <w:rFonts w:hint="eastAsia" w:ascii="仿宋_GB2312" w:eastAsia="仿宋_GB2312"/>
          <w:sz w:val="32"/>
          <w:szCs w:val="32"/>
          <w:lang w:eastAsia="zh-CN"/>
        </w:rPr>
        <w:t>人民</w:t>
      </w:r>
      <w:r>
        <w:rPr>
          <w:rFonts w:hint="eastAsia" w:ascii="仿宋_GB2312" w:eastAsia="仿宋_GB2312"/>
          <w:spacing w:val="-6"/>
          <w:sz w:val="32"/>
          <w:szCs w:val="32"/>
          <w:lang w:eastAsia="zh-CN"/>
        </w:rPr>
        <w:t>政府承办</w:t>
      </w:r>
      <w:r>
        <w:rPr>
          <w:rFonts w:ascii="仿宋_GB2312" w:eastAsia="仿宋_GB2312"/>
          <w:spacing w:val="-6"/>
          <w:sz w:val="32"/>
          <w:szCs w:val="32"/>
        </w:rPr>
        <w:t>人大代表建议</w:t>
      </w:r>
      <w:r>
        <w:rPr>
          <w:rFonts w:hint="eastAsia" w:ascii="仿宋_GB2312" w:eastAsia="仿宋_GB2312"/>
          <w:spacing w:val="-6"/>
          <w:sz w:val="32"/>
          <w:szCs w:val="32"/>
          <w:lang w:val="en-US" w:eastAsia="zh-CN"/>
        </w:rPr>
        <w:t>94件，承办</w:t>
      </w:r>
      <w:r>
        <w:rPr>
          <w:rFonts w:ascii="仿宋_GB2312" w:eastAsia="仿宋_GB2312"/>
          <w:spacing w:val="-6"/>
          <w:sz w:val="32"/>
          <w:szCs w:val="32"/>
        </w:rPr>
        <w:t>政协提案</w:t>
      </w:r>
      <w:r>
        <w:rPr>
          <w:rFonts w:hint="eastAsia" w:ascii="仿宋_GB2312" w:eastAsia="仿宋_GB2312"/>
          <w:spacing w:val="-6"/>
          <w:sz w:val="32"/>
          <w:szCs w:val="32"/>
          <w:lang w:val="en-US" w:eastAsia="zh-CN"/>
        </w:rPr>
        <w:t>293件，现已办结，并向社会公布</w:t>
      </w:r>
      <w:r>
        <w:rPr>
          <w:rFonts w:hint="eastAsia" w:ascii="仿宋_GB2312" w:eastAsia="仿宋_GB2312"/>
          <w:spacing w:val="-6"/>
          <w:sz w:val="32"/>
          <w:szCs w:val="32"/>
          <w:lang w:eastAsia="zh-CN"/>
        </w:rPr>
        <w:t>。</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eastAsia="仿宋_GB2312"/>
          <w:sz w:val="32"/>
          <w:szCs w:val="32"/>
          <w:lang w:val="en-US" w:eastAsia="zh-CN"/>
        </w:rPr>
        <w:t>4.</w:t>
      </w:r>
      <w:r>
        <w:rPr>
          <w:rFonts w:hint="eastAsia" w:ascii="仿宋_GB2312" w:eastAsia="仿宋_GB2312"/>
          <w:sz w:val="32"/>
          <w:szCs w:val="32"/>
        </w:rPr>
        <w:t>开展政务公开创新方面。</w:t>
      </w:r>
      <w:r>
        <w:rPr>
          <w:rFonts w:hint="eastAsia" w:ascii="仿宋_GB2312" w:hAnsi="仿宋_GB2312" w:eastAsia="仿宋_GB2312" w:cs="仿宋_GB2312"/>
          <w:b/>
          <w:bCs/>
          <w:sz w:val="32"/>
          <w:szCs w:val="32"/>
          <w:lang w:val="en-US" w:eastAsia="zh-CN"/>
        </w:rPr>
        <w:t>一是</w:t>
      </w:r>
      <w:r>
        <w:rPr>
          <w:rFonts w:hint="eastAsia" w:ascii="仿宋_GB2312" w:hAnsi="仿宋_GB2312" w:eastAsia="仿宋_GB2312" w:cs="仿宋_GB2312"/>
          <w:sz w:val="32"/>
          <w:szCs w:val="32"/>
          <w:lang w:val="en-US" w:eastAsia="zh-CN"/>
        </w:rPr>
        <w:t>依申请公开业务培训采取大比武模式，改变传统老师讲课模式，设置了依申请公开办理经验分享、业务知识考卷测评、现场实战操作、法律顾问点评等环节，改变“我讲你听”、“讲多练少”的培训现况。</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sz w:val="32"/>
          <w:szCs w:val="32"/>
          <w:lang w:val="en-US" w:eastAsia="zh-CN"/>
        </w:rPr>
        <w:t>采取社会化合作模式，政府购买服务，聘请专业人员，多形式多角度尤其是从图片、语音、MG动画等方面全面提升政策解读质量和效果。</w:t>
      </w:r>
      <w:r>
        <w:rPr>
          <w:rFonts w:hint="eastAsia" w:ascii="仿宋_GB2312" w:hAnsi="仿宋_GB2312" w:eastAsia="仿宋_GB2312" w:cs="仿宋_GB2312"/>
          <w:b/>
          <w:bCs/>
          <w:sz w:val="32"/>
          <w:szCs w:val="32"/>
          <w:lang w:val="en-US" w:eastAsia="zh-CN"/>
        </w:rPr>
        <w:t>三是</w:t>
      </w:r>
      <w:r>
        <w:rPr>
          <w:rFonts w:hint="eastAsia" w:ascii="仿宋_GB2312" w:hAnsi="仿宋_GB2312" w:eastAsia="仿宋_GB2312" w:cs="仿宋_GB2312"/>
          <w:sz w:val="32"/>
          <w:szCs w:val="32"/>
          <w:lang w:val="en-US" w:eastAsia="zh-CN"/>
        </w:rPr>
        <w:t>医保政策解读方面，</w:t>
      </w:r>
      <w:r>
        <w:rPr>
          <w:rFonts w:hint="eastAsia" w:ascii="仿宋_GB2312" w:hAnsi="仿宋_GB2312" w:eastAsia="仿宋_GB2312" w:cs="仿宋_GB2312"/>
          <w:i w:val="0"/>
          <w:iCs w:val="0"/>
          <w:caps w:val="0"/>
          <w:color w:val="auto"/>
          <w:spacing w:val="0"/>
          <w:sz w:val="32"/>
          <w:szCs w:val="32"/>
          <w:shd w:val="clear" w:color="auto" w:fill="FFFFFF"/>
        </w:rPr>
        <w:t>全方位、大密度、广覆盖的</w:t>
      </w:r>
      <w:r>
        <w:rPr>
          <w:rFonts w:hint="eastAsia" w:ascii="仿宋_GB2312" w:hAnsi="仿宋_GB2312" w:eastAsia="仿宋_GB2312" w:cs="仿宋_GB2312"/>
          <w:i w:val="0"/>
          <w:iCs w:val="0"/>
          <w:caps w:val="0"/>
          <w:color w:val="auto"/>
          <w:spacing w:val="0"/>
          <w:sz w:val="32"/>
          <w:szCs w:val="32"/>
          <w:shd w:val="clear" w:color="auto" w:fill="FFFFFF"/>
          <w:lang w:val="en-US" w:eastAsia="zh-CN"/>
        </w:rPr>
        <w:t>解读</w:t>
      </w:r>
      <w:r>
        <w:rPr>
          <w:rFonts w:hint="eastAsia" w:ascii="仿宋_GB2312" w:hAnsi="仿宋_GB2312" w:eastAsia="仿宋_GB2312" w:cs="仿宋_GB2312"/>
          <w:i w:val="0"/>
          <w:iCs w:val="0"/>
          <w:caps w:val="0"/>
          <w:color w:val="auto"/>
          <w:spacing w:val="0"/>
          <w:sz w:val="32"/>
          <w:szCs w:val="32"/>
          <w:shd w:val="clear" w:color="auto" w:fill="FFFFFF"/>
        </w:rPr>
        <w:t>思路，综合运用</w:t>
      </w:r>
      <w:r>
        <w:rPr>
          <w:rFonts w:hint="eastAsia" w:ascii="仿宋_GB2312" w:hAnsi="仿宋_GB2312" w:eastAsia="仿宋_GB2312" w:cs="仿宋_GB2312"/>
          <w:i w:val="0"/>
          <w:iCs w:val="0"/>
          <w:caps w:val="0"/>
          <w:color w:val="auto"/>
          <w:spacing w:val="0"/>
          <w:sz w:val="32"/>
          <w:szCs w:val="32"/>
          <w:shd w:val="clear" w:color="auto" w:fill="FFFFFF"/>
          <w:lang w:eastAsia="zh-CN"/>
        </w:rPr>
        <w:t>线上线下多种方式</w:t>
      </w:r>
      <w:r>
        <w:rPr>
          <w:rFonts w:hint="eastAsia" w:ascii="仿宋_GB2312" w:hAnsi="仿宋_GB2312" w:eastAsia="仿宋_GB2312" w:cs="仿宋_GB2312"/>
          <w:i w:val="0"/>
          <w:iCs w:val="0"/>
          <w:caps w:val="0"/>
          <w:color w:val="auto"/>
          <w:spacing w:val="0"/>
          <w:sz w:val="32"/>
          <w:szCs w:val="32"/>
          <w:shd w:val="clear" w:color="auto" w:fill="FFFFFF"/>
        </w:rPr>
        <w:t>解读宣传医保政策和经办服务渠道，</w:t>
      </w:r>
      <w:r>
        <w:rPr>
          <w:rFonts w:hint="eastAsia" w:ascii="仿宋_GB2312" w:hAnsi="仿宋_GB2312" w:eastAsia="仿宋_GB2312" w:cs="仿宋_GB2312"/>
          <w:i w:val="0"/>
          <w:iCs w:val="0"/>
          <w:caps w:val="0"/>
          <w:color w:val="auto"/>
          <w:spacing w:val="0"/>
          <w:sz w:val="32"/>
          <w:szCs w:val="32"/>
          <w:shd w:val="clear" w:color="auto" w:fill="FFFFFF"/>
          <w:lang w:eastAsia="zh-CN"/>
        </w:rPr>
        <w:t>进一步</w:t>
      </w:r>
      <w:r>
        <w:rPr>
          <w:rFonts w:hint="eastAsia" w:ascii="仿宋_GB2312" w:hAnsi="仿宋_GB2312" w:eastAsia="仿宋_GB2312" w:cs="仿宋_GB2312"/>
          <w:i w:val="0"/>
          <w:iCs w:val="0"/>
          <w:caps w:val="0"/>
          <w:color w:val="auto"/>
          <w:spacing w:val="0"/>
          <w:sz w:val="32"/>
          <w:szCs w:val="32"/>
          <w:shd w:val="clear" w:color="auto" w:fill="FFFFFF"/>
        </w:rPr>
        <w:t>提高了</w:t>
      </w:r>
      <w:r>
        <w:rPr>
          <w:rFonts w:hint="eastAsia" w:ascii="仿宋_GB2312" w:hAnsi="仿宋_GB2312" w:eastAsia="仿宋_GB2312" w:cs="仿宋_GB2312"/>
          <w:i w:val="0"/>
          <w:iCs w:val="0"/>
          <w:caps w:val="0"/>
          <w:color w:val="auto"/>
          <w:spacing w:val="0"/>
          <w:sz w:val="32"/>
          <w:szCs w:val="32"/>
          <w:shd w:val="clear" w:color="auto" w:fill="FFFFFF"/>
          <w:lang w:val="en-US" w:eastAsia="zh-CN"/>
        </w:rPr>
        <w:t>群众对</w:t>
      </w:r>
      <w:r>
        <w:rPr>
          <w:rFonts w:hint="eastAsia" w:ascii="仿宋_GB2312" w:hAnsi="仿宋_GB2312" w:eastAsia="仿宋_GB2312" w:cs="仿宋_GB2312"/>
          <w:i w:val="0"/>
          <w:iCs w:val="0"/>
          <w:caps w:val="0"/>
          <w:color w:val="auto"/>
          <w:spacing w:val="0"/>
          <w:sz w:val="32"/>
          <w:szCs w:val="32"/>
          <w:shd w:val="clear" w:color="auto" w:fill="FFFFFF"/>
        </w:rPr>
        <w:t>医保政策知晓率</w:t>
      </w:r>
      <w:r>
        <w:rPr>
          <w:rFonts w:hint="eastAsia" w:ascii="仿宋_GB2312" w:hAnsi="仿宋_GB2312" w:eastAsia="仿宋_GB2312" w:cs="仿宋_GB2312"/>
          <w:i w:val="0"/>
          <w:iCs w:val="0"/>
          <w:caps w:val="0"/>
          <w:color w:val="auto"/>
          <w:spacing w:val="0"/>
          <w:sz w:val="32"/>
          <w:szCs w:val="32"/>
          <w:shd w:val="clear" w:color="auto" w:fill="FFFFFF"/>
          <w:lang w:val="en-US" w:eastAsia="zh-CN"/>
        </w:rPr>
        <w:t>和医保工作的满意度</w:t>
      </w:r>
      <w:r>
        <w:rPr>
          <w:rFonts w:hint="eastAsia" w:ascii="仿宋_GB2312" w:hAnsi="仿宋_GB2312" w:eastAsia="仿宋_GB2312" w:cs="仿宋_GB2312"/>
          <w:i w:val="0"/>
          <w:iCs w:val="0"/>
          <w:caps w:val="0"/>
          <w:color w:val="auto"/>
          <w:spacing w:val="0"/>
          <w:sz w:val="32"/>
          <w:szCs w:val="32"/>
          <w:shd w:val="clear" w:color="auto" w:fill="FFFFFF"/>
        </w:rPr>
        <w:t>。</w:t>
      </w:r>
      <w:r>
        <w:rPr>
          <w:rFonts w:hint="eastAsia" w:ascii="仿宋_GB2312" w:hAnsi="仿宋_GB2312" w:eastAsia="仿宋_GB2312" w:cs="仿宋_GB2312"/>
          <w:b/>
          <w:bCs/>
          <w:i w:val="0"/>
          <w:iCs w:val="0"/>
          <w:caps w:val="0"/>
          <w:color w:val="auto"/>
          <w:spacing w:val="0"/>
          <w:sz w:val="32"/>
          <w:szCs w:val="32"/>
          <w:shd w:val="clear" w:color="auto" w:fill="FFFFFF"/>
          <w:lang w:eastAsia="zh-CN"/>
        </w:rPr>
        <w:t>四是</w:t>
      </w:r>
      <w:r>
        <w:rPr>
          <w:rFonts w:hint="eastAsia" w:ascii="仿宋_GB2312" w:hAnsi="仿宋_GB2312" w:eastAsia="仿宋_GB2312" w:cs="仿宋_GB2312"/>
          <w:b w:val="0"/>
          <w:bCs w:val="0"/>
          <w:color w:val="auto"/>
          <w:sz w:val="32"/>
          <w:szCs w:val="32"/>
          <w:lang w:val="en-US" w:eastAsia="zh-CN"/>
        </w:rPr>
        <w:t>组织开展“政府开放月”系列活动，共举</w:t>
      </w:r>
      <w:r>
        <w:rPr>
          <w:rFonts w:hint="eastAsia" w:ascii="仿宋_GB2312" w:hAnsi="仿宋_GB2312" w:eastAsia="仿宋_GB2312" w:cs="仿宋_GB2312"/>
          <w:b w:val="0"/>
          <w:bCs w:val="0"/>
          <w:color w:val="auto"/>
          <w:sz w:val="32"/>
          <w:szCs w:val="32"/>
          <w:highlight w:val="none"/>
          <w:lang w:val="en-US" w:eastAsia="zh-CN"/>
        </w:rPr>
        <w:t>办26场</w:t>
      </w:r>
      <w:r>
        <w:rPr>
          <w:rFonts w:hint="eastAsia" w:ascii="仿宋_GB2312" w:hAnsi="仿宋_GB2312" w:eastAsia="仿宋_GB2312" w:cs="仿宋_GB2312"/>
          <w:b w:val="0"/>
          <w:bCs w:val="0"/>
          <w:color w:val="auto"/>
          <w:sz w:val="32"/>
          <w:szCs w:val="32"/>
          <w:lang w:val="en-US" w:eastAsia="zh-CN"/>
        </w:rPr>
        <w:t>政府开放日活动。活动开展以来，社会各界代表通过实地参观、听取汇报、交流座谈等方式零距离走进政府工作，体验近年来政府服务工作的发展变化，搭建了政府与群众之间的沟通桥梁，增强政府公信力、凝聚力和执行力。</w:t>
      </w:r>
      <w:r>
        <w:rPr>
          <w:rFonts w:hint="eastAsia" w:ascii="仿宋_GB2312" w:hAnsi="仿宋_GB2312" w:eastAsia="仿宋_GB2312" w:cs="仿宋_GB2312"/>
          <w:b/>
          <w:bCs/>
          <w:color w:val="auto"/>
          <w:sz w:val="32"/>
          <w:szCs w:val="32"/>
          <w:lang w:val="en-US" w:eastAsia="zh-CN"/>
        </w:rPr>
        <w:t>五是</w:t>
      </w:r>
      <w:r>
        <w:rPr>
          <w:rFonts w:hint="eastAsia" w:ascii="仿宋_GB2312" w:hAnsi="仿宋_GB2312" w:eastAsia="仿宋_GB2312" w:cs="仿宋_GB2312"/>
          <w:color w:val="auto"/>
          <w:kern w:val="2"/>
          <w:sz w:val="32"/>
          <w:szCs w:val="32"/>
          <w:lang w:val="en-US" w:eastAsia="zh-CN" w:bidi="ar-SA"/>
        </w:rPr>
        <w:t>牢固树立以人民为中心的发展思想，立足群众看病就医需求，强化卫生健康领域公共事业单位信息公开，全面优化服务流程，推动卫生健康工作扩容提质和医疗服务能力提档升级，全方位提升了群众满意度。</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5.</w:t>
      </w:r>
      <w:r>
        <w:rPr>
          <w:rFonts w:hint="eastAsia" w:ascii="仿宋_GB2312" w:eastAsia="仿宋_GB2312"/>
          <w:sz w:val="32"/>
          <w:szCs w:val="32"/>
        </w:rPr>
        <w:t>本单位政府信息公开工作年度报告数据统计需要说明的事项：无</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6.</w:t>
      </w:r>
      <w:r>
        <w:rPr>
          <w:rFonts w:hint="eastAsia" w:ascii="仿宋_GB2312" w:eastAsia="仿宋_GB2312"/>
          <w:sz w:val="32"/>
          <w:szCs w:val="32"/>
        </w:rPr>
        <w:t>其他有关文件专门要求通过政府信息公开工作年度报告予以报告的事项：无</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pPr>
      <w:r>
        <w:rPr>
          <w:rFonts w:hint="eastAsia" w:ascii="仿宋_GB2312" w:hAnsi="仿宋_GB2312" w:eastAsia="仿宋_GB2312" w:cs="仿宋_GB2312"/>
          <w:sz w:val="32"/>
          <w:szCs w:val="32"/>
          <w:lang w:val="en-US" w:eastAsia="zh-CN"/>
        </w:rPr>
        <w:t>7.本报告的电子版可在“中国滕州网”（http://www.tengzhou.gov.cn/）网站查询和下载。如对本报告有任何疑问，请与滕州市政府办公室政务公开办公室联系。 （地址：山东省滕州市北辛中路政务中心 625 房间，联系电话：0632—5513369，电子邮箱：</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"mailto:tzzwgk@zz.shandong.cn）。"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tzzwgk@zz.shandong.cn</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w:t>
      </w:r>
    </w:p>
    <w:sectPr>
      <w:headerReference r:id="rId3" w:type="default"/>
      <w:footerReference r:id="rId4" w:type="default"/>
      <w:pgSz w:w="11906" w:h="16838"/>
      <w:pgMar w:top="1383"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ÃƒÂ¥Ã‚Â¾Ã‚Â®ÃƒÂ¨Ã‚Â½Ã‚Â¯ÃƒÂ©Ã¢â">
    <w:altName w:val="Segoe Print"/>
    <w:panose1 w:val="00000000000000000000"/>
    <w:charset w:val="00"/>
    <w:family w:val="auto"/>
    <w:pitch w:val="default"/>
    <w:sig w:usb0="00000000" w:usb1="00000000" w:usb2="00000000" w:usb3="00000000" w:csb0="00000000" w:csb1="00000000"/>
  </w:font>
  <w:font w:name="汉仪旗黑-55简">
    <w:altName w:val="方正黑体_GBK"/>
    <w:panose1 w:val="00020600040101010101"/>
    <w:charset w:val="8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文泉驿微米黑">
    <w:panose1 w:val="020B0606030804020204"/>
    <w:charset w:val="86"/>
    <w:family w:val="auto"/>
    <w:pitch w:val="default"/>
    <w:sig w:usb0="E10002EF" w:usb1="6BDFFCFB" w:usb2="00800036" w:usb3="00000000" w:csb0="603E019F" w:csb1="DFD70000"/>
  </w:font>
  <w:font w:name="方正黑体_GBK">
    <w:panose1 w:val="02000000000000000000"/>
    <w:charset w:val="86"/>
    <w:family w:val="auto"/>
    <w:pitch w:val="default"/>
    <w:sig w:usb0="A00002BF" w:usb1="38CF7CFA" w:usb2="00082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PAGE  \* MERGEFORMAT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14</w:t>
                          </w:r>
                          <w:r>
                            <w:rPr>
                              <w:rFonts w:hint="eastAsia" w:ascii="新宋体" w:hAnsi="新宋体" w:eastAsia="新宋体" w:cs="新宋体"/>
                              <w:sz w:val="24"/>
                              <w:szCs w:val="24"/>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p>
                    <w:pPr>
                      <w:pStyle w:val="5"/>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PAGE  \* MERGEFORMAT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14</w:t>
                    </w:r>
                    <w:r>
                      <w:rPr>
                        <w:rFonts w:hint="eastAsia" w:ascii="新宋体" w:hAnsi="新宋体" w:eastAsia="新宋体" w:cs="新宋体"/>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xNDc0NjVkYTc3YmU3ZTg1OGEzMDcxZDFlNTI5MTUifQ=="/>
  </w:docVars>
  <w:rsids>
    <w:rsidRoot w:val="21820AB8"/>
    <w:rsid w:val="005F431D"/>
    <w:rsid w:val="00781A5E"/>
    <w:rsid w:val="020D5D15"/>
    <w:rsid w:val="023EE4A5"/>
    <w:rsid w:val="0257771D"/>
    <w:rsid w:val="03987BFB"/>
    <w:rsid w:val="058442AE"/>
    <w:rsid w:val="05A45DF1"/>
    <w:rsid w:val="05E565C5"/>
    <w:rsid w:val="06981D18"/>
    <w:rsid w:val="06CE2604"/>
    <w:rsid w:val="077C5CB6"/>
    <w:rsid w:val="0998778C"/>
    <w:rsid w:val="0CD345CA"/>
    <w:rsid w:val="0F296ED6"/>
    <w:rsid w:val="0F753E41"/>
    <w:rsid w:val="0FB3B22F"/>
    <w:rsid w:val="10D95F27"/>
    <w:rsid w:val="11426A31"/>
    <w:rsid w:val="1256652B"/>
    <w:rsid w:val="12EF0AA7"/>
    <w:rsid w:val="12F274C7"/>
    <w:rsid w:val="133C76FB"/>
    <w:rsid w:val="146C6547"/>
    <w:rsid w:val="17FCEE16"/>
    <w:rsid w:val="183F222E"/>
    <w:rsid w:val="1890623A"/>
    <w:rsid w:val="198B0FEE"/>
    <w:rsid w:val="1991373A"/>
    <w:rsid w:val="19A14243"/>
    <w:rsid w:val="1A6522F4"/>
    <w:rsid w:val="1B2C1FD9"/>
    <w:rsid w:val="1C4B6240"/>
    <w:rsid w:val="1C901919"/>
    <w:rsid w:val="1CFE0661"/>
    <w:rsid w:val="1D35577C"/>
    <w:rsid w:val="1FFB5094"/>
    <w:rsid w:val="1FFBE777"/>
    <w:rsid w:val="2152442C"/>
    <w:rsid w:val="21820AB8"/>
    <w:rsid w:val="21F7620D"/>
    <w:rsid w:val="222334A6"/>
    <w:rsid w:val="23944326"/>
    <w:rsid w:val="24982636"/>
    <w:rsid w:val="24FB4256"/>
    <w:rsid w:val="252E5D6D"/>
    <w:rsid w:val="25455921"/>
    <w:rsid w:val="2581571E"/>
    <w:rsid w:val="25A74B7E"/>
    <w:rsid w:val="2712125D"/>
    <w:rsid w:val="27343A60"/>
    <w:rsid w:val="28C73537"/>
    <w:rsid w:val="296E73F2"/>
    <w:rsid w:val="29DB7D86"/>
    <w:rsid w:val="2B5F63B9"/>
    <w:rsid w:val="2D1C4834"/>
    <w:rsid w:val="2F7C1892"/>
    <w:rsid w:val="2FAD5A30"/>
    <w:rsid w:val="2FEE9534"/>
    <w:rsid w:val="2FFB5B5C"/>
    <w:rsid w:val="30772837"/>
    <w:rsid w:val="308B2707"/>
    <w:rsid w:val="30A13FA4"/>
    <w:rsid w:val="30D8131D"/>
    <w:rsid w:val="31C37D95"/>
    <w:rsid w:val="33CAB4B4"/>
    <w:rsid w:val="34083D1C"/>
    <w:rsid w:val="344A6670"/>
    <w:rsid w:val="35962709"/>
    <w:rsid w:val="37454701"/>
    <w:rsid w:val="374DB009"/>
    <w:rsid w:val="37F99B65"/>
    <w:rsid w:val="3AC81FE2"/>
    <w:rsid w:val="3B911029"/>
    <w:rsid w:val="3C1507AB"/>
    <w:rsid w:val="3C5055BF"/>
    <w:rsid w:val="3D6F8590"/>
    <w:rsid w:val="3DE741EF"/>
    <w:rsid w:val="3E10092B"/>
    <w:rsid w:val="3EE80FE8"/>
    <w:rsid w:val="3F446ADE"/>
    <w:rsid w:val="3FD7ECC1"/>
    <w:rsid w:val="404E727E"/>
    <w:rsid w:val="41272213"/>
    <w:rsid w:val="41523008"/>
    <w:rsid w:val="418341D4"/>
    <w:rsid w:val="432A4176"/>
    <w:rsid w:val="44225326"/>
    <w:rsid w:val="46184BCD"/>
    <w:rsid w:val="486471E4"/>
    <w:rsid w:val="48D950C8"/>
    <w:rsid w:val="49093F3C"/>
    <w:rsid w:val="4A630034"/>
    <w:rsid w:val="4B7E2286"/>
    <w:rsid w:val="4D1B4BF6"/>
    <w:rsid w:val="4E9C1533"/>
    <w:rsid w:val="4F593F8F"/>
    <w:rsid w:val="507F6B64"/>
    <w:rsid w:val="51D17969"/>
    <w:rsid w:val="52A627FD"/>
    <w:rsid w:val="52EE3869"/>
    <w:rsid w:val="5378AF10"/>
    <w:rsid w:val="539A4128"/>
    <w:rsid w:val="541F7CA5"/>
    <w:rsid w:val="567902AE"/>
    <w:rsid w:val="57F35FE4"/>
    <w:rsid w:val="587141F8"/>
    <w:rsid w:val="58983352"/>
    <w:rsid w:val="58D65697"/>
    <w:rsid w:val="5A086D26"/>
    <w:rsid w:val="5ABB43D1"/>
    <w:rsid w:val="5B5A47B7"/>
    <w:rsid w:val="5BD1454A"/>
    <w:rsid w:val="5C6D3A28"/>
    <w:rsid w:val="5CB5102D"/>
    <w:rsid w:val="5CFB859D"/>
    <w:rsid w:val="5D5F4F97"/>
    <w:rsid w:val="5D9B0FDD"/>
    <w:rsid w:val="5DD951B3"/>
    <w:rsid w:val="5ECF307B"/>
    <w:rsid w:val="5F642333"/>
    <w:rsid w:val="5F7B02D8"/>
    <w:rsid w:val="5FADF471"/>
    <w:rsid w:val="61BBD1BC"/>
    <w:rsid w:val="65B37C6A"/>
    <w:rsid w:val="66763171"/>
    <w:rsid w:val="67F77919"/>
    <w:rsid w:val="69F7102D"/>
    <w:rsid w:val="6A7FDC9F"/>
    <w:rsid w:val="6A8E33BF"/>
    <w:rsid w:val="6A933BC6"/>
    <w:rsid w:val="6BAF07D0"/>
    <w:rsid w:val="6BB01618"/>
    <w:rsid w:val="6D144675"/>
    <w:rsid w:val="6DD7D188"/>
    <w:rsid w:val="6DFF336D"/>
    <w:rsid w:val="6E2A5C3E"/>
    <w:rsid w:val="6E466141"/>
    <w:rsid w:val="6E6D725E"/>
    <w:rsid w:val="6E7F2DDF"/>
    <w:rsid w:val="70DC7178"/>
    <w:rsid w:val="735656F7"/>
    <w:rsid w:val="73DD4DB5"/>
    <w:rsid w:val="73DFEDD1"/>
    <w:rsid w:val="73E3796C"/>
    <w:rsid w:val="76C03ACC"/>
    <w:rsid w:val="76D31F1A"/>
    <w:rsid w:val="76ED87E1"/>
    <w:rsid w:val="76FE2458"/>
    <w:rsid w:val="77300C87"/>
    <w:rsid w:val="77AE4440"/>
    <w:rsid w:val="77FBB6A1"/>
    <w:rsid w:val="77FDDC20"/>
    <w:rsid w:val="77FF9AD8"/>
    <w:rsid w:val="785A7427"/>
    <w:rsid w:val="78EF6DB7"/>
    <w:rsid w:val="79B3D7CF"/>
    <w:rsid w:val="79F64B91"/>
    <w:rsid w:val="7D7B5443"/>
    <w:rsid w:val="7DDB5801"/>
    <w:rsid w:val="7DDB7E0F"/>
    <w:rsid w:val="7DFE0CB7"/>
    <w:rsid w:val="7EDF1C54"/>
    <w:rsid w:val="7F6F3CAE"/>
    <w:rsid w:val="7F785AD1"/>
    <w:rsid w:val="7F9D3E4A"/>
    <w:rsid w:val="7FBFD99F"/>
    <w:rsid w:val="7FCD5CE8"/>
    <w:rsid w:val="7FDF473F"/>
    <w:rsid w:val="7FDF548C"/>
    <w:rsid w:val="7FEC7C50"/>
    <w:rsid w:val="7FFB843E"/>
    <w:rsid w:val="7FFC7CF0"/>
    <w:rsid w:val="7FFFDBEC"/>
    <w:rsid w:val="8BA7B96F"/>
    <w:rsid w:val="8FFE7B40"/>
    <w:rsid w:val="957F1B33"/>
    <w:rsid w:val="9BEB9FC9"/>
    <w:rsid w:val="9F7EE32D"/>
    <w:rsid w:val="9FF348EF"/>
    <w:rsid w:val="9FF921F0"/>
    <w:rsid w:val="A3C8DEA9"/>
    <w:rsid w:val="AADF3C34"/>
    <w:rsid w:val="AD6E60E1"/>
    <w:rsid w:val="B37B7EEE"/>
    <w:rsid w:val="B78782FD"/>
    <w:rsid w:val="BB736C8D"/>
    <w:rsid w:val="BCDD7A1B"/>
    <w:rsid w:val="BEEFFACF"/>
    <w:rsid w:val="BFFA1D47"/>
    <w:rsid w:val="C72FDECE"/>
    <w:rsid w:val="C8D619E0"/>
    <w:rsid w:val="CF30299E"/>
    <w:rsid w:val="D7FF15DD"/>
    <w:rsid w:val="D7FF7BA5"/>
    <w:rsid w:val="DEFFC7D7"/>
    <w:rsid w:val="DF0C4672"/>
    <w:rsid w:val="DFFFEF23"/>
    <w:rsid w:val="E3DA75DB"/>
    <w:rsid w:val="E5BFF738"/>
    <w:rsid w:val="E61D2E89"/>
    <w:rsid w:val="EBFD0DFC"/>
    <w:rsid w:val="EDFEA2D3"/>
    <w:rsid w:val="EF6B30CF"/>
    <w:rsid w:val="EF7FF774"/>
    <w:rsid w:val="EF8A05F2"/>
    <w:rsid w:val="F1EFC6DD"/>
    <w:rsid w:val="F2F79FCB"/>
    <w:rsid w:val="F3FF43A9"/>
    <w:rsid w:val="F46F5334"/>
    <w:rsid w:val="F5FA3698"/>
    <w:rsid w:val="F67F7F95"/>
    <w:rsid w:val="F76F68B1"/>
    <w:rsid w:val="F7ABFB07"/>
    <w:rsid w:val="F7EE559D"/>
    <w:rsid w:val="FA5FD1AA"/>
    <w:rsid w:val="FA6F4B73"/>
    <w:rsid w:val="FAEA14B5"/>
    <w:rsid w:val="FB5F677E"/>
    <w:rsid w:val="FB77D211"/>
    <w:rsid w:val="FBF6BF5E"/>
    <w:rsid w:val="FDBF3C83"/>
    <w:rsid w:val="FDF93532"/>
    <w:rsid w:val="FEFCF846"/>
    <w:rsid w:val="FEFFEA8B"/>
    <w:rsid w:val="FEFFEE8A"/>
    <w:rsid w:val="FF651586"/>
    <w:rsid w:val="FF6B1AF4"/>
    <w:rsid w:val="FF9E9012"/>
    <w:rsid w:val="FFCBEBC0"/>
    <w:rsid w:val="FFCD3B26"/>
    <w:rsid w:val="FFDFE4A1"/>
    <w:rsid w:val="FFFF406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0"/>
    <w:pPr>
      <w:spacing w:before="100" w:beforeAutospacing="1" w:after="10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pPr>
      <w:spacing w:line="660" w:lineRule="exact"/>
      <w:ind w:firstLine="705"/>
    </w:pPr>
    <w:rPr>
      <w:rFonts w:ascii="仿宋_GB2312" w:eastAsia="仿宋_GB2312"/>
      <w:color w:val="000000"/>
      <w:sz w:val="36"/>
      <w:szCs w:val="36"/>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Autospacing="1" w:afterAutospacing="1"/>
      <w:jc w:val="left"/>
    </w:pPr>
    <w:rPr>
      <w:rFonts w:cs="Times New Roman"/>
      <w:kern w:val="0"/>
      <w:sz w:val="24"/>
    </w:rPr>
  </w:style>
  <w:style w:type="character" w:styleId="10">
    <w:name w:val="Strong"/>
    <w:basedOn w:val="9"/>
    <w:qFormat/>
    <w:uiPriority w:val="0"/>
    <w:rPr>
      <w:b/>
    </w:rPr>
  </w:style>
  <w:style w:type="character" w:styleId="11">
    <w:name w:val="Emphasis"/>
    <w:basedOn w:val="9"/>
    <w:qFormat/>
    <w:uiPriority w:val="0"/>
    <w:rPr>
      <w:i/>
    </w:rPr>
  </w:style>
  <w:style w:type="character" w:styleId="12">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chart" Target="charts/chart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true" forceAA="false"/>
          <a:lstStyle/>
          <a:p>
            <a:pPr defTabSz="914400">
              <a:defRPr lang="zh-CN" sz="1400" b="0" i="0" u="none" strike="noStrike" kern="1200" spc="0" baseline="0">
                <a:ln>
                  <a:noFill/>
                </a:ln>
                <a:solidFill>
                  <a:sysClr val="windowText" lastClr="000000"/>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r>
              <a:rPr>
                <a:solidFill>
                  <a:sysClr val="windowText" lastClr="000000"/>
                </a:solidFill>
              </a:rPr>
              <a:t>滕州市人民政府</a:t>
            </a:r>
            <a:r>
              <a:rPr lang="en-US" altLang="zh-CN">
                <a:solidFill>
                  <a:sysClr val="windowText" lastClr="000000"/>
                </a:solidFill>
              </a:rPr>
              <a:t>2023</a:t>
            </a:r>
            <a:r>
              <a:rPr altLang="en-US">
                <a:solidFill>
                  <a:sysClr val="windowText" lastClr="000000"/>
                </a:solidFill>
              </a:rPr>
              <a:t>年政策解读情况</a:t>
            </a:r>
            <a:endParaRPr altLang="en-US">
              <a:solidFill>
                <a:sysClr val="windowText" lastClr="000000"/>
              </a:solidFill>
            </a:endParaRPr>
          </a:p>
        </c:rich>
      </c:tx>
      <c:layout>
        <c:manualLayout>
          <c:xMode val="edge"/>
          <c:yMode val="edge"/>
          <c:x val="0.228375"/>
          <c:y val="0.0484826993337632"/>
        </c:manualLayout>
      </c:layout>
      <c:overlay val="false"/>
      <c:spPr>
        <a:noFill/>
        <a:ln>
          <a:noFill/>
        </a:ln>
        <a:effectLst/>
      </c:spPr>
    </c:title>
    <c:autoTitleDeleted val="false"/>
    <c:plotArea>
      <c:layout/>
      <c:pieChart>
        <c:varyColors val="true"/>
        <c:ser>
          <c:idx val="0"/>
          <c:order val="0"/>
          <c:tx>
            <c:strRef>
              <c:f>Sheet1!$B$1</c:f>
              <c:strCache>
                <c:ptCount val="1"/>
                <c:pt idx="0">
                  <c:v/>
                </c:pt>
              </c:strCache>
            </c:strRef>
          </c:tx>
          <c:spPr>
            <a:ln w="9525">
              <a:solidFill>
                <a:sysClr val="window" lastClr="FFFFFF"/>
              </a:solidFill>
            </a:ln>
            <a:effectLst>
              <a:outerShdw blurRad="50800" dist="38100" dir="2700000" algn="tl" rotWithShape="0">
                <a:srgbClr val="91BED4">
                  <a:alpha val="40000"/>
                </a:srgbClr>
              </a:outerShdw>
            </a:effectLst>
          </c:spPr>
          <c:explosion val="3"/>
          <c:dPt>
            <c:idx val="0"/>
            <c:bubble3D val="false"/>
            <c:spPr>
              <a:solidFill>
                <a:srgbClr val="FF845D"/>
              </a:solidFill>
              <a:ln w="9525">
                <a:solidFill>
                  <a:sysClr val="window" lastClr="FFFFFF"/>
                </a:solidFill>
              </a:ln>
              <a:effectLst>
                <a:outerShdw blurRad="50800" dist="38100" dir="2700000" algn="tl" rotWithShape="0">
                  <a:srgbClr val="91BED4">
                    <a:alpha val="40000"/>
                  </a:srgbClr>
                </a:outerShdw>
              </a:effectLst>
            </c:spPr>
          </c:dPt>
          <c:dPt>
            <c:idx val="1"/>
            <c:bubble3D val="false"/>
            <c:spPr>
              <a:solidFill>
                <a:srgbClr val="FFDF8B"/>
              </a:solidFill>
              <a:ln w="9525">
                <a:solidFill>
                  <a:sysClr val="window" lastClr="FFFFFF"/>
                </a:solidFill>
              </a:ln>
              <a:effectLst>
                <a:outerShdw blurRad="50800" dist="38100" dir="2700000" algn="tl" rotWithShape="0">
                  <a:srgbClr val="91BED4">
                    <a:alpha val="40000"/>
                  </a:srgbClr>
                </a:outerShdw>
              </a:effectLst>
            </c:spPr>
          </c:dPt>
          <c:dPt>
            <c:idx val="2"/>
            <c:bubble3D val="false"/>
            <c:spPr>
              <a:solidFill>
                <a:srgbClr val="B3DFEC"/>
              </a:solidFill>
              <a:ln w="9525">
                <a:solidFill>
                  <a:sysClr val="window" lastClr="FFFFFF"/>
                </a:solidFill>
              </a:ln>
              <a:effectLst>
                <a:outerShdw blurRad="50800" dist="38100" dir="2700000" algn="tl" rotWithShape="0">
                  <a:srgbClr val="91BED4">
                    <a:alpha val="40000"/>
                  </a:srgbClr>
                </a:outerShdw>
              </a:effectLst>
            </c:spPr>
          </c:dPt>
          <c:dPt>
            <c:idx val="3"/>
            <c:bubble3D val="false"/>
            <c:spPr>
              <a:solidFill>
                <a:srgbClr val="BFE482"/>
              </a:solidFill>
              <a:ln w="9525">
                <a:solidFill>
                  <a:sysClr val="window" lastClr="FFFFFF"/>
                </a:solidFill>
              </a:ln>
              <a:effectLst>
                <a:outerShdw blurRad="50800" dist="38100" dir="2700000" algn="tl" rotWithShape="0">
                  <a:srgbClr val="91BED4">
                    <a:alpha val="40000"/>
                  </a:srgbClr>
                </a:outerShdw>
              </a:effectLst>
            </c:spPr>
          </c:dPt>
          <c:dPt>
            <c:idx val="4"/>
            <c:bubble3D val="false"/>
            <c:spPr>
              <a:solidFill>
                <a:srgbClr val="4472C4"/>
              </a:solidFill>
              <a:ln w="9525">
                <a:solidFill>
                  <a:sysClr val="window" lastClr="FFFFFF"/>
                </a:solidFill>
              </a:ln>
              <a:effectLst>
                <a:outerShdw blurRad="50800" dist="38100" dir="2700000" algn="tl" rotWithShape="0">
                  <a:srgbClr val="91BED4">
                    <a:alpha val="40000"/>
                  </a:srgbClr>
                </a:outerShdw>
              </a:effectLst>
            </c:spPr>
          </c:dPt>
          <c:dPt>
            <c:idx val="5"/>
            <c:bubble3D val="false"/>
            <c:spPr>
              <a:solidFill>
                <a:srgbClr val="70AD47"/>
              </a:solidFill>
              <a:ln w="9525">
                <a:solidFill>
                  <a:sysClr val="window" lastClr="FFFFFF"/>
                </a:solidFill>
              </a:ln>
              <a:effectLst>
                <a:outerShdw blurRad="50800" dist="38100" dir="2700000" algn="tl" rotWithShape="0">
                  <a:srgbClr val="91BED4">
                    <a:alpha val="40000"/>
                  </a:srgbClr>
                </a:outerShdw>
              </a:effectLst>
            </c:spPr>
          </c:dPt>
          <c:dLbls>
            <c:numFmt formatCode="General" sourceLinked="true"/>
            <c:spPr>
              <a:noFill/>
              <a:ln>
                <a:noFill/>
              </a:ln>
              <a:effectLst/>
            </c:spPr>
            <c:txPr>
              <a:bodyPr rot="0" spcFirstLastPara="0" vertOverflow="ellipsis" vert="horz" wrap="square" lIns="38100" tIns="19050" rIns="38100" bIns="19050" anchor="ctr" anchorCtr="true" forceAA="false"/>
              <a:lstStyle/>
              <a:p>
                <a:pPr>
                  <a:defRPr lang="zh-CN" sz="1000" b="0" i="0" u="none" strike="noStrike" kern="1200" baseline="0">
                    <a:solidFill>
                      <a:sysClr val="windowText" lastClr="000000"/>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dLblPos val="inEnd"/>
            <c:showLegendKey val="false"/>
            <c:showVal val="false"/>
            <c:showCatName val="false"/>
            <c:showSerName val="false"/>
            <c:showPercent val="true"/>
            <c:showBubbleSize val="false"/>
            <c:showLeaderLines val="true"/>
            <c:extLst>
              <c:ext xmlns:c15="http://schemas.microsoft.com/office/drawing/2012/chart" uri="{CE6537A1-D6FC-4f65-9D91-7224C49458BB}">
                <c15:layout/>
                <c15:showLeaderLines val="true"/>
                <c15:leaderLines>
                  <c:spPr>
                    <a:ln w="9525" cap="flat" cmpd="sng" algn="ctr">
                      <a:solidFill>
                        <a:sysClr val="windowText" lastClr="000000">
                          <a:lumMod val="35000"/>
                          <a:lumOff val="65000"/>
                        </a:sysClr>
                      </a:solidFill>
                      <a:round/>
                    </a:ln>
                    <a:effectLst/>
                  </c:spPr>
                </c15:leaderLines>
              </c:ext>
            </c:extLst>
          </c:dLbls>
          <c:cat>
            <c:strRef>
              <c:f>Sheet1!$A$2:$A$7</c:f>
              <c:strCache>
                <c:ptCount val="6"/>
                <c:pt idx="0">
                  <c:v>文字解读</c:v>
                </c:pt>
                <c:pt idx="1">
                  <c:v>主要负责人解读</c:v>
                </c:pt>
                <c:pt idx="2">
                  <c:v>新闻发布会</c:v>
                </c:pt>
                <c:pt idx="3">
                  <c:v>简明问答</c:v>
                </c:pt>
                <c:pt idx="4">
                  <c:v>图文解读</c:v>
                </c:pt>
                <c:pt idx="5">
                  <c:v>视频解读</c:v>
                </c:pt>
              </c:strCache>
            </c:strRef>
          </c:cat>
          <c:val>
            <c:numRef>
              <c:f>Sheet1!$B$2:$B$7</c:f>
              <c:numCache>
                <c:formatCode>General</c:formatCode>
                <c:ptCount val="6"/>
                <c:pt idx="0">
                  <c:v>31</c:v>
                </c:pt>
                <c:pt idx="1">
                  <c:v>4</c:v>
                </c:pt>
                <c:pt idx="2">
                  <c:v>9</c:v>
                </c:pt>
                <c:pt idx="3">
                  <c:v>2</c:v>
                </c:pt>
                <c:pt idx="4">
                  <c:v>10</c:v>
                </c:pt>
                <c:pt idx="5">
                  <c:v>5</c:v>
                </c:pt>
              </c:numCache>
            </c:numRef>
          </c:val>
        </c:ser>
        <c:dLbls>
          <c:showLegendKey val="false"/>
          <c:showVal val="false"/>
          <c:showCatName val="false"/>
          <c:showSerName val="false"/>
          <c:showPercent val="true"/>
          <c:showBubbleSize val="false"/>
          <c:showLeaderLines val="true"/>
        </c:dLbls>
        <c:firstSliceAng val="0"/>
      </c:pieChart>
      <c:spPr>
        <a:noFill/>
        <a:ln>
          <a:noFill/>
        </a:ln>
        <a:effectLst>
          <a:glow rad="63500">
            <a:sysClr val="window" lastClr="FFFFFF">
              <a:alpha val="40000"/>
            </a:sysClr>
          </a:glow>
        </a:effectLst>
      </c:spPr>
    </c:plotArea>
    <c:legend>
      <c:legendPos val="t"/>
      <c:legendEntry>
        <c:idx val="0"/>
        <c:txPr>
          <a:bodyPr rot="0" spcFirstLastPara="0" vertOverflow="ellipsis" vert="horz" wrap="square" anchor="ctr" anchorCtr="true"/>
          <a:lstStyle/>
          <a:p>
            <a:pPr>
              <a:defRPr lang="zh-CN" sz="900" b="0" i="0" u="none" strike="noStrike" kern="1200" baseline="0">
                <a:solidFill>
                  <a:sysClr val="windowText" lastClr="000000"/>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Entry>
      <c:legendEntry>
        <c:idx val="1"/>
        <c:txPr>
          <a:bodyPr rot="0" spcFirstLastPara="0" vertOverflow="ellipsis" vert="horz" wrap="square" anchor="ctr" anchorCtr="true"/>
          <a:lstStyle/>
          <a:p>
            <a:pPr>
              <a:defRPr lang="zh-CN" sz="900" b="0" i="0" u="none" strike="noStrike" kern="1200" baseline="0">
                <a:solidFill>
                  <a:sysClr val="windowText" lastClr="000000"/>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Entry>
      <c:legendEntry>
        <c:idx val="2"/>
        <c:txPr>
          <a:bodyPr rot="0" spcFirstLastPara="0" vertOverflow="ellipsis" vert="horz" wrap="square" anchor="ctr" anchorCtr="true"/>
          <a:lstStyle/>
          <a:p>
            <a:pPr>
              <a:defRPr lang="zh-CN" sz="900" b="0" i="0" u="none" strike="noStrike" kern="1200" baseline="0">
                <a:solidFill>
                  <a:sysClr val="windowText" lastClr="000000"/>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Entry>
      <c:legendEntry>
        <c:idx val="3"/>
        <c:txPr>
          <a:bodyPr rot="0" spcFirstLastPara="0" vertOverflow="ellipsis" vert="horz" wrap="square" anchor="ctr" anchorCtr="true"/>
          <a:lstStyle/>
          <a:p>
            <a:pPr>
              <a:defRPr lang="zh-CN" sz="900" b="0" i="0" u="none" strike="noStrike" kern="1200" baseline="0">
                <a:solidFill>
                  <a:sysClr val="windowText" lastClr="000000"/>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Entry>
      <c:legendEntry>
        <c:idx val="4"/>
        <c:txPr>
          <a:bodyPr rot="0" spcFirstLastPara="0" vertOverflow="ellipsis" vert="horz" wrap="square" anchor="ctr" anchorCtr="true"/>
          <a:lstStyle/>
          <a:p>
            <a:pPr>
              <a:defRPr lang="zh-CN" sz="900" b="0" i="0" u="none" strike="noStrike" kern="1200" baseline="0">
                <a:solidFill>
                  <a:sysClr val="windowText" lastClr="000000"/>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Entry>
      <c:legendEntry>
        <c:idx val="5"/>
        <c:txPr>
          <a:bodyPr rot="0" spcFirstLastPara="0" vertOverflow="ellipsis" vert="horz" wrap="square" anchor="ctr" anchorCtr="true"/>
          <a:lstStyle/>
          <a:p>
            <a:pPr>
              <a:defRPr lang="zh-CN" sz="900" b="0" i="0" u="none" strike="noStrike" kern="1200" baseline="0">
                <a:solidFill>
                  <a:sysClr val="windowText" lastClr="000000"/>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Entry>
      <c:layout/>
      <c:overlay val="false"/>
      <c:spPr>
        <a:noFill/>
        <a:ln>
          <a:noFill/>
        </a:ln>
        <a:effectLst/>
      </c:spPr>
      <c:txPr>
        <a:bodyPr rot="0" spcFirstLastPara="0" vertOverflow="ellipsis" vert="horz" wrap="square" anchor="ctr" anchorCtr="true" forceAA="false"/>
        <a:lstStyle/>
        <a:p>
          <a:pPr>
            <a:defRPr lang="zh-CN" sz="900" b="0" i="0" u="none" strike="noStrike" kern="1200" baseline="0">
              <a:solidFill>
                <a:sysClr val="windowText" lastClr="000000"/>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legend>
    <c:plotVisOnly val="true"/>
    <c:dispBlanksAs val="gap"/>
    <c:showDLblsOverMax val="false"/>
  </c:chart>
  <c:spPr>
    <a:pattFill prst="lgGrid">
      <a:fgClr>
        <a:sysClr val="window" lastClr="FFFFFF"/>
      </a:fgClr>
      <a:bgClr>
        <a:sysClr val="window" lastClr="FFFFFF"/>
      </a:bgClr>
    </a:pattFill>
    <a:ln w="9525" cap="flat" cmpd="sng" algn="ctr">
      <a:solidFill>
        <a:sysClr val="windowText" lastClr="000000">
          <a:lumMod val="15000"/>
          <a:lumOff val="85000"/>
        </a:sysClr>
      </a:solidFill>
      <a:round/>
    </a:ln>
    <a:effectLst>
      <a:outerShdw blurRad="63500" dist="37357" dir="2700000" sx="0" sy="0" rotWithShape="0">
        <a:scrgbClr r="0" g="0" b="0"/>
      </a:outerShdw>
    </a:effectLst>
  </c:spPr>
  <c:txPr>
    <a:bodyPr/>
    <a:lstStyle/>
    <a:p>
      <a:pPr>
        <a:defRPr lang="zh-CN">
          <a:solidFill>
            <a:sysClr val="windowText" lastClr="000000"/>
          </a:solidFill>
          <a:latin typeface="汉仪旗黑-55简" panose="00020600040101010101" charset="-128"/>
          <a:ea typeface="汉仪旗黑-55简" panose="00020600040101010101" charset="-128"/>
          <a:cs typeface="汉仪旗黑-55简" panose="00020600040101010101" charset="-128"/>
          <a:sym typeface="汉仪旗黑-55简" panose="00020600040101010101" charset="-128"/>
        </a:defRPr>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9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ysClr val="windowText" lastClr="000000"/>
    </cs:fontRef>
    <cs:spPr>
      <a:ln w="19050">
        <a:solidFill>
          <a:sysClr val="window" lastClr="FFFFFF"/>
        </a:solidFill>
      </a:ln>
    </cs:spPr>
  </cs:dataPoint>
  <cs:dataPoint3D>
    <cs:lnRef idx="0"/>
    <cs:fillRef idx="1">
      <cs:styleClr val="auto"/>
    </cs:fillRef>
    <cs:effectRef idx="0"/>
    <cs:fontRef idx="minor">
      <a:sysClr val="windowText" lastClr="000000"/>
    </cs:fontRef>
    <cs:spPr>
      <a:ln w="25400">
        <a:solidFill>
          <a:sysClr val="window" lastClr="FFFFFF"/>
        </a:solidFill>
      </a:ln>
    </cs:spPr>
  </cs:dataPoint3D>
  <cs:dataPointLine>
    <cs:lnRef idx="0">
      <cs:styleClr val="auto"/>
    </cs:lnRef>
    <cs:fillRef idx="0"/>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3296</Words>
  <Characters>3450</Characters>
  <Lines>0</Lines>
  <Paragraphs>0</Paragraphs>
  <TotalTime>36</TotalTime>
  <ScaleCrop>false</ScaleCrop>
  <LinksUpToDate>false</LinksUpToDate>
  <CharactersWithSpaces>3469</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2020-02-13T19:04:00Z</dcterms:created>
  <dc:creator>刚罡</dc:creator>
  <cp:lastModifiedBy>user</cp:lastModifiedBy>
  <dcterms:modified xsi:type="dcterms:W3CDTF">2024-02-18T17:06:53Z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71A9CD1241C34BDC80BCDA3ECE8FC1A2</vt:lpwstr>
  </property>
</Properties>
</file>