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line="600" w:lineRule="exact"/>
        <w:ind w:left="0" w:firstLine="880" w:firstLineChars="200"/>
        <w:jc w:val="center"/>
        <w:textAlignment w:val="auto"/>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lang w:eastAsia="zh-CN"/>
        </w:rPr>
        <w:t>滕州市工业和信息化局2023年政府信息公开工作年度报告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line="600" w:lineRule="exact"/>
        <w:ind w:left="0" w:firstLine="640" w:firstLineChars="200"/>
        <w:jc w:val="left"/>
        <w:textAlignment w:val="auto"/>
        <w:rPr>
          <w:rFonts w:ascii="sans-serif" w:hAnsi="sans-serif" w:eastAsia="sans-serif" w:cs="sans-serif"/>
          <w:i w:val="0"/>
          <w:iCs w:val="0"/>
          <w:caps w:val="0"/>
          <w:color w:val="000000"/>
          <w:spacing w:val="0"/>
          <w:sz w:val="32"/>
          <w:szCs w:val="32"/>
        </w:rPr>
      </w:pPr>
      <w:r>
        <w:rPr>
          <w:rFonts w:ascii="仿宋_GB2312" w:hAnsi="sans-serif" w:eastAsia="仿宋_GB2312" w:cs="仿宋_GB2312"/>
          <w:i w:val="0"/>
          <w:iCs w:val="0"/>
          <w:caps w:val="0"/>
          <w:color w:val="000000"/>
          <w:spacing w:val="0"/>
          <w:sz w:val="32"/>
          <w:szCs w:val="32"/>
        </w:rPr>
        <w:t>根据《中华人民共和国政府信息公开条例》规定和省政府办公厅、枣庄市政府办公室、滕州市政府办公室通知要求，特编制滕州市工业和信息化局</w:t>
      </w:r>
      <w:r>
        <w:rPr>
          <w:rFonts w:hint="eastAsia" w:ascii="仿宋_GB2312" w:hAnsi="sans-serif" w:eastAsia="仿宋_GB2312" w:cs="仿宋_GB2312"/>
          <w:i w:val="0"/>
          <w:iCs w:val="0"/>
          <w:caps w:val="0"/>
          <w:color w:val="000000"/>
          <w:spacing w:val="0"/>
          <w:sz w:val="32"/>
          <w:szCs w:val="32"/>
        </w:rPr>
        <w:t>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年政府信息公开年度报告并向社会公布。本年度报告中所列数据的统计期限自202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年1月1日起至12月31日止。</w:t>
      </w:r>
    </w:p>
    <w:p>
      <w:pPr>
        <w:pStyle w:val="7"/>
        <w:keepNext w:val="0"/>
        <w:keepLines w:val="0"/>
        <w:pageBreakBefore w:val="0"/>
        <w:widowControl/>
        <w:suppressLineNumbers w:val="0"/>
        <w:kinsoku/>
        <w:wordWrap/>
        <w:overflowPunct/>
        <w:topLinePunct w:val="0"/>
        <w:autoSpaceDE/>
        <w:autoSpaceDN/>
        <w:bidi w:val="0"/>
        <w:adjustRightInd/>
        <w:snapToGrid/>
        <w:spacing w:beforeAutospacing="0" w:line="600" w:lineRule="exact"/>
        <w:ind w:left="0" w:firstLine="640" w:firstLineChars="200"/>
        <w:textAlignment w:val="auto"/>
        <w:outlineLvl w:val="0"/>
        <w:rPr>
          <w:rFonts w:hint="default" w:ascii="sans-serif" w:hAnsi="sans-serif" w:eastAsia="sans-serif" w:cs="sans-serif"/>
          <w:i w:val="0"/>
          <w:iCs w:val="0"/>
          <w:caps w:val="0"/>
          <w:color w:val="000000"/>
          <w:spacing w:val="0"/>
          <w:sz w:val="32"/>
          <w:szCs w:val="32"/>
        </w:rPr>
      </w:pPr>
      <w:r>
        <w:rPr>
          <w:rFonts w:ascii="黑体" w:hAnsi="宋体" w:eastAsia="黑体" w:cs="黑体"/>
          <w:i w:val="0"/>
          <w:iCs w:val="0"/>
          <w:caps w:val="0"/>
          <w:color w:val="000000"/>
          <w:spacing w:val="0"/>
          <w:sz w:val="32"/>
          <w:szCs w:val="32"/>
        </w:rPr>
        <w:t>一、总体情况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line="600" w:lineRule="exac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滕州市工业和信息化局严格按照《条例》要求，在市委、市政府的正确领导下，多措并举，全面深入推进政府信息公开，不断完善公开制度、深化公开内容、丰富公开形式，提高了政府工作透明度，为构建运行透明、高效廉洁的政府提供了有力保障。截至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年12月31日，市工信局政府信息公开工作运行正常，相关工作持续稳步开展。</w:t>
      </w:r>
    </w:p>
    <w:p>
      <w:pPr>
        <w:pStyle w:val="7"/>
        <w:keepNext w:val="0"/>
        <w:keepLines w:val="0"/>
        <w:pageBreakBefore w:val="0"/>
        <w:widowControl/>
        <w:suppressLineNumbers w:val="0"/>
        <w:kinsoku/>
        <w:wordWrap/>
        <w:overflowPunct/>
        <w:topLinePunct w:val="0"/>
        <w:autoSpaceDE/>
        <w:autoSpaceDN/>
        <w:bidi w:val="0"/>
        <w:adjustRightInd/>
        <w:snapToGrid/>
        <w:spacing w:beforeAutospacing="0" w:line="600" w:lineRule="exact"/>
        <w:ind w:left="0" w:firstLine="640" w:firstLineChars="200"/>
        <w:textAlignment w:val="auto"/>
        <w:outlineLvl w:val="1"/>
        <w:rPr>
          <w:rFonts w:hint="default" w:ascii="楷体_GB2312" w:hAnsi="sans-serif" w:eastAsia="楷体_GB2312" w:cs="楷体_GB2312"/>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（一）主动公开方面</w:t>
      </w:r>
    </w:p>
    <w:p>
      <w:pPr>
        <w:pStyle w:val="7"/>
        <w:keepNext w:val="0"/>
        <w:keepLines w:val="0"/>
        <w:pageBreakBefore w:val="0"/>
        <w:widowControl/>
        <w:suppressLineNumbers w:val="0"/>
        <w:kinsoku/>
        <w:wordWrap/>
        <w:overflowPunct/>
        <w:topLinePunct w:val="0"/>
        <w:autoSpaceDE/>
        <w:autoSpaceDN/>
        <w:bidi w:val="0"/>
        <w:adjustRightInd/>
        <w:snapToGrid/>
        <w:spacing w:beforeAutospacing="0" w:line="600" w:lineRule="exact"/>
        <w:ind w:left="0" w:firstLine="640" w:firstLineChars="200"/>
        <w:textAlignment w:val="auto"/>
        <w:rPr>
          <w:rFonts w:hint="default" w:ascii="sans-serif" w:hAnsi="sans-serif" w:eastAsia="sans-serif" w:cs="sans-serif"/>
          <w:i w:val="0"/>
          <w:iCs w:val="0"/>
          <w:caps w:val="0"/>
          <w:color w:val="000000"/>
          <w:spacing w:val="0"/>
          <w:sz w:val="32"/>
          <w:szCs w:val="32"/>
          <w:highlight w:val="yellow"/>
        </w:rPr>
      </w:pPr>
      <w:r>
        <w:rPr>
          <w:rFonts w:hint="eastAsia" w:ascii="仿宋_GB2312" w:hAnsi="sans-serif" w:eastAsia="仿宋_GB2312" w:cs="仿宋_GB2312"/>
          <w:i w:val="0"/>
          <w:iCs w:val="0"/>
          <w:caps w:val="0"/>
          <w:color w:val="000000"/>
          <w:spacing w:val="0"/>
          <w:sz w:val="32"/>
          <w:szCs w:val="32"/>
        </w:rPr>
        <w:t>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年，本部门坚持依法公开、客观公正、内外有别、注重实效、方便监督原则，积极主动地开展政府信息公开工作。</w:t>
      </w:r>
      <w:r>
        <w:rPr>
          <w:rFonts w:hint="eastAsia" w:ascii="仿宋_GB2312" w:hAnsi="sans-serif" w:eastAsia="仿宋_GB2312" w:cs="仿宋_GB2312"/>
          <w:i w:val="0"/>
          <w:iCs w:val="0"/>
          <w:caps w:val="0"/>
          <w:color w:val="000000"/>
          <w:spacing w:val="0"/>
          <w:sz w:val="32"/>
          <w:szCs w:val="32"/>
          <w:highlight w:val="none"/>
        </w:rPr>
        <w:t>全年共主动公开政府信息</w:t>
      </w:r>
      <w:r>
        <w:rPr>
          <w:rFonts w:hint="eastAsia" w:hAnsi="sans-serif" w:cs="仿宋_GB2312"/>
          <w:i w:val="0"/>
          <w:iCs w:val="0"/>
          <w:caps w:val="0"/>
          <w:color w:val="000000"/>
          <w:spacing w:val="0"/>
          <w:sz w:val="32"/>
          <w:szCs w:val="32"/>
          <w:highlight w:val="none"/>
          <w:lang w:val="en-US" w:eastAsia="zh-CN"/>
        </w:rPr>
        <w:t>410</w:t>
      </w:r>
      <w:r>
        <w:rPr>
          <w:rFonts w:hint="eastAsia" w:ascii="仿宋_GB2312" w:hAnsi="sans-serif" w:eastAsia="仿宋_GB2312" w:cs="仿宋_GB2312"/>
          <w:i w:val="0"/>
          <w:iCs w:val="0"/>
          <w:caps w:val="0"/>
          <w:color w:val="000000"/>
          <w:spacing w:val="0"/>
          <w:sz w:val="32"/>
          <w:szCs w:val="32"/>
          <w:highlight w:val="none"/>
        </w:rPr>
        <w:t>条。其中，通过局官方网站公开信息</w:t>
      </w:r>
      <w:r>
        <w:rPr>
          <w:rFonts w:hint="eastAsia" w:hAnsi="sans-serif" w:cs="仿宋_GB2312"/>
          <w:i w:val="0"/>
          <w:iCs w:val="0"/>
          <w:caps w:val="0"/>
          <w:color w:val="000000"/>
          <w:spacing w:val="0"/>
          <w:sz w:val="32"/>
          <w:szCs w:val="32"/>
          <w:highlight w:val="none"/>
          <w:lang w:val="en-US" w:eastAsia="zh-CN"/>
        </w:rPr>
        <w:t>204</w:t>
      </w:r>
      <w:r>
        <w:rPr>
          <w:rFonts w:hint="eastAsia" w:ascii="仿宋_GB2312" w:hAnsi="sans-serif" w:eastAsia="仿宋_GB2312" w:cs="仿宋_GB2312"/>
          <w:i w:val="0"/>
          <w:iCs w:val="0"/>
          <w:caps w:val="0"/>
          <w:color w:val="000000"/>
          <w:spacing w:val="0"/>
          <w:sz w:val="32"/>
          <w:szCs w:val="32"/>
          <w:highlight w:val="none"/>
        </w:rPr>
        <w:t>条，通过信息公开网站公开信息</w:t>
      </w:r>
      <w:r>
        <w:rPr>
          <w:rFonts w:hint="eastAsia" w:hAnsi="sans-serif" w:cs="仿宋_GB2312"/>
          <w:i w:val="0"/>
          <w:iCs w:val="0"/>
          <w:caps w:val="0"/>
          <w:color w:val="000000"/>
          <w:spacing w:val="0"/>
          <w:sz w:val="32"/>
          <w:szCs w:val="32"/>
          <w:highlight w:val="none"/>
          <w:lang w:val="en-US" w:eastAsia="zh-CN"/>
        </w:rPr>
        <w:t>79</w:t>
      </w:r>
      <w:r>
        <w:rPr>
          <w:rFonts w:hint="eastAsia" w:ascii="仿宋_GB2312" w:hAnsi="sans-serif" w:eastAsia="仿宋_GB2312" w:cs="仿宋_GB2312"/>
          <w:i w:val="0"/>
          <w:iCs w:val="0"/>
          <w:caps w:val="0"/>
          <w:color w:val="000000"/>
          <w:spacing w:val="0"/>
          <w:sz w:val="32"/>
          <w:szCs w:val="32"/>
          <w:highlight w:val="none"/>
        </w:rPr>
        <w:t>条，通过局微信公众号公开信息</w:t>
      </w:r>
      <w:r>
        <w:rPr>
          <w:rFonts w:hint="eastAsia" w:hAnsi="sans-serif" w:cs="仿宋_GB2312"/>
          <w:i w:val="0"/>
          <w:iCs w:val="0"/>
          <w:caps w:val="0"/>
          <w:color w:val="000000"/>
          <w:spacing w:val="0"/>
          <w:sz w:val="32"/>
          <w:szCs w:val="32"/>
          <w:highlight w:val="none"/>
          <w:lang w:val="en-US" w:eastAsia="zh-CN"/>
        </w:rPr>
        <w:t>127</w:t>
      </w:r>
      <w:r>
        <w:rPr>
          <w:rFonts w:hint="eastAsia" w:ascii="仿宋_GB2312" w:hAnsi="sans-serif" w:eastAsia="仿宋_GB2312" w:cs="仿宋_GB2312"/>
          <w:i w:val="0"/>
          <w:iCs w:val="0"/>
          <w:caps w:val="0"/>
          <w:color w:val="000000"/>
          <w:spacing w:val="0"/>
          <w:sz w:val="32"/>
          <w:szCs w:val="32"/>
          <w:highlight w:val="none"/>
        </w:rPr>
        <w:t>条。</w:t>
      </w:r>
    </w:p>
    <w:p>
      <w:pPr>
        <w:pStyle w:val="7"/>
        <w:keepNext w:val="0"/>
        <w:keepLines w:val="0"/>
        <w:widowControl/>
        <w:suppressLineNumbers w:val="0"/>
        <w:spacing w:line="315" w:lineRule="atLeast"/>
        <w:ind w:left="0" w:firstLine="0"/>
        <w:jc w:val="center"/>
        <w:rPr>
          <w:rFonts w:hint="eastAsia" w:ascii="sans-serif" w:hAnsi="sans-serif" w:eastAsia="宋体" w:cs="sans-serif"/>
          <w:i w:val="0"/>
          <w:iCs w:val="0"/>
          <w:caps w:val="0"/>
          <w:color w:val="000000"/>
          <w:spacing w:val="0"/>
          <w:sz w:val="27"/>
          <w:szCs w:val="27"/>
          <w:lang w:eastAsia="zh-CN"/>
        </w:rPr>
      </w:pPr>
      <w:r>
        <w:drawing>
          <wp:inline distT="0" distB="0" distL="114300" distR="114300">
            <wp:extent cx="5047615" cy="2909570"/>
            <wp:effectExtent l="4445" t="4445" r="15240" b="196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7"/>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24"/>
          <w:szCs w:val="24"/>
        </w:rPr>
        <w:t>202</w:t>
      </w:r>
      <w:r>
        <w:rPr>
          <w:rFonts w:hint="eastAsia" w:ascii="黑体" w:hAnsi="宋体" w:eastAsia="黑体" w:cs="黑体"/>
          <w:i w:val="0"/>
          <w:iCs w:val="0"/>
          <w:caps w:val="0"/>
          <w:color w:val="000000"/>
          <w:spacing w:val="0"/>
          <w:sz w:val="24"/>
          <w:szCs w:val="24"/>
          <w:lang w:val="en-US" w:eastAsia="zh-CN"/>
        </w:rPr>
        <w:t>3</w:t>
      </w:r>
      <w:r>
        <w:rPr>
          <w:rFonts w:hint="eastAsia" w:ascii="黑体" w:hAnsi="宋体" w:eastAsia="黑体" w:cs="黑体"/>
          <w:i w:val="0"/>
          <w:iCs w:val="0"/>
          <w:caps w:val="0"/>
          <w:color w:val="000000"/>
          <w:spacing w:val="0"/>
          <w:sz w:val="24"/>
          <w:szCs w:val="24"/>
        </w:rPr>
        <w:t>年滕州市工业和信息化局主动公开政府信息情况分布图（局官方网站）</w:t>
      </w:r>
    </w:p>
    <w:p>
      <w:pPr>
        <w:pStyle w:val="7"/>
        <w:keepNext w:val="0"/>
        <w:keepLines w:val="0"/>
        <w:widowControl/>
        <w:suppressLineNumbers w:val="0"/>
        <w:spacing w:line="315" w:lineRule="atLeast"/>
        <w:ind w:left="0" w:firstLine="0"/>
        <w:jc w:val="center"/>
        <w:rPr>
          <w:rFonts w:hint="eastAsia" w:ascii="sans-serif" w:hAnsi="sans-serif" w:eastAsia="宋体" w:cs="sans-serif"/>
          <w:i w:val="0"/>
          <w:iCs w:val="0"/>
          <w:caps w:val="0"/>
          <w:color w:val="000000"/>
          <w:spacing w:val="0"/>
          <w:sz w:val="27"/>
          <w:szCs w:val="27"/>
          <w:lang w:eastAsia="zh-CN"/>
        </w:rPr>
      </w:pPr>
      <w:r>
        <w:rPr>
          <w:rFonts w:hint="eastAsia" w:ascii="sans-serif" w:hAnsi="sans-serif" w:eastAsia="宋体" w:cs="sans-serif"/>
          <w:i w:val="0"/>
          <w:iCs w:val="0"/>
          <w:caps w:val="0"/>
          <w:color w:val="000000"/>
          <w:spacing w:val="0"/>
          <w:sz w:val="27"/>
          <w:szCs w:val="27"/>
          <w:lang w:eastAsia="zh-CN"/>
        </w:rPr>
        <w:drawing>
          <wp:inline distT="0" distB="0" distL="114300" distR="114300">
            <wp:extent cx="5066030" cy="4529455"/>
            <wp:effectExtent l="0" t="0" r="1270" b="4445"/>
            <wp:docPr id="7" name="图片 7" descr="公众号部分发表记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众号部分发表记录"/>
                    <pic:cNvPicPr>
                      <a:picLocks noChangeAspect="1"/>
                    </pic:cNvPicPr>
                  </pic:nvPicPr>
                  <pic:blipFill>
                    <a:blip r:embed="rId6"/>
                    <a:stretch>
                      <a:fillRect/>
                    </a:stretch>
                  </pic:blipFill>
                  <pic:spPr>
                    <a:xfrm>
                      <a:off x="0" y="0"/>
                      <a:ext cx="5066030" cy="4529455"/>
                    </a:xfrm>
                    <a:prstGeom prst="rect">
                      <a:avLst/>
                    </a:prstGeom>
                  </pic:spPr>
                </pic:pic>
              </a:graphicData>
            </a:graphic>
          </wp:inline>
        </w:drawing>
      </w:r>
    </w:p>
    <w:p>
      <w:pPr>
        <w:pStyle w:val="7"/>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24"/>
          <w:szCs w:val="24"/>
        </w:rPr>
        <w:t>202</w:t>
      </w:r>
      <w:r>
        <w:rPr>
          <w:rFonts w:hint="eastAsia" w:ascii="黑体" w:hAnsi="宋体" w:eastAsia="黑体" w:cs="黑体"/>
          <w:i w:val="0"/>
          <w:iCs w:val="0"/>
          <w:caps w:val="0"/>
          <w:color w:val="000000"/>
          <w:spacing w:val="0"/>
          <w:sz w:val="24"/>
          <w:szCs w:val="24"/>
          <w:lang w:val="en-US" w:eastAsia="zh-CN"/>
        </w:rPr>
        <w:t>3</w:t>
      </w:r>
      <w:r>
        <w:rPr>
          <w:rFonts w:hint="eastAsia" w:ascii="黑体" w:hAnsi="宋体" w:eastAsia="黑体" w:cs="黑体"/>
          <w:i w:val="0"/>
          <w:iCs w:val="0"/>
          <w:caps w:val="0"/>
          <w:color w:val="000000"/>
          <w:spacing w:val="0"/>
          <w:sz w:val="24"/>
          <w:szCs w:val="24"/>
        </w:rPr>
        <w:t>年“滕州工信”官方公众号发布的信息情况（部分）</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outlineLvl w:val="1"/>
        <w:rPr>
          <w:rFonts w:hint="default" w:ascii="楷体_GB2312" w:hAnsi="sans-serif" w:eastAsia="楷体_GB2312" w:cs="楷体_GB2312"/>
          <w:i w:val="0"/>
          <w:iCs w:val="0"/>
          <w:caps w:val="0"/>
          <w:color w:val="000000"/>
          <w:spacing w:val="0"/>
          <w:sz w:val="32"/>
          <w:szCs w:val="32"/>
          <w:highlight w:val="none"/>
        </w:rPr>
      </w:pPr>
      <w:r>
        <w:rPr>
          <w:rFonts w:hint="eastAsia" w:ascii="楷体_GB2312" w:hAnsi="sans-serif" w:eastAsia="楷体_GB2312" w:cs="楷体_GB2312"/>
          <w:i w:val="0"/>
          <w:iCs w:val="0"/>
          <w:caps w:val="0"/>
          <w:color w:val="000000"/>
          <w:spacing w:val="0"/>
          <w:sz w:val="32"/>
          <w:szCs w:val="32"/>
          <w:highlight w:val="none"/>
        </w:rPr>
        <w:t>（二）依申请公开方面</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eastAsia" w:ascii="sans-serif" w:hAnsi="sans-serif" w:eastAsia="仿宋_GB2312" w:cs="sans-serif"/>
          <w:i w:val="0"/>
          <w:iCs w:val="0"/>
          <w:caps w:val="0"/>
          <w:color w:val="000000"/>
          <w:spacing w:val="0"/>
          <w:sz w:val="32"/>
          <w:szCs w:val="32"/>
          <w:highlight w:val="none"/>
          <w:lang w:eastAsia="zh-CN"/>
        </w:rPr>
      </w:pPr>
      <w:r>
        <w:rPr>
          <w:rFonts w:hint="eastAsia" w:ascii="仿宋_GB2312" w:hAnsi="sans-serif" w:eastAsia="仿宋_GB2312" w:cs="仿宋_GB2312"/>
          <w:i w:val="0"/>
          <w:iCs w:val="0"/>
          <w:caps w:val="0"/>
          <w:color w:val="000000"/>
          <w:spacing w:val="0"/>
          <w:sz w:val="32"/>
          <w:szCs w:val="32"/>
        </w:rPr>
        <w:t>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w:t>
      </w:r>
      <w:r>
        <w:rPr>
          <w:rFonts w:hint="eastAsia" w:ascii="仿宋_GB2312" w:hAnsi="sans-serif" w:eastAsia="仿宋_GB2312" w:cs="仿宋_GB2312"/>
          <w:i w:val="0"/>
          <w:iCs w:val="0"/>
          <w:caps w:val="0"/>
          <w:color w:val="000000"/>
          <w:spacing w:val="0"/>
          <w:sz w:val="32"/>
          <w:szCs w:val="32"/>
          <w:highlight w:val="none"/>
        </w:rPr>
        <w:t>我局未受理政府信息公开依申请事项。全年未发生针对本部门有关政府信息公开事务的行政复议案及行政诉讼案。公开依申请事项与往年相比数量</w:t>
      </w:r>
      <w:r>
        <w:rPr>
          <w:rFonts w:hint="eastAsia" w:hAnsi="sans-serif" w:cs="仿宋_GB2312"/>
          <w:i w:val="0"/>
          <w:iCs w:val="0"/>
          <w:caps w:val="0"/>
          <w:color w:val="000000"/>
          <w:spacing w:val="0"/>
          <w:sz w:val="32"/>
          <w:szCs w:val="32"/>
          <w:highlight w:val="none"/>
          <w:lang w:eastAsia="zh-CN"/>
        </w:rPr>
        <w:t>无</w:t>
      </w:r>
      <w:r>
        <w:rPr>
          <w:rFonts w:hint="eastAsia" w:ascii="仿宋_GB2312" w:hAnsi="sans-serif" w:eastAsia="仿宋_GB2312" w:cs="仿宋_GB2312"/>
          <w:i w:val="0"/>
          <w:iCs w:val="0"/>
          <w:caps w:val="0"/>
          <w:color w:val="000000"/>
          <w:spacing w:val="0"/>
          <w:sz w:val="32"/>
          <w:szCs w:val="32"/>
          <w:highlight w:val="none"/>
        </w:rPr>
        <w:t>变化</w:t>
      </w:r>
      <w:r>
        <w:rPr>
          <w:rFonts w:hint="eastAsia" w:hAnsi="sans-serif" w:cs="仿宋_GB2312"/>
          <w:i w:val="0"/>
          <w:iCs w:val="0"/>
          <w:caps w:val="0"/>
          <w:color w:val="000000"/>
          <w:spacing w:val="0"/>
          <w:sz w:val="32"/>
          <w:szCs w:val="32"/>
          <w:highlight w:val="none"/>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outlineLvl w:val="1"/>
        <w:rPr>
          <w:rFonts w:hint="default" w:ascii="楷体_GB2312" w:hAnsi="sans-serif" w:eastAsia="楷体_GB2312" w:cs="楷体_GB2312"/>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（三）政府信息管理方面</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为提高部门信息公开规范化水平，市工信局不断完善细化政府信息公开的工作及服务制度，编制了《滕州市工业和信息化局信息公开指南》、《政府信息依申请公开办理流程图》，实现用制度规范行为、按制度办事、靠制度管人。严格执行“谁公开、谁审查、谁负责”、“先审查、后公开”、“一事一审”等保密审查规定，对拟公开的政府信息，由承办</w:t>
      </w:r>
      <w:r>
        <w:rPr>
          <w:rFonts w:hint="eastAsia" w:hAnsi="sans-serif" w:cs="仿宋_GB2312"/>
          <w:i w:val="0"/>
          <w:iCs w:val="0"/>
          <w:caps w:val="0"/>
          <w:color w:val="000000"/>
          <w:spacing w:val="0"/>
          <w:sz w:val="32"/>
          <w:szCs w:val="32"/>
          <w:lang w:eastAsia="zh-CN"/>
        </w:rPr>
        <w:t>科室</w:t>
      </w:r>
      <w:r>
        <w:rPr>
          <w:rFonts w:hint="eastAsia" w:ascii="仿宋_GB2312" w:hAnsi="sans-serif" w:eastAsia="仿宋_GB2312" w:cs="仿宋_GB2312"/>
          <w:i w:val="0"/>
          <w:iCs w:val="0"/>
          <w:caps w:val="0"/>
          <w:color w:val="000000"/>
          <w:spacing w:val="0"/>
          <w:sz w:val="32"/>
          <w:szCs w:val="32"/>
        </w:rPr>
        <w:t>提出具体意见，经信息公开操作人员审查后，报信息公开负责领导审批，从源头上落实了保密审查，确保了涉密信息不公开，使政府信息公开工作进一步朝规范化、制度化方向发展，逐步形成长效管理机制。</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outlineLvl w:val="1"/>
        <w:rPr>
          <w:rFonts w:hint="default" w:ascii="楷体_GB2312" w:hAnsi="sans-serif" w:eastAsia="楷体_GB2312" w:cs="楷体_GB2312"/>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（四）平台建设方面</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坚持因地制宜、科学高效、方便易行的原则，不断创新公开方式，丰富公开载体，着力打造内容齐全、功能完善、运行稳定的政府信息公开平台。按照《条例》要求，指定专人负责及时更新相关内容，不断完善滕州市政府信息公开网、局门户网站公开内容。运行了“滕州工信”微信公众号</w:t>
      </w:r>
      <w:r>
        <w:rPr>
          <w:rFonts w:hint="eastAsia" w:ascii="仿宋_GB2312" w:hAnsi="sans-serif" w:eastAsia="仿宋_GB2312" w:cs="仿宋_GB2312"/>
          <w:i w:val="0"/>
          <w:iCs w:val="0"/>
          <w:caps w:val="0"/>
          <w:color w:val="000000"/>
          <w:spacing w:val="0"/>
          <w:sz w:val="32"/>
          <w:szCs w:val="32"/>
          <w:highlight w:val="none"/>
        </w:rPr>
        <w:t>，拥有粉丝</w:t>
      </w:r>
      <w:r>
        <w:rPr>
          <w:rFonts w:hint="eastAsia" w:hAnsi="sans-serif" w:cs="仿宋_GB2312"/>
          <w:i w:val="0"/>
          <w:iCs w:val="0"/>
          <w:caps w:val="0"/>
          <w:color w:val="000000"/>
          <w:spacing w:val="0"/>
          <w:sz w:val="32"/>
          <w:szCs w:val="32"/>
          <w:highlight w:val="none"/>
          <w:lang w:val="en-US" w:eastAsia="zh-CN"/>
        </w:rPr>
        <w:t>1073</w:t>
      </w:r>
      <w:r>
        <w:rPr>
          <w:rFonts w:hint="eastAsia" w:ascii="仿宋_GB2312" w:hAnsi="sans-serif" w:eastAsia="仿宋_GB2312" w:cs="仿宋_GB2312"/>
          <w:i w:val="0"/>
          <w:iCs w:val="0"/>
          <w:caps w:val="0"/>
          <w:color w:val="000000"/>
          <w:spacing w:val="0"/>
          <w:sz w:val="32"/>
          <w:szCs w:val="32"/>
          <w:highlight w:val="none"/>
        </w:rPr>
        <w:t>名，明确专人负责维护，帮助群众及企业了解滕州工业和</w:t>
      </w:r>
      <w:r>
        <w:rPr>
          <w:rFonts w:hint="eastAsia" w:ascii="仿宋_GB2312" w:hAnsi="sans-serif" w:eastAsia="仿宋_GB2312" w:cs="仿宋_GB2312"/>
          <w:i w:val="0"/>
          <w:iCs w:val="0"/>
          <w:caps w:val="0"/>
          <w:color w:val="000000"/>
          <w:spacing w:val="0"/>
          <w:sz w:val="32"/>
          <w:szCs w:val="32"/>
        </w:rPr>
        <w:t>信息化发展最新动态，解读和宣传各级扶企惠企政策，聚力打造服务企业新高地和信息共享大平台，助力滕州现代化强市建设。</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outlineLvl w:val="1"/>
        <w:rPr>
          <w:rFonts w:hint="default" w:ascii="楷体_GB2312" w:hAnsi="sans-serif" w:eastAsia="楷体_GB2312" w:cs="楷体_GB2312"/>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（五）监督保障方面</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建立健全了局长为组长、分管副局长为副组长、各科室主要负责人为成员的政务信息公开工作领导小组，形成了主要领导亲自抓，分管领导具体抓，各科室各负其责的工作机制。政务信息公开领导小组办公室实行统一归口管理，承担政务公开和政府信息公开日常工作，确保政务公开工作有序开展。</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outlineLvl w:val="1"/>
        <w:rPr>
          <w:rFonts w:hint="default" w:ascii="楷体_GB2312" w:hAnsi="sans-serif" w:eastAsia="楷体_GB2312" w:cs="楷体_GB2312"/>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（六）其他</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部门政务信息公开已纳入滕州市部门绩效考核；未进行社会评议，未发生责任追究情况。</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outlineLvl w:val="0"/>
        <w:rPr>
          <w:rFonts w:hint="default" w:ascii="黑体" w:hAnsi="宋体" w:eastAsia="黑体" w:cs="黑体"/>
          <w:i w:val="0"/>
          <w:iCs w:val="0"/>
          <w:caps w:val="0"/>
          <w:color w:val="000000"/>
          <w:spacing w:val="0"/>
          <w:sz w:val="32"/>
          <w:szCs w:val="32"/>
          <w:highlight w:val="none"/>
        </w:rPr>
      </w:pPr>
      <w:r>
        <w:rPr>
          <w:rFonts w:hint="eastAsia" w:ascii="黑体" w:hAnsi="宋体" w:eastAsia="黑体" w:cs="黑体"/>
          <w:i w:val="0"/>
          <w:iCs w:val="0"/>
          <w:caps w:val="0"/>
          <w:color w:val="000000"/>
          <w:spacing w:val="0"/>
          <w:sz w:val="32"/>
          <w:szCs w:val="32"/>
          <w:highlight w:val="none"/>
        </w:rPr>
        <w:t>二、主动公开政府信息情况</w:t>
      </w:r>
    </w:p>
    <w:tbl>
      <w:tblPr>
        <w:tblStyle w:val="8"/>
        <w:tblW w:w="88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6"/>
        <w:gridCol w:w="2206"/>
        <w:gridCol w:w="2206"/>
        <w:gridCol w:w="2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 w:val="21"/>
                <w:szCs w:val="21"/>
              </w:rPr>
            </w:pPr>
            <w:r>
              <w:rPr>
                <w:rFonts w:hint="eastAsia" w:ascii="黑体" w:hAnsi="宋体" w:eastAsia="黑体" w:cs="黑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hAnsi="宋体" w:cs="仿宋_GB2312"/>
                <w:color w:val="000000" w:themeColor="text1"/>
                <w:kern w:val="0"/>
                <w:sz w:val="21"/>
                <w:szCs w:val="21"/>
                <w:lang w:val="en-US" w:eastAsia="zh-CN" w:bidi="ar"/>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hAnsi="宋体" w:cs="仿宋_GB2312"/>
                <w:color w:val="000000" w:themeColor="text1"/>
                <w:kern w:val="0"/>
                <w:sz w:val="21"/>
                <w:szCs w:val="21"/>
                <w:lang w:val="en-US" w:eastAsia="zh-CN" w:bidi="ar"/>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Calibri" w:eastAsia="仿宋_GB2312" w:cs="Calibri"/>
                <w:color w:val="000000" w:themeColor="text1"/>
                <w:kern w:val="0"/>
                <w:sz w:val="21"/>
                <w:szCs w:val="21"/>
                <w14:textFill>
                  <w14:solidFill>
                    <w14:schemeClr w14:val="tx1"/>
                  </w14:solidFill>
                </w14:textFill>
              </w:rPr>
            </w:pPr>
            <w:r>
              <w:rPr>
                <w:rFonts w:hint="eastAsia" w:hAnsi="宋体" w:cs="仿宋_GB2312"/>
                <w:color w:val="000000" w:themeColor="text1"/>
                <w:kern w:val="0"/>
                <w:sz w:val="21"/>
                <w:szCs w:val="21"/>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hAnsi="宋体" w:cs="仿宋_GB2312"/>
                <w:color w:val="000000" w:themeColor="text1"/>
                <w:kern w:val="0"/>
                <w:sz w:val="21"/>
                <w:szCs w:val="21"/>
                <w:lang w:val="en-US" w:eastAsia="zh-CN" w:bidi="ar"/>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hAnsi="宋体" w:cs="仿宋_GB2312"/>
                <w:color w:val="000000" w:themeColor="text1"/>
                <w:kern w:val="0"/>
                <w:sz w:val="21"/>
                <w:szCs w:val="21"/>
                <w:lang w:val="en-US" w:eastAsia="zh-CN" w:bidi="ar"/>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hAnsi="宋体" w:cs="仿宋_GB2312"/>
                <w:color w:val="000000" w:themeColor="text1"/>
                <w:kern w:val="0"/>
                <w:sz w:val="21"/>
                <w:szCs w:val="21"/>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themeColor="text1"/>
                <w:kern w:val="0"/>
                <w:sz w:val="21"/>
                <w:szCs w:val="21"/>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仿宋_GB2312"/>
                <w:color w:val="000000" w:themeColor="text1"/>
                <w:kern w:val="0"/>
                <w:sz w:val="21"/>
                <w:szCs w:val="21"/>
                <w:lang w:val="en-US" w:eastAsia="zh-CN" w:bidi="ar"/>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Calibri" w:eastAsia="仿宋_GB2312" w:cs="Calibri"/>
                <w:color w:val="000000" w:themeColor="text1"/>
                <w:kern w:val="0"/>
                <w:sz w:val="21"/>
                <w:szCs w:val="21"/>
                <w14:textFill>
                  <w14:solidFill>
                    <w14:schemeClr w14:val="tx1"/>
                  </w14:solidFill>
                </w14:textFill>
              </w:rPr>
            </w:pPr>
            <w:r>
              <w:rPr>
                <w:rFonts w:hint="eastAsia" w:hAnsi="Calibri" w:cs="仿宋_GB2312"/>
                <w:color w:val="000000" w:themeColor="text1"/>
                <w:kern w:val="0"/>
                <w:sz w:val="21"/>
                <w:szCs w:val="21"/>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themeColor="text1"/>
                <w:kern w:val="0"/>
                <w:sz w:val="21"/>
                <w:szCs w:val="21"/>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仿宋_GB2312"/>
                <w:color w:val="000000" w:themeColor="text1"/>
                <w:kern w:val="0"/>
                <w:sz w:val="21"/>
                <w:szCs w:val="21"/>
                <w:lang w:val="en-US" w:eastAsia="zh-CN" w:bidi="ar"/>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Calibri" w:eastAsia="仿宋_GB2312" w:cs="Calibri"/>
                <w:color w:val="000000" w:themeColor="text1"/>
                <w:kern w:val="0"/>
                <w:sz w:val="21"/>
                <w:szCs w:val="21"/>
                <w14:textFill>
                  <w14:solidFill>
                    <w14:schemeClr w14:val="tx1"/>
                  </w14:solidFill>
                </w14:textFill>
              </w:rPr>
            </w:pPr>
            <w:r>
              <w:rPr>
                <w:rFonts w:hint="eastAsia" w:hAnsi="Calibri" w:cs="仿宋_GB2312"/>
                <w:color w:val="000000" w:themeColor="text1"/>
                <w:kern w:val="0"/>
                <w:sz w:val="21"/>
                <w:szCs w:val="21"/>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Calibri" w:eastAsia="仿宋_GB2312" w:cs="Calibri"/>
                <w:color w:val="000000" w:themeColor="text1"/>
                <w:kern w:val="0"/>
                <w:sz w:val="21"/>
                <w:szCs w:val="21"/>
                <w14:textFill>
                  <w14:solidFill>
                    <w14:schemeClr w14:val="tx1"/>
                  </w14:solidFill>
                </w14:textFill>
              </w:rPr>
            </w:pPr>
            <w:r>
              <w:rPr>
                <w:rFonts w:hint="eastAsia" w:hAnsi="Calibri" w:cs="仿宋_GB2312"/>
                <w:color w:val="000000" w:themeColor="text1"/>
                <w:kern w:val="0"/>
                <w:sz w:val="21"/>
                <w:szCs w:val="21"/>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themeColor="text1"/>
                <w:kern w:val="0"/>
                <w:sz w:val="21"/>
                <w:szCs w:val="21"/>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仿宋_GB2312"/>
                <w:color w:val="000000" w:themeColor="text1"/>
                <w:kern w:val="0"/>
                <w:sz w:val="21"/>
                <w:szCs w:val="21"/>
                <w:lang w:val="en-US" w:eastAsia="zh-CN" w:bidi="ar"/>
                <w14:textFill>
                  <w14:solidFill>
                    <w14:schemeClr w14:val="tx1"/>
                  </w14:solidFill>
                </w14:textFill>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000000"/>
                <w:kern w:val="0"/>
                <w:sz w:val="21"/>
                <w:szCs w:val="21"/>
              </w:rPr>
            </w:pPr>
            <w:r>
              <w:rPr>
                <w:rFonts w:hint="eastAsia" w:ascii="仿宋_GB2312" w:hAnsi="宋体" w:eastAsia="仿宋_GB2312" w:cs="仿宋_GB2312"/>
                <w:color w:val="000000"/>
                <w:kern w:val="0"/>
                <w:sz w:val="21"/>
                <w:szCs w:val="21"/>
                <w:lang w:val="en-US" w:eastAsia="zh-CN" w:bidi="ar"/>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_GB2312" w:hAnsi="Calibri" w:eastAsia="仿宋_GB2312" w:cs="Calibri"/>
                <w:color w:val="000000" w:themeColor="text1"/>
                <w:kern w:val="0"/>
                <w:sz w:val="21"/>
                <w:szCs w:val="21"/>
                <w14:textFill>
                  <w14:solidFill>
                    <w14:schemeClr w14:val="tx1"/>
                  </w14:solidFill>
                </w14:textFill>
              </w:rPr>
            </w:pPr>
            <w:r>
              <w:rPr>
                <w:rFonts w:hint="eastAsia" w:hAnsi="Calibri" w:cs="仿宋_GB2312"/>
                <w:color w:val="000000" w:themeColor="text1"/>
                <w:kern w:val="0"/>
                <w:sz w:val="21"/>
                <w:szCs w:val="21"/>
                <w:lang w:val="en-US" w:eastAsia="zh-CN" w:bidi="ar"/>
                <w14:textFill>
                  <w14:solidFill>
                    <w14:schemeClr w14:val="tx1"/>
                  </w14:solidFill>
                </w14:textFill>
              </w:rPr>
              <w:t>0</w:t>
            </w:r>
          </w:p>
        </w:tc>
      </w:tr>
    </w:tbl>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firstLine="620" w:firstLineChars="200"/>
        <w:textAlignment w:val="auto"/>
        <w:outlineLvl w:val="0"/>
        <w:rPr>
          <w:rFonts w:hint="eastAsia" w:ascii="黑体" w:hAnsi="宋体" w:eastAsia="黑体" w:cs="黑体"/>
          <w:i w:val="0"/>
          <w:iCs w:val="0"/>
          <w:caps w:val="0"/>
          <w:color w:val="000000"/>
          <w:spacing w:val="0"/>
          <w:sz w:val="31"/>
          <w:szCs w:val="31"/>
        </w:rPr>
      </w:pPr>
      <w:r>
        <w:rPr>
          <w:rFonts w:hint="eastAsia" w:ascii="黑体" w:hAnsi="宋体" w:eastAsia="黑体" w:cs="黑体"/>
          <w:i w:val="0"/>
          <w:iCs w:val="0"/>
          <w:caps w:val="0"/>
          <w:color w:val="000000"/>
          <w:spacing w:val="0"/>
          <w:sz w:val="31"/>
          <w:szCs w:val="31"/>
        </w:rPr>
        <w:t>三、收到和处理政府信息公开申请情况</w:t>
      </w:r>
    </w:p>
    <w:tbl>
      <w:tblPr>
        <w:tblStyle w:val="8"/>
        <w:tblW w:w="95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15"/>
        <w:gridCol w:w="1697"/>
        <w:gridCol w:w="2969"/>
        <w:gridCol w:w="745"/>
        <w:gridCol w:w="4"/>
        <w:gridCol w:w="533"/>
        <w:gridCol w:w="4"/>
        <w:gridCol w:w="533"/>
        <w:gridCol w:w="718"/>
        <w:gridCol w:w="673"/>
        <w:gridCol w:w="524"/>
        <w:gridCol w:w="699"/>
        <w:gridCol w:w="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3" w:hRule="atLeast"/>
          <w:jc w:val="center"/>
        </w:trPr>
        <w:tc>
          <w:tcPr>
            <w:tcW w:w="5081" w:type="dxa"/>
            <w:gridSpan w:val="3"/>
            <w:vMerge w:val="restart"/>
            <w:tcBorders>
              <w:top w:val="single" w:color="auto" w:sz="8"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楷体_GB2312" w:hAnsi="宋体" w:eastAsia="楷体_GB2312" w:cs="Times New Roman"/>
                <w:kern w:val="0"/>
                <w:sz w:val="21"/>
                <w:szCs w:val="21"/>
              </w:rPr>
            </w:pPr>
            <w:r>
              <w:rPr>
                <w:rFonts w:hint="eastAsia" w:ascii="楷体_GB2312" w:hAnsi="宋体" w:eastAsia="楷体_GB2312" w:cs="楷体_GB2312"/>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ind w:left="0" w:right="0"/>
              <w:jc w:val="center"/>
              <w:rPr>
                <w:rFonts w:hint="eastAsia" w:ascii="仿宋_GB2312" w:hAnsi="Times New Roman" w:eastAsia="仿宋_GB2312" w:cs="Times New Roman"/>
                <w:kern w:val="2"/>
                <w:sz w:val="21"/>
                <w:szCs w:val="21"/>
              </w:rPr>
            </w:pPr>
            <w:r>
              <w:rPr>
                <w:rFonts w:hint="eastAsia" w:ascii="楷体_GB2312" w:hAnsi="宋体" w:eastAsia="楷体_GB2312" w:cs="楷体_GB2312"/>
                <w:kern w:val="0"/>
                <w:sz w:val="21"/>
                <w:szCs w:val="21"/>
                <w:lang w:val="en-US" w:eastAsia="zh-CN" w:bidi="ar"/>
              </w:rPr>
              <w:t>等于第三项加第四项之和）</w:t>
            </w:r>
          </w:p>
        </w:tc>
        <w:tc>
          <w:tcPr>
            <w:tcW w:w="4452" w:type="dxa"/>
            <w:gridSpan w:val="10"/>
            <w:tcBorders>
              <w:top w:val="single" w:color="auto" w:sz="8"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1" w:type="dxa"/>
            <w:gridSpan w:val="3"/>
            <w:vMerge w:val="continue"/>
            <w:tcBorders>
              <w:top w:val="single" w:color="auto" w:sz="8"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45"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自然人</w:t>
            </w:r>
          </w:p>
        </w:tc>
        <w:tc>
          <w:tcPr>
            <w:tcW w:w="2989" w:type="dxa"/>
            <w:gridSpan w:val="7"/>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法人或其他组织</w:t>
            </w:r>
          </w:p>
        </w:tc>
        <w:tc>
          <w:tcPr>
            <w:tcW w:w="699" w:type="dxa"/>
            <w:vMerge w:val="restart"/>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总计</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1" w:type="dxa"/>
            <w:gridSpan w:val="3"/>
            <w:vMerge w:val="continue"/>
            <w:tcBorders>
              <w:top w:val="single" w:color="auto" w:sz="8"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45"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0" w:lineRule="exact"/>
              <w:ind w:left="-162" w:leftChars="-51" w:right="-163" w:rightChars="-51" w:hanging="1"/>
              <w:jc w:val="center"/>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商业</w:t>
            </w:r>
          </w:p>
          <w:p>
            <w:pPr>
              <w:keepNext w:val="0"/>
              <w:keepLines w:val="0"/>
              <w:widowControl/>
              <w:suppressLineNumbers w:val="0"/>
              <w:spacing w:before="0" w:beforeAutospacing="0" w:after="0" w:afterAutospacing="0" w:line="320" w:lineRule="exact"/>
              <w:ind w:left="-162" w:leftChars="-51" w:right="-163" w:rightChars="-51" w:hanging="1"/>
              <w:jc w:val="center"/>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企业</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0" w:lineRule="exact"/>
              <w:ind w:left="-163" w:leftChars="-51" w:right="-163" w:rightChars="-51"/>
              <w:jc w:val="center"/>
              <w:rPr>
                <w:rFonts w:hint="eastAsia" w:ascii="黑体" w:hAnsi="宋体" w:eastAsia="黑体" w:cs="黑体"/>
                <w:kern w:val="0"/>
                <w:sz w:val="21"/>
                <w:szCs w:val="21"/>
                <w:lang w:val="en-US" w:eastAsia="zh-CN" w:bidi="ar"/>
              </w:rPr>
            </w:pPr>
            <w:r>
              <w:rPr>
                <w:rFonts w:hint="eastAsia" w:ascii="黑体" w:hAnsi="宋体" w:eastAsia="黑体" w:cs="黑体"/>
                <w:kern w:val="0"/>
                <w:sz w:val="21"/>
                <w:szCs w:val="21"/>
                <w:lang w:val="en-US" w:eastAsia="zh-CN" w:bidi="ar"/>
              </w:rPr>
              <w:t>科研</w:t>
            </w:r>
          </w:p>
          <w:p>
            <w:pPr>
              <w:keepNext w:val="0"/>
              <w:keepLines w:val="0"/>
              <w:widowControl/>
              <w:suppressLineNumbers w:val="0"/>
              <w:spacing w:before="0" w:beforeAutospacing="0" w:after="0" w:afterAutospacing="0" w:line="320" w:lineRule="exact"/>
              <w:ind w:left="-163" w:leftChars="-51" w:right="-163" w:rightChars="-51"/>
              <w:jc w:val="center"/>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机构</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0" w:lineRule="exact"/>
              <w:ind w:left="-163" w:leftChars="-51" w:right="-163" w:rightChars="-51"/>
              <w:jc w:val="center"/>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社会公益组织</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0" w:lineRule="exact"/>
              <w:ind w:left="-162" w:leftChars="-51" w:right="-163" w:rightChars="-51" w:hanging="1"/>
              <w:jc w:val="center"/>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法律服务机构</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exact"/>
              <w:ind w:left="-96" w:leftChars="-30" w:right="-205" w:rightChars="-64"/>
              <w:jc w:val="center"/>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其他</w:t>
            </w:r>
          </w:p>
        </w:tc>
        <w:tc>
          <w:tcPr>
            <w:tcW w:w="699"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1" w:type="dxa"/>
            <w:gridSpan w:val="3"/>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一、本年新收政府信息公开申请数量</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default" w:ascii="仿宋_GB2312" w:hAnsi="Times New Roman" w:eastAsia="仿宋_GB2312" w:cs="Times New Roman"/>
                <w:color w:val="000000" w:themeColor="text1"/>
                <w:kern w:val="2"/>
                <w:sz w:val="21"/>
                <w:szCs w:val="21"/>
                <w:lang w:val="en-US"/>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lang w:val="en-US" w:eastAsia="zh-CN"/>
                <w14:textFill>
                  <w14:solidFill>
                    <w14:schemeClr w14:val="tx1"/>
                  </w14:solidFill>
                </w14:textFill>
              </w:rPr>
            </w:pPr>
            <w:r>
              <w:rPr>
                <w:rFonts w:hint="eastAsia" w:hAnsi="Times New Roman" w:cs="Times New Roman"/>
                <w:color w:val="000000" w:themeColor="text1"/>
                <w:kern w:val="2"/>
                <w:sz w:val="21"/>
                <w:szCs w:val="21"/>
                <w:lang w:val="en-US" w:eastAsia="zh-CN"/>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1" w:type="dxa"/>
            <w:gridSpan w:val="3"/>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二、上年结转政府信息公开申请数量</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both"/>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三、本年度办理结果</w:t>
            </w:r>
          </w:p>
        </w:tc>
        <w:tc>
          <w:tcPr>
            <w:tcW w:w="466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（一）予以公开</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3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6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（二）部分公开（区分处理的，只计这一情形，不计其他情形）</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3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163" w:leftChars="-51" w:right="0"/>
              <w:jc w:val="both"/>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（三）不予公开</w:t>
            </w: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1.属于国家秘密</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2.其他法律行政法规禁止公开</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3.危及“三安全一稳定”</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4.保护第三方合法权益</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5.属于三类内部事务信息</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6.属于四类过程性信息</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7.属于行政执法案卷</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8.属于行政查询事项</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163" w:leftChars="-51" w:right="0"/>
              <w:jc w:val="both"/>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（四）无法提供</w:t>
            </w: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1.本机关不掌握相关政府信息</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2.没有现成信息需要另行制作</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3.补正后申请内容仍不明确</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163" w:leftChars="-51" w:right="0"/>
              <w:jc w:val="both"/>
              <w:rPr>
                <w:rFonts w:hint="eastAsia" w:ascii="黑体" w:hAnsi="宋体" w:eastAsia="黑体" w:cs="Times New Roman"/>
                <w:kern w:val="2"/>
                <w:sz w:val="21"/>
                <w:szCs w:val="21"/>
              </w:rPr>
            </w:pPr>
            <w:r>
              <w:rPr>
                <w:rFonts w:hint="eastAsia" w:ascii="黑体" w:hAnsi="宋体" w:eastAsia="黑体" w:cs="黑体"/>
                <w:kern w:val="0"/>
                <w:sz w:val="21"/>
                <w:szCs w:val="21"/>
                <w:lang w:val="en-US" w:eastAsia="zh-CN" w:bidi="ar"/>
              </w:rPr>
              <w:t>（五）不予处理</w:t>
            </w: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1.信访举报投诉类申请</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2.重复申请</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2"/>
                <w:sz w:val="21"/>
                <w:szCs w:val="21"/>
              </w:rPr>
            </w:pPr>
            <w:r>
              <w:rPr>
                <w:rFonts w:hint="eastAsia" w:ascii="仿宋_GB2312" w:hAnsi="宋体" w:eastAsia="仿宋_GB2312" w:cs="仿宋_GB2312"/>
                <w:kern w:val="0"/>
                <w:sz w:val="21"/>
                <w:szCs w:val="21"/>
                <w:lang w:val="en-US" w:eastAsia="zh-CN" w:bidi="ar"/>
              </w:rPr>
              <w:t>3.要求提供公开出版物</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200" w:lineRule="exact"/>
              <w:ind w:left="0" w:right="0"/>
              <w:jc w:val="both"/>
              <w:rPr>
                <w:rFonts w:hint="eastAsia" w:ascii="仿宋_GB2312" w:hAnsi="宋体" w:eastAsia="仿宋_GB2312" w:cs="Times New Roman"/>
                <w:kern w:val="2"/>
                <w:sz w:val="21"/>
                <w:szCs w:val="21"/>
              </w:rPr>
            </w:pPr>
            <w:r>
              <w:rPr>
                <w:rFonts w:hint="eastAsia" w:ascii="仿宋_GB2312" w:hAnsi="宋体" w:eastAsia="仿宋_GB2312" w:cs="仿宋_GB2312"/>
                <w:kern w:val="0"/>
                <w:sz w:val="21"/>
                <w:szCs w:val="21"/>
                <w:lang w:val="en-US" w:eastAsia="zh-CN" w:bidi="ar"/>
              </w:rPr>
              <w:t>4.无正当理由大量反复申请</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both"/>
              <w:rPr>
                <w:rFonts w:hint="eastAsia" w:ascii="仿宋_GB2312" w:hAnsi="宋体" w:eastAsia="仿宋_GB2312" w:cs="Times New Roman"/>
                <w:kern w:val="0"/>
                <w:sz w:val="21"/>
                <w:szCs w:val="21"/>
              </w:rPr>
            </w:pPr>
            <w:r>
              <w:rPr>
                <w:rFonts w:hint="eastAsia" w:ascii="仿宋_GB2312" w:hAnsi="宋体" w:eastAsia="仿宋_GB2312" w:cs="仿宋_GB2312"/>
                <w:kern w:val="0"/>
                <w:sz w:val="21"/>
                <w:szCs w:val="21"/>
                <w:lang w:val="en-US" w:eastAsia="zh-CN" w:bidi="ar"/>
              </w:rPr>
              <w:t>5.要求行政机关确认或重新</w:t>
            </w:r>
          </w:p>
          <w:p>
            <w:pPr>
              <w:keepNext w:val="0"/>
              <w:keepLines w:val="0"/>
              <w:widowControl/>
              <w:suppressLineNumbers w:val="0"/>
              <w:spacing w:before="0" w:beforeAutospacing="0" w:after="0" w:afterAutospacing="0" w:line="300" w:lineRule="exact"/>
              <w:ind w:left="0" w:right="0" w:firstLine="210" w:firstLineChars="100"/>
              <w:jc w:val="both"/>
              <w:rPr>
                <w:rFonts w:hint="eastAsia" w:ascii="仿宋_GB2312" w:hAnsi="宋体" w:eastAsia="仿宋_GB2312" w:cs="Times New Roman"/>
                <w:kern w:val="2"/>
                <w:sz w:val="21"/>
                <w:szCs w:val="21"/>
              </w:rPr>
            </w:pPr>
            <w:r>
              <w:rPr>
                <w:rFonts w:hint="eastAsia" w:ascii="仿宋_GB2312" w:hAnsi="宋体" w:eastAsia="仿宋_GB2312" w:cs="仿宋_GB2312"/>
                <w:kern w:val="0"/>
                <w:sz w:val="21"/>
                <w:szCs w:val="21"/>
                <w:lang w:val="en-US" w:eastAsia="zh-CN" w:bidi="ar"/>
              </w:rPr>
              <w:t>出具已获取信息</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kern w:val="2"/>
                <w:sz w:val="21"/>
                <w:szCs w:val="21"/>
              </w:rPr>
            </w:pPr>
            <w:r>
              <w:rPr>
                <w:rFonts w:hint="eastAsia" w:ascii="仿宋_GB2312" w:hAnsi="Times New Roman" w:eastAsia="仿宋_GB2312" w:cs="仿宋_GB2312"/>
                <w:kern w:val="2"/>
                <w:sz w:val="21"/>
                <w:szCs w:val="21"/>
                <w:lang w:val="en-US" w:eastAsia="zh-CN" w:bidi="ar"/>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697"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both"/>
              <w:rPr>
                <w:rFonts w:hint="eastAsia" w:ascii="黑体" w:hAnsi="宋体" w:eastAsia="黑体" w:cs="Times New Roman"/>
                <w:color w:val="000000" w:themeColor="text1"/>
                <w:kern w:val="0"/>
                <w:sz w:val="21"/>
                <w:szCs w:val="21"/>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（六）其他处理</w:t>
            </w:r>
          </w:p>
        </w:tc>
        <w:tc>
          <w:tcPr>
            <w:tcW w:w="2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eastAsia" w:ascii="仿宋_GB2312" w:hAnsi="楷体" w:eastAsia="仿宋_GB2312" w:cs="Times New Roman"/>
                <w:color w:val="000000" w:themeColor="text1"/>
                <w:kern w:val="2"/>
                <w:sz w:val="21"/>
                <w:szCs w:val="21"/>
                <w14:textFill>
                  <w14:solidFill>
                    <w14:schemeClr w14:val="tx1"/>
                  </w14:solidFill>
                </w14:textFill>
              </w:rPr>
            </w:pPr>
            <w:r>
              <w:rPr>
                <w:rFonts w:hint="eastAsia" w:ascii="仿宋_GB2312" w:hAnsi="楷体" w:eastAsia="仿宋_GB2312" w:cs="仿宋_GB2312"/>
                <w:color w:val="000000" w:themeColor="text1"/>
                <w:kern w:val="2"/>
                <w:sz w:val="21"/>
                <w:szCs w:val="21"/>
                <w:lang w:val="en-US" w:eastAsia="zh-CN" w:bidi="ar"/>
                <w14:textFill>
                  <w14:solidFill>
                    <w14:schemeClr w14:val="tx1"/>
                  </w14:solidFill>
                </w14:textFill>
              </w:rPr>
              <w:t>1.申请人无正当理由逾期不补正、行政机关不再处理其政府信息公开申请</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eastAsia" w:ascii="仿宋_GB2312" w:hAnsi="宋体" w:eastAsia="仿宋_GB2312" w:cs="Times New Roman"/>
                <w:color w:val="000000" w:themeColor="text1"/>
                <w:kern w:val="0"/>
                <w:sz w:val="21"/>
                <w:szCs w:val="21"/>
                <w14:textFill>
                  <w14:solidFill>
                    <w14:schemeClr w14:val="tx1"/>
                  </w14:solidFill>
                </w14:textFill>
              </w:rPr>
            </w:pPr>
            <w:r>
              <w:rPr>
                <w:rFonts w:hint="eastAsia" w:ascii="仿宋_GB2312" w:hAnsi="楷体" w:eastAsia="仿宋_GB2312" w:cs="仿宋_GB2312"/>
                <w:color w:val="000000" w:themeColor="text1"/>
                <w:kern w:val="2"/>
                <w:sz w:val="21"/>
                <w:szCs w:val="21"/>
                <w:lang w:val="en-US" w:eastAsia="zh-CN" w:bidi="ar"/>
                <w14:textFill>
                  <w14:solidFill>
                    <w14:schemeClr w14:val="tx1"/>
                  </w14:solidFill>
                </w14:textFill>
              </w:rPr>
              <w:t>2.申请人逾期未按收费通知要求缴纳费用、行政机关不再处理其政府信息公开申请</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69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both"/>
              <w:rPr>
                <w:rFonts w:hint="eastAsia" w:ascii="仿宋_GB2312" w:hAnsi="宋体" w:eastAsia="仿宋_GB2312" w:cs="Times New Roman"/>
                <w:color w:val="000000" w:themeColor="text1"/>
                <w:kern w:val="0"/>
                <w:sz w:val="21"/>
                <w:szCs w:val="21"/>
                <w14:textFill>
                  <w14:solidFill>
                    <w14:schemeClr w14:val="tx1"/>
                  </w14:solidFill>
                </w14:textFill>
              </w:rPr>
            </w:pPr>
            <w:r>
              <w:rPr>
                <w:rFonts w:hint="eastAsia" w:ascii="仿宋_GB2312" w:hAnsi="楷体" w:eastAsia="仿宋_GB2312" w:cs="仿宋_GB2312"/>
                <w:color w:val="000000" w:themeColor="text1"/>
                <w:kern w:val="2"/>
                <w:sz w:val="21"/>
                <w:szCs w:val="21"/>
                <w:lang w:val="en-US" w:eastAsia="zh-CN" w:bidi="ar"/>
                <w14:textFill>
                  <w14:solidFill>
                    <w14:schemeClr w14:val="tx1"/>
                  </w14:solidFill>
                </w14:textFill>
              </w:rPr>
              <w:t>3.其他</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default" w:ascii="仿宋_GB2312" w:hAnsi="Times New Roman" w:eastAsia="仿宋_GB2312" w:cs="Times New Roman"/>
                <w:color w:val="000000" w:themeColor="text1"/>
                <w:kern w:val="2"/>
                <w:sz w:val="21"/>
                <w:szCs w:val="21"/>
                <w:lang w:val="en-US"/>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466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both"/>
              <w:rPr>
                <w:rFonts w:hint="eastAsia" w:ascii="黑体" w:hAnsi="宋体" w:eastAsia="黑体" w:cs="Times New Roman"/>
                <w:color w:val="000000" w:themeColor="text1"/>
                <w:kern w:val="0"/>
                <w:sz w:val="21"/>
                <w:szCs w:val="21"/>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（七）总计</w:t>
            </w:r>
          </w:p>
        </w:tc>
        <w:tc>
          <w:tcPr>
            <w:tcW w:w="7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lang w:val="en-US" w:eastAsia="zh-CN"/>
                <w14:textFill>
                  <w14:solidFill>
                    <w14:schemeClr w14:val="tx1"/>
                  </w14:solidFill>
                </w14:textFill>
              </w:rPr>
            </w:pPr>
            <w:r>
              <w:rPr>
                <w:rFonts w:hint="eastAsia" w:hAnsi="Times New Roman" w:cs="Times New Roman"/>
                <w:color w:val="000000" w:themeColor="text1"/>
                <w:kern w:val="2"/>
                <w:sz w:val="21"/>
                <w:szCs w:val="21"/>
                <w:lang w:val="en-US" w:eastAsia="zh-CN"/>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default" w:ascii="仿宋_GB2312" w:hAnsi="Times New Roman" w:eastAsia="仿宋_GB2312" w:cs="Times New Roman"/>
                <w:color w:val="000000" w:themeColor="text1"/>
                <w:kern w:val="2"/>
                <w:sz w:val="21"/>
                <w:szCs w:val="21"/>
                <w:lang w:val="en-US"/>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lang w:val="en-US" w:eastAsia="zh-CN"/>
                <w14:textFill>
                  <w14:solidFill>
                    <w14:schemeClr w14:val="tx1"/>
                  </w14:solidFill>
                </w14:textFill>
              </w:rPr>
            </w:pPr>
            <w:r>
              <w:rPr>
                <w:rFonts w:hint="eastAsia" w:hAnsi="Times New Roman" w:cs="Times New Roman"/>
                <w:color w:val="000000" w:themeColor="text1"/>
                <w:kern w:val="2"/>
                <w:sz w:val="21"/>
                <w:szCs w:val="21"/>
                <w:lang w:val="en-US" w:eastAsia="zh-CN"/>
                <w14:textFill>
                  <w14:solidFill>
                    <w14:schemeClr w14:val="tx1"/>
                  </w14:solidFill>
                </w14:textFill>
              </w:rPr>
              <w:t>0</w:t>
            </w:r>
          </w:p>
        </w:tc>
        <w:tc>
          <w:tcPr>
            <w:tcW w:w="71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default" w:ascii="仿宋_GB2312" w:hAnsi="Times New Roman" w:eastAsia="仿宋_GB2312" w:cs="Times New Roman"/>
                <w:color w:val="000000" w:themeColor="text1"/>
                <w:kern w:val="2"/>
                <w:sz w:val="21"/>
                <w:szCs w:val="21"/>
                <w:lang w:val="en-US"/>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1" w:type="dxa"/>
            <w:gridSpan w:val="3"/>
            <w:tcBorders>
              <w:top w:val="single" w:color="auto" w:sz="4" w:space="0"/>
              <w:left w:val="single" w:color="auto" w:sz="8"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both"/>
              <w:rPr>
                <w:rFonts w:hint="eastAsia" w:ascii="黑体" w:hAnsi="宋体" w:eastAsia="黑体" w:cs="Times New Roman"/>
                <w:color w:val="000000" w:themeColor="text1"/>
                <w:kern w:val="0"/>
                <w:sz w:val="21"/>
                <w:szCs w:val="21"/>
                <w14:textFill>
                  <w14:solidFill>
                    <w14:schemeClr w14:val="tx1"/>
                  </w14:solidFill>
                </w14:textFill>
              </w:rPr>
            </w:pPr>
            <w:r>
              <w:rPr>
                <w:rFonts w:hint="eastAsia" w:ascii="黑体" w:hAnsi="宋体" w:eastAsia="黑体" w:cs="黑体"/>
                <w:color w:val="000000" w:themeColor="text1"/>
                <w:kern w:val="0"/>
                <w:sz w:val="21"/>
                <w:szCs w:val="21"/>
                <w:lang w:val="en-US" w:eastAsia="zh-CN" w:bidi="ar"/>
                <w14:textFill>
                  <w14:solidFill>
                    <w14:schemeClr w14:val="tx1"/>
                  </w14:solidFill>
                </w14:textFill>
              </w:rPr>
              <w:t>四、结转下年度继续办理</w:t>
            </w:r>
          </w:p>
        </w:tc>
        <w:tc>
          <w:tcPr>
            <w:tcW w:w="745"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537" w:type="dxa"/>
            <w:gridSpan w:val="2"/>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718"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73"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524"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ascii="仿宋_GB2312" w:hAnsi="Times New Roman" w:eastAsia="仿宋_GB2312" w:cs="仿宋_GB2312"/>
                <w:color w:val="000000" w:themeColor="text1"/>
                <w:kern w:val="2"/>
                <w:sz w:val="21"/>
                <w:szCs w:val="21"/>
                <w:lang w:val="en-US" w:eastAsia="zh-CN" w:bidi="ar"/>
                <w14:textFill>
                  <w14:solidFill>
                    <w14:schemeClr w14:val="tx1"/>
                  </w14:solidFill>
                </w14:textFill>
              </w:rPr>
              <w:t>0</w:t>
            </w:r>
          </w:p>
        </w:tc>
        <w:tc>
          <w:tcPr>
            <w:tcW w:w="699"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autoSpaceDE w:val="0"/>
              <w:autoSpaceDN/>
              <w:spacing w:before="0" w:beforeAutospacing="0" w:after="0" w:afterAutospacing="0" w:line="240" w:lineRule="exact"/>
              <w:ind w:left="0" w:right="0"/>
              <w:jc w:val="center"/>
              <w:rPr>
                <w:rFonts w:hint="eastAsia" w:ascii="仿宋_GB2312" w:hAnsi="Times New Roman" w:eastAsia="仿宋_GB2312" w:cs="Times New Roman"/>
                <w:color w:val="000000" w:themeColor="text1"/>
                <w:kern w:val="2"/>
                <w:sz w:val="21"/>
                <w:szCs w:val="21"/>
                <w14:textFill>
                  <w14:solidFill>
                    <w14:schemeClr w14:val="tx1"/>
                  </w14:solidFill>
                </w14:textFill>
              </w:rPr>
            </w:pPr>
            <w:r>
              <w:rPr>
                <w:rFonts w:hint="eastAsia" w:hAnsi="Times New Roman" w:cs="仿宋_GB2312"/>
                <w:color w:val="000000" w:themeColor="text1"/>
                <w:kern w:val="2"/>
                <w:sz w:val="21"/>
                <w:szCs w:val="21"/>
                <w:lang w:val="en-US" w:eastAsia="zh-CN" w:bidi="ar"/>
                <w14:textFill>
                  <w14:solidFill>
                    <w14:schemeClr w14:val="tx1"/>
                  </w14:solidFill>
                </w14:textFill>
              </w:rPr>
              <w:t>0</w:t>
            </w:r>
          </w:p>
        </w:tc>
        <w:tc>
          <w:tcPr>
            <w:tcW w:w="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bl>
    <w:p>
      <w:pPr>
        <w:pStyle w:val="7"/>
        <w:keepNext w:val="0"/>
        <w:keepLines w:val="0"/>
        <w:widowControl/>
        <w:suppressLineNumbers w:val="0"/>
        <w:spacing w:line="600" w:lineRule="atLeast"/>
        <w:ind w:left="0" w:firstLine="420"/>
        <w:outlineLvl w:val="0"/>
        <w:rPr>
          <w:rFonts w:hint="default" w:ascii="黑体" w:hAnsi="宋体" w:eastAsia="黑体" w:cs="黑体"/>
          <w:i w:val="0"/>
          <w:iCs w:val="0"/>
          <w:caps w:val="0"/>
          <w:color w:val="000000"/>
          <w:spacing w:val="0"/>
          <w:sz w:val="31"/>
          <w:szCs w:val="31"/>
        </w:rPr>
      </w:pPr>
      <w:r>
        <w:rPr>
          <w:rFonts w:hint="eastAsia" w:ascii="黑体" w:hAnsi="宋体" w:eastAsia="黑体" w:cs="黑体"/>
          <w:i w:val="0"/>
          <w:iCs w:val="0"/>
          <w:caps w:val="0"/>
          <w:color w:val="000000"/>
          <w:spacing w:val="0"/>
          <w:sz w:val="31"/>
          <w:szCs w:val="31"/>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227" w:leftChars="-71" w:right="-259" w:rightChars="-81"/>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227" w:leftChars="-71" w:right="-259" w:rightChars="-81"/>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66" w:leftChars="-21" w:right="-202" w:rightChars="-63" w:hanging="1"/>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66" w:leftChars="-21" w:right="-202" w:rightChars="-63" w:hanging="1"/>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25" w:leftChars="-39" w:right="-147" w:rightChars="-46"/>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其他</w:t>
            </w:r>
          </w:p>
          <w:p>
            <w:pPr>
              <w:keepNext w:val="0"/>
              <w:keepLines w:val="0"/>
              <w:widowControl/>
              <w:suppressLineNumbers w:val="0"/>
              <w:spacing w:before="0" w:beforeAutospacing="0" w:after="0" w:afterAutospacing="0"/>
              <w:ind w:left="-125" w:leftChars="-39" w:right="-147" w:rightChars="-46"/>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79" w:leftChars="-56" w:right="-179" w:rightChars="-56"/>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尚未</w:t>
            </w:r>
          </w:p>
          <w:p>
            <w:pPr>
              <w:keepNext w:val="0"/>
              <w:keepLines w:val="0"/>
              <w:widowControl/>
              <w:suppressLineNumbers w:val="0"/>
              <w:spacing w:before="0" w:beforeAutospacing="0" w:after="0" w:afterAutospacing="0"/>
              <w:ind w:left="-179" w:leftChars="-56" w:right="-179" w:rightChars="-56"/>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总</w:t>
            </w:r>
          </w:p>
          <w:p>
            <w:pPr>
              <w:keepNext w:val="0"/>
              <w:keepLines w:val="0"/>
              <w:widowControl/>
              <w:suppressLineNumbers w:val="0"/>
              <w:spacing w:before="0" w:beforeAutospacing="0" w:after="0" w:afterAutospacing="0" w:line="320" w:lineRule="exact"/>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bookmarkStart w:id="0" w:name="_Hlk67039688"/>
            <w:r>
              <w:rPr>
                <w:rFonts w:hint="eastAsia" w:ascii="黑体" w:hAnsi="宋体" w:eastAsia="黑体" w:cs="黑体"/>
                <w:kern w:val="0"/>
                <w:sz w:val="20"/>
                <w:szCs w:val="20"/>
                <w:lang w:val="en-US" w:eastAsia="zh-CN" w:bidi="ar"/>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60" w:leftChars="-50" w:right="-192" w:rightChars="-6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160" w:leftChars="-50" w:right="-192" w:rightChars="-6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31" w:leftChars="-41" w:right="-134" w:rightChars="-42"/>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131" w:leftChars="-41" w:right="-134" w:rightChars="-42"/>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92" w:leftChars="-60" w:right="-208" w:rightChars="-65"/>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其他</w:t>
            </w:r>
          </w:p>
          <w:p>
            <w:pPr>
              <w:keepNext w:val="0"/>
              <w:keepLines w:val="0"/>
              <w:widowControl/>
              <w:suppressLineNumbers w:val="0"/>
              <w:spacing w:before="0" w:beforeAutospacing="0" w:after="0" w:afterAutospacing="0"/>
              <w:ind w:left="-192" w:leftChars="-60" w:right="-208" w:rightChars="-65"/>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249" w:leftChars="-78" w:right="-234" w:rightChars="-73"/>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尚未</w:t>
            </w:r>
          </w:p>
          <w:p>
            <w:pPr>
              <w:keepNext w:val="0"/>
              <w:keepLines w:val="0"/>
              <w:widowControl/>
              <w:suppressLineNumbers w:val="0"/>
              <w:spacing w:before="0" w:beforeAutospacing="0" w:after="0" w:afterAutospacing="0"/>
              <w:ind w:left="-249" w:leftChars="-78" w:right="-234" w:rightChars="-73"/>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50" w:leftChars="-47" w:right="-118" w:rightChars="-37"/>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150" w:leftChars="-47" w:right="-118" w:rightChars="-37"/>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208" w:leftChars="-65" w:right="-189" w:rightChars="-59"/>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结果</w:t>
            </w:r>
          </w:p>
          <w:p>
            <w:pPr>
              <w:keepNext w:val="0"/>
              <w:keepLines w:val="0"/>
              <w:widowControl/>
              <w:suppressLineNumbers w:val="0"/>
              <w:spacing w:before="0" w:beforeAutospacing="0" w:after="0" w:afterAutospacing="0"/>
              <w:ind w:left="-208" w:leftChars="-65" w:right="-189" w:rightChars="-59"/>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265" w:leftChars="-83" w:right="-205" w:rightChars="-64" w:hanging="1"/>
              <w:jc w:val="center"/>
              <w:rPr>
                <w:rFonts w:hint="eastAsia" w:ascii="黑体" w:hAnsi="宋体" w:eastAsia="黑体" w:cs="Times New Roman"/>
                <w:kern w:val="0"/>
                <w:sz w:val="20"/>
                <w:szCs w:val="20"/>
              </w:rPr>
            </w:pPr>
            <w:r>
              <w:rPr>
                <w:rFonts w:hint="eastAsia" w:ascii="黑体" w:hAnsi="宋体" w:eastAsia="黑体" w:cs="黑体"/>
                <w:kern w:val="0"/>
                <w:sz w:val="20"/>
                <w:szCs w:val="20"/>
                <w:lang w:val="en-US" w:eastAsia="zh-CN" w:bidi="ar"/>
              </w:rPr>
              <w:t>其他</w:t>
            </w:r>
          </w:p>
          <w:p>
            <w:pPr>
              <w:keepNext w:val="0"/>
              <w:keepLines w:val="0"/>
              <w:widowControl/>
              <w:suppressLineNumbers w:val="0"/>
              <w:spacing w:before="0" w:beforeAutospacing="0" w:after="0" w:afterAutospacing="0"/>
              <w:ind w:left="-265" w:leftChars="-83" w:right="-205" w:rightChars="-64" w:hanging="1"/>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104" w:leftChars="-33" w:right="-160" w:rightChars="-50" w:hanging="2" w:hangingChars="1"/>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尚未</w:t>
            </w:r>
          </w:p>
          <w:p>
            <w:pPr>
              <w:keepNext w:val="0"/>
              <w:keepLines w:val="0"/>
              <w:widowControl/>
              <w:suppressLineNumbers w:val="0"/>
              <w:spacing w:before="0" w:beforeAutospacing="0" w:after="0" w:afterAutospacing="0"/>
              <w:ind w:left="-104" w:leftChars="-33" w:right="-160" w:rightChars="-50" w:hanging="2" w:hangingChars="1"/>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Times New Roman"/>
                <w:kern w:val="2"/>
                <w:sz w:val="21"/>
                <w:szCs w:val="21"/>
              </w:rPr>
            </w:pPr>
            <w:r>
              <w:rPr>
                <w:rFonts w:hint="eastAsia" w:ascii="黑体" w:hAnsi="宋体" w:eastAsia="黑体" w:cs="黑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180" w:afterAutospacing="0"/>
              <w:ind w:left="0" w:right="0"/>
              <w:jc w:val="center"/>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w:t>
            </w:r>
          </w:p>
        </w:tc>
      </w:tr>
    </w:tbl>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firstLine="640" w:firstLineChars="200"/>
        <w:textAlignment w:val="auto"/>
        <w:outlineLvl w:val="0"/>
        <w:rPr>
          <w:rFonts w:hint="default"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五、存在的主要问题及改进情况</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outlineLvl w:val="1"/>
        <w:rPr>
          <w:rFonts w:hint="eastAsia" w:ascii="楷体_GB2312" w:hAnsi="sans-serif" w:eastAsia="楷体_GB2312" w:cs="楷体_GB2312"/>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（一）存在问题</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一是公开平台建设还需加强；二</w:t>
      </w:r>
      <w:r>
        <w:rPr>
          <w:rFonts w:hint="eastAsia" w:hAnsi="sans-serif" w:cs="仿宋_GB2312"/>
          <w:i w:val="0"/>
          <w:iCs w:val="0"/>
          <w:caps w:val="0"/>
          <w:color w:val="000000"/>
          <w:spacing w:val="0"/>
          <w:sz w:val="32"/>
          <w:szCs w:val="32"/>
          <w:lang w:eastAsia="zh-CN"/>
        </w:rPr>
        <w:t>是公开形式还不够丰富，政务公开创新力度需再提升；三</w:t>
      </w:r>
      <w:r>
        <w:rPr>
          <w:rFonts w:hint="eastAsia" w:ascii="仿宋_GB2312" w:hAnsi="sans-serif" w:eastAsia="仿宋_GB2312" w:cs="仿宋_GB2312"/>
          <w:i w:val="0"/>
          <w:iCs w:val="0"/>
          <w:caps w:val="0"/>
          <w:color w:val="000000"/>
          <w:spacing w:val="0"/>
          <w:sz w:val="32"/>
          <w:szCs w:val="32"/>
        </w:rPr>
        <w:t>是</w:t>
      </w:r>
      <w:r>
        <w:rPr>
          <w:rFonts w:hint="eastAsia" w:hAnsi="sans-serif" w:cs="仿宋_GB2312"/>
          <w:i w:val="0"/>
          <w:iCs w:val="0"/>
          <w:caps w:val="0"/>
          <w:color w:val="000000"/>
          <w:spacing w:val="0"/>
          <w:sz w:val="32"/>
          <w:szCs w:val="32"/>
          <w:lang w:eastAsia="zh-CN"/>
        </w:rPr>
        <w:t>公开内容的深度和广度不够</w:t>
      </w:r>
      <w:r>
        <w:rPr>
          <w:rFonts w:hint="eastAsia" w:ascii="仿宋_GB2312" w:hAnsi="sans-serif" w:eastAsia="仿宋_GB2312" w:cs="仿宋_GB2312"/>
          <w:i w:val="0"/>
          <w:iCs w:val="0"/>
          <w:caps w:val="0"/>
          <w:color w:val="000000"/>
          <w:spacing w:val="0"/>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outlineLvl w:val="1"/>
        <w:rPr>
          <w:rFonts w:hint="default" w:ascii="sans-serif" w:hAnsi="sans-serif" w:eastAsia="sans-serif" w:cs="sans-serif"/>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（二）整改措施</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2" w:firstLineChars="200"/>
        <w:textAlignment w:val="auto"/>
        <w:rPr>
          <w:rFonts w:hint="eastAsia" w:ascii="仿宋_GB2312" w:hAnsi="sans-serif" w:eastAsia="仿宋_GB2312" w:cs="仿宋_GB2312"/>
          <w:i w:val="0"/>
          <w:iCs w:val="0"/>
          <w:caps w:val="0"/>
          <w:color w:val="0000FF"/>
          <w:spacing w:val="0"/>
          <w:sz w:val="32"/>
          <w:szCs w:val="32"/>
          <w:highlight w:val="yellow"/>
        </w:rPr>
      </w:pPr>
      <w:r>
        <w:rPr>
          <w:rFonts w:hint="eastAsia" w:ascii="楷体_GB2312" w:hAnsi="楷体_GB2312" w:eastAsia="楷体_GB2312" w:cs="楷体_GB2312"/>
          <w:b/>
          <w:bCs/>
          <w:i w:val="0"/>
          <w:iCs w:val="0"/>
          <w:caps w:val="0"/>
          <w:color w:val="000000"/>
          <w:spacing w:val="0"/>
          <w:sz w:val="32"/>
          <w:szCs w:val="32"/>
        </w:rPr>
        <w:t>一是强化管理、落实责任。</w:t>
      </w:r>
      <w:r>
        <w:rPr>
          <w:rFonts w:hint="eastAsia" w:ascii="仿宋_GB2312" w:hAnsi="仿宋_GB2312" w:eastAsia="仿宋_GB2312" w:cs="仿宋_GB2312"/>
          <w:b w:val="0"/>
          <w:bCs w:val="0"/>
          <w:i w:val="0"/>
          <w:iCs w:val="0"/>
          <w:caps w:val="0"/>
          <w:color w:val="000000"/>
          <w:spacing w:val="0"/>
          <w:sz w:val="32"/>
          <w:szCs w:val="32"/>
        </w:rPr>
        <w:t>强化制度落实，加强日常</w:t>
      </w:r>
      <w:r>
        <w:rPr>
          <w:rFonts w:hint="eastAsia" w:ascii="仿宋_GB2312" w:hAnsi="仿宋_GB2312" w:eastAsia="仿宋_GB2312" w:cs="仿宋_GB2312"/>
          <w:b w:val="0"/>
          <w:bCs w:val="0"/>
          <w:i w:val="0"/>
          <w:iCs w:val="0"/>
          <w:caps w:val="0"/>
          <w:color w:val="000000"/>
          <w:spacing w:val="0"/>
          <w:sz w:val="32"/>
          <w:szCs w:val="32"/>
          <w:lang w:eastAsia="zh-CN"/>
        </w:rPr>
        <w:t>督察</w:t>
      </w:r>
      <w:r>
        <w:rPr>
          <w:rFonts w:hint="eastAsia" w:ascii="仿宋_GB2312" w:hAnsi="仿宋_GB2312" w:eastAsia="仿宋_GB2312" w:cs="仿宋_GB2312"/>
          <w:b w:val="0"/>
          <w:bCs w:val="0"/>
          <w:i w:val="0"/>
          <w:iCs w:val="0"/>
          <w:caps w:val="0"/>
          <w:color w:val="000000"/>
          <w:spacing w:val="0"/>
          <w:sz w:val="32"/>
          <w:szCs w:val="32"/>
        </w:rPr>
        <w:t>和定期检查</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并将督察</w:t>
      </w:r>
      <w:r>
        <w:rPr>
          <w:rFonts w:hint="eastAsia" w:ascii="仿宋_GB2312" w:hAnsi="仿宋_GB2312" w:eastAsia="仿宋_GB2312" w:cs="仿宋_GB2312"/>
          <w:b w:val="0"/>
          <w:bCs w:val="0"/>
          <w:i w:val="0"/>
          <w:iCs w:val="0"/>
          <w:caps w:val="0"/>
          <w:color w:val="000000"/>
          <w:spacing w:val="0"/>
          <w:sz w:val="32"/>
          <w:szCs w:val="32"/>
          <w:lang w:eastAsia="zh-CN"/>
        </w:rPr>
        <w:t>、检查</w:t>
      </w:r>
      <w:r>
        <w:rPr>
          <w:rFonts w:hint="eastAsia" w:ascii="仿宋_GB2312" w:hAnsi="仿宋_GB2312" w:eastAsia="仿宋_GB2312" w:cs="仿宋_GB2312"/>
          <w:b w:val="0"/>
          <w:bCs w:val="0"/>
          <w:i w:val="0"/>
          <w:iCs w:val="0"/>
          <w:caps w:val="0"/>
          <w:color w:val="000000"/>
          <w:spacing w:val="0"/>
          <w:sz w:val="32"/>
          <w:szCs w:val="32"/>
        </w:rPr>
        <w:t>结果与机关作风效能建设考核结合起来</w:t>
      </w:r>
      <w:r>
        <w:rPr>
          <w:rFonts w:hint="eastAsia" w:ascii="仿宋_GB2312" w:hAnsi="仿宋_GB2312" w:eastAsia="仿宋_GB2312" w:cs="仿宋_GB2312"/>
          <w:b w:val="0"/>
          <w:bCs w:val="0"/>
          <w:i w:val="0"/>
          <w:iCs w:val="0"/>
          <w:caps w:val="0"/>
          <w:color w:val="000000"/>
          <w:spacing w:val="0"/>
          <w:sz w:val="32"/>
          <w:szCs w:val="32"/>
          <w:lang w:eastAsia="zh-CN"/>
        </w:rPr>
        <w:t>。细化分工责任到人，推进公开平台建设标准化、规范化，更好地满足公众需求。</w:t>
      </w:r>
      <w:r>
        <w:rPr>
          <w:rFonts w:hint="eastAsia" w:ascii="楷体_GB2312" w:hAnsi="楷体_GB2312" w:eastAsia="楷体_GB2312" w:cs="楷体_GB2312"/>
          <w:b/>
          <w:bCs/>
          <w:i w:val="0"/>
          <w:iCs w:val="0"/>
          <w:caps w:val="0"/>
          <w:color w:val="000000"/>
          <w:spacing w:val="0"/>
          <w:sz w:val="32"/>
          <w:szCs w:val="32"/>
          <w:lang w:eastAsia="zh-CN"/>
        </w:rPr>
        <w:t>二是丰富形式、创新实践。</w:t>
      </w:r>
      <w:r>
        <w:rPr>
          <w:rFonts w:hint="eastAsia" w:ascii="仿宋_GB2312" w:hAnsi="仿宋_GB2312" w:eastAsia="仿宋_GB2312" w:cs="仿宋_GB2312"/>
          <w:b w:val="0"/>
          <w:bCs w:val="0"/>
          <w:i w:val="0"/>
          <w:iCs w:val="0"/>
          <w:caps w:val="0"/>
          <w:color w:val="000000"/>
          <w:spacing w:val="0"/>
          <w:sz w:val="32"/>
          <w:szCs w:val="32"/>
          <w:lang w:eastAsia="zh-CN"/>
        </w:rPr>
        <w:t>在政府信息公开中更多运用图解、视频等方式，使公开的信息更加可视、可读、可感。同时，加强政务公开和工信业务工作深度融合，围绕社会热点难点问题，推动政务公开工作不断取得创新进展。</w:t>
      </w:r>
      <w:r>
        <w:rPr>
          <w:rFonts w:hint="eastAsia" w:ascii="楷体_GB2312" w:hAnsi="楷体_GB2312" w:eastAsia="楷体_GB2312" w:cs="楷体_GB2312"/>
          <w:b/>
          <w:bCs/>
          <w:i w:val="0"/>
          <w:iCs w:val="0"/>
          <w:caps w:val="0"/>
          <w:color w:val="000000"/>
          <w:spacing w:val="0"/>
          <w:sz w:val="32"/>
          <w:szCs w:val="32"/>
          <w:lang w:eastAsia="zh-CN"/>
        </w:rPr>
        <w:t>三是加强学习、加大公开力度。</w:t>
      </w:r>
      <w:r>
        <w:rPr>
          <w:rFonts w:hint="eastAsia" w:ascii="仿宋_GB2312" w:hAnsi="仿宋_GB2312" w:eastAsia="仿宋_GB2312" w:cs="仿宋_GB2312"/>
          <w:b w:val="0"/>
          <w:bCs w:val="0"/>
          <w:i w:val="0"/>
          <w:iCs w:val="0"/>
          <w:caps w:val="0"/>
          <w:color w:val="000000"/>
          <w:spacing w:val="0"/>
          <w:sz w:val="32"/>
          <w:szCs w:val="32"/>
          <w:lang w:eastAsia="zh-CN"/>
        </w:rPr>
        <w:t>认真梳理细化政府信息栏目，进一步扩大公开内容，不断完善政府信息公开目录。通过开展政务公开专题培训会、反思研讨会等方式，认真学习贯彻落实政务公开相关政策要求，不断提升业务能力和水平</w:t>
      </w:r>
      <w:r>
        <w:rPr>
          <w:rFonts w:hint="eastAsia" w:hAnsi="sans-serif" w:cs="仿宋_GB2312"/>
          <w:i w:val="0"/>
          <w:iCs w:val="0"/>
          <w:caps w:val="0"/>
          <w:color w:val="000000"/>
          <w:spacing w:val="0"/>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outlineLvl w:val="0"/>
        <w:rPr>
          <w:rFonts w:hint="default"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六、其他需要报告的事项</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1.收取信息处理费情况方面。202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年度，本单位未收取信息处理费。</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2.落实上级年度政务公开工作要点情况。对照《枣庄市202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w:t>
      </w:r>
      <w:bookmarkStart w:id="1" w:name="_GoBack"/>
      <w:bookmarkEnd w:id="1"/>
      <w:r>
        <w:rPr>
          <w:rFonts w:hint="eastAsia" w:ascii="仿宋_GB2312" w:hAnsi="sans-serif" w:eastAsia="仿宋_GB2312" w:cs="仿宋_GB2312"/>
          <w:i w:val="0"/>
          <w:iCs w:val="0"/>
          <w:caps w:val="0"/>
          <w:color w:val="000000"/>
          <w:spacing w:val="0"/>
          <w:sz w:val="32"/>
          <w:szCs w:val="32"/>
        </w:rPr>
        <w:t>政务公开工作要点》、《滕州市202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年政务公开工作要点》，围绕重点领域信息公开、政策发布解读等方面开展政务公开工作。</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3.人大代表建议和政协提案办理情况方面。202</w:t>
      </w:r>
      <w:r>
        <w:rPr>
          <w:rFonts w:hint="eastAsia" w:hAnsi="sans-serif"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rPr>
        <w:t>年，滕州市工业和信息化局共办理1件枣庄市人大议案、2件枣庄政协提案，</w:t>
      </w:r>
      <w:r>
        <w:rPr>
          <w:rFonts w:hint="eastAsia" w:hAnsi="sans-serif" w:cs="仿宋_GB2312"/>
          <w:i w:val="0"/>
          <w:iCs w:val="0"/>
          <w:caps w:val="0"/>
          <w:color w:val="000000"/>
          <w:spacing w:val="0"/>
          <w:sz w:val="32"/>
          <w:szCs w:val="32"/>
          <w:lang w:val="en-US" w:eastAsia="zh-CN"/>
        </w:rPr>
        <w:t>4</w:t>
      </w:r>
      <w:r>
        <w:rPr>
          <w:rFonts w:hint="eastAsia" w:ascii="仿宋_GB2312" w:hAnsi="sans-serif" w:eastAsia="仿宋_GB2312" w:cs="仿宋_GB2312"/>
          <w:i w:val="0"/>
          <w:iCs w:val="0"/>
          <w:caps w:val="0"/>
          <w:color w:val="000000"/>
          <w:spacing w:val="0"/>
          <w:sz w:val="32"/>
          <w:szCs w:val="32"/>
        </w:rPr>
        <w:t>件滕州人大议案、1</w:t>
      </w:r>
      <w:r>
        <w:rPr>
          <w:rFonts w:hint="eastAsia" w:hAnsi="sans-serif" w:cs="仿宋_GB2312"/>
          <w:i w:val="0"/>
          <w:iCs w:val="0"/>
          <w:caps w:val="0"/>
          <w:color w:val="000000"/>
          <w:spacing w:val="0"/>
          <w:sz w:val="32"/>
          <w:szCs w:val="32"/>
          <w:lang w:val="en-US" w:eastAsia="zh-CN"/>
        </w:rPr>
        <w:t>4</w:t>
      </w:r>
      <w:r>
        <w:rPr>
          <w:rFonts w:hint="eastAsia" w:ascii="仿宋_GB2312" w:hAnsi="sans-serif" w:eastAsia="仿宋_GB2312" w:cs="仿宋_GB2312"/>
          <w:i w:val="0"/>
          <w:iCs w:val="0"/>
          <w:caps w:val="0"/>
          <w:color w:val="000000"/>
          <w:spacing w:val="0"/>
          <w:sz w:val="32"/>
          <w:szCs w:val="32"/>
        </w:rPr>
        <w:t>件滕州政协提案，均已办结。</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4.开展政务公开创新方面。滕州市工业和信息化局采取线上线下相结合等方式，不断创新公开形式，完善公开目录，保障信息公开工作的完整性。</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5.本单位政府信息公开工作年度报告数据统计需要说明的事项：无。</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6.其他有关文件专门要求通过政府信息公开工作年度报告予以报告的事项：无。</w:t>
      </w:r>
    </w:p>
    <w:p>
      <w:pPr>
        <w:pStyle w:val="7"/>
        <w:keepNext w:val="0"/>
        <w:keepLines w:val="0"/>
        <w:pageBreakBefore w:val="0"/>
        <w:widowControl/>
        <w:suppressLineNumbers w:val="0"/>
        <w:kinsoku/>
        <w:wordWrap/>
        <w:overflowPunct/>
        <w:topLinePunct w:val="0"/>
        <w:autoSpaceDE/>
        <w:autoSpaceDN/>
        <w:bidi w:val="0"/>
        <w:adjustRightInd/>
        <w:snapToGrid/>
        <w:spacing w:line="600" w:lineRule="atLeast"/>
        <w:ind w:left="0"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7.本报告的电子版可在“中国滕州网”（www.tengzhou.gov.cn）网站查询和下载。如对本报告有任何疑问，请与滕州市工业和信息化局综合法规科联系。（地址：山东省滕州市北辛中路政务中心0529房间，联系电话：0632—5502160，电子邮箱：tzjxjzhk@163.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Y2MyMWZhNGY4OTcyOWQzYWM0YjhlMjAxM2RlODQifQ=="/>
  </w:docVars>
  <w:rsids>
    <w:rsidRoot w:val="00000000"/>
    <w:rsid w:val="00B5373B"/>
    <w:rsid w:val="02232ACA"/>
    <w:rsid w:val="0324475C"/>
    <w:rsid w:val="03A320AB"/>
    <w:rsid w:val="057B7A05"/>
    <w:rsid w:val="05CF793B"/>
    <w:rsid w:val="06490DA5"/>
    <w:rsid w:val="07E51502"/>
    <w:rsid w:val="0A5A5CE7"/>
    <w:rsid w:val="0C541CC6"/>
    <w:rsid w:val="0C810032"/>
    <w:rsid w:val="0DC45C7F"/>
    <w:rsid w:val="0EAD0922"/>
    <w:rsid w:val="0EBF3DF5"/>
    <w:rsid w:val="0ED4186F"/>
    <w:rsid w:val="0F977B31"/>
    <w:rsid w:val="11162173"/>
    <w:rsid w:val="11360C84"/>
    <w:rsid w:val="12A644BF"/>
    <w:rsid w:val="149B66DD"/>
    <w:rsid w:val="18721A3A"/>
    <w:rsid w:val="18874ECB"/>
    <w:rsid w:val="1B112B91"/>
    <w:rsid w:val="1D3846F6"/>
    <w:rsid w:val="1E0068A1"/>
    <w:rsid w:val="1ED41333"/>
    <w:rsid w:val="1EFA0DBC"/>
    <w:rsid w:val="206A4930"/>
    <w:rsid w:val="22617B2B"/>
    <w:rsid w:val="22794E74"/>
    <w:rsid w:val="228F28EA"/>
    <w:rsid w:val="24A50EE7"/>
    <w:rsid w:val="24F20F0E"/>
    <w:rsid w:val="256708C6"/>
    <w:rsid w:val="27851763"/>
    <w:rsid w:val="28956780"/>
    <w:rsid w:val="28A71BB2"/>
    <w:rsid w:val="28C606E7"/>
    <w:rsid w:val="2B3B360F"/>
    <w:rsid w:val="2F616747"/>
    <w:rsid w:val="31BB1031"/>
    <w:rsid w:val="32D714C8"/>
    <w:rsid w:val="32EB4869"/>
    <w:rsid w:val="3390372F"/>
    <w:rsid w:val="33AF4B9A"/>
    <w:rsid w:val="34FF56AD"/>
    <w:rsid w:val="350B21A2"/>
    <w:rsid w:val="35415CC5"/>
    <w:rsid w:val="35CB37E1"/>
    <w:rsid w:val="3614665A"/>
    <w:rsid w:val="36A74218"/>
    <w:rsid w:val="374E46CA"/>
    <w:rsid w:val="375C34D6"/>
    <w:rsid w:val="39B90520"/>
    <w:rsid w:val="3A5B630E"/>
    <w:rsid w:val="3AF92B9E"/>
    <w:rsid w:val="3D624A2B"/>
    <w:rsid w:val="3DD53A7C"/>
    <w:rsid w:val="3E164772"/>
    <w:rsid w:val="3EF21DDE"/>
    <w:rsid w:val="42832E2D"/>
    <w:rsid w:val="42AC4C0A"/>
    <w:rsid w:val="4A1C2405"/>
    <w:rsid w:val="4AE40A60"/>
    <w:rsid w:val="4AEC1DD8"/>
    <w:rsid w:val="4BFC604B"/>
    <w:rsid w:val="4C080E93"/>
    <w:rsid w:val="4D7C3CFA"/>
    <w:rsid w:val="4DA50D3D"/>
    <w:rsid w:val="4DCC07AF"/>
    <w:rsid w:val="50E22C1F"/>
    <w:rsid w:val="536A616D"/>
    <w:rsid w:val="546926EB"/>
    <w:rsid w:val="54A13C33"/>
    <w:rsid w:val="56210428"/>
    <w:rsid w:val="568578F8"/>
    <w:rsid w:val="57A355B7"/>
    <w:rsid w:val="59087C19"/>
    <w:rsid w:val="592926F2"/>
    <w:rsid w:val="5C2313A4"/>
    <w:rsid w:val="5C891B7C"/>
    <w:rsid w:val="5EFD263A"/>
    <w:rsid w:val="60922013"/>
    <w:rsid w:val="60FA4DF7"/>
    <w:rsid w:val="60FC29B3"/>
    <w:rsid w:val="61C63D38"/>
    <w:rsid w:val="62137DCA"/>
    <w:rsid w:val="643575AD"/>
    <w:rsid w:val="66C33328"/>
    <w:rsid w:val="68A4312B"/>
    <w:rsid w:val="6C7D4B2E"/>
    <w:rsid w:val="6E6C09B6"/>
    <w:rsid w:val="7055578D"/>
    <w:rsid w:val="71237BC5"/>
    <w:rsid w:val="717A163C"/>
    <w:rsid w:val="728D3603"/>
    <w:rsid w:val="72DC6200"/>
    <w:rsid w:val="7315161C"/>
    <w:rsid w:val="73CD7F8D"/>
    <w:rsid w:val="74945D2F"/>
    <w:rsid w:val="74A52E74"/>
    <w:rsid w:val="76A35191"/>
    <w:rsid w:val="7BA6526A"/>
    <w:rsid w:val="7D3B5AC2"/>
    <w:rsid w:val="7D6F1D83"/>
    <w:rsid w:val="7F6820BF"/>
    <w:rsid w:val="D267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仿宋_GB2312" w:hAnsi="仿宋_GB2312" w:eastAsia="仿宋_GB2312" w:cstheme="minorBidi"/>
      <w:sz w:val="32"/>
      <w:szCs w:val="22"/>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eastAsia="宋体" w:asciiTheme="minorAscii" w:hAnsiTheme="minorAscii"/>
      <w:b/>
      <w:color w:val="1E386B" w:themeColor="accent1" w:themeShade="80"/>
      <w:kern w:val="44"/>
      <w:sz w:val="30"/>
      <w:szCs w:val="24"/>
      <w:lang w:val="en-US" w:eastAsia="zh-CN" w:bidi="ar-SA"/>
    </w:rPr>
  </w:style>
  <w:style w:type="paragraph" w:styleId="3">
    <w:name w:val="heading 2"/>
    <w:basedOn w:val="1"/>
    <w:next w:val="1"/>
    <w:semiHidden/>
    <w:unhideWhenUsed/>
    <w:qFormat/>
    <w:uiPriority w:val="0"/>
    <w:pPr>
      <w:keepNext/>
      <w:keepLines/>
      <w:spacing w:beforeLines="0" w:beforeAutospacing="0" w:afterLines="0" w:afterAutospacing="0" w:line="400" w:lineRule="exact"/>
      <w:ind w:firstLine="301" w:firstLineChars="100"/>
      <w:jc w:val="left"/>
      <w:outlineLvl w:val="1"/>
    </w:pPr>
    <w:rPr>
      <w:rFonts w:ascii="Arial" w:hAnsi="Arial" w:eastAsia="宋体"/>
      <w:b/>
      <w:color w:val="1E386B" w:themeColor="accent1" w:themeShade="80"/>
      <w:sz w:val="28"/>
    </w:rPr>
  </w:style>
  <w:style w:type="paragraph" w:styleId="4">
    <w:name w:val="heading 3"/>
    <w:basedOn w:val="1"/>
    <w:next w:val="1"/>
    <w:semiHidden/>
    <w:unhideWhenUsed/>
    <w:qFormat/>
    <w:uiPriority w:val="0"/>
    <w:pPr>
      <w:keepNext/>
      <w:keepLines/>
      <w:spacing w:beforeLines="0" w:beforeAutospacing="0" w:afterLines="0" w:afterAutospacing="0" w:line="240" w:lineRule="auto"/>
      <w:jc w:val="left"/>
      <w:outlineLvl w:val="2"/>
    </w:pPr>
    <w:rPr>
      <w:rFonts w:asciiTheme="minorAscii" w:hAnsiTheme="minorAscii"/>
      <w:b/>
      <w:color w:val="238F86" w:themeColor="accent5" w:themeShade="BF"/>
      <w14:shadow w14:blurRad="60007" w14:dist="200025" w14:dir="15000000" w14:sx="100000" w14:sy="30000" w14:kx="-1800000" w14:ky="0" w14:algn="bl">
        <w14:srgbClr w14:val="000000">
          <w14:alpha w14:val="68000"/>
        </w14:srgbClr>
      </w14:shadow>
      <w14:textFill>
        <w14:gradFill>
          <w14:gsLst>
            <w14:gs w14:pos="0">
              <w14:srgbClr w14:val="FE4444"/>
            </w14:gs>
            <w14:gs w14:pos="100000">
              <w14:srgbClr w14:val="832B2B"/>
            </w14:gs>
          </w14:gsLst>
          <w14:lin w14:ang="5400000" w14:scaled="0"/>
        </w14:gradFill>
      </w14:textFill>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'[新建XLSX 工作表.xlsx]Sheet1'!$B$1</c:f>
              <c:strCache>
                <c:ptCount val="1"/>
                <c:pt idx="0">
                  <c:v>局官方网站</c:v>
                </c:pt>
              </c:strCache>
            </c:strRef>
          </c:tx>
          <c:spPr>
            <a:solidFill>
              <a:schemeClr val="accent1"/>
            </a:solidFill>
            <a:ln>
              <a:noFill/>
            </a:ln>
            <a:effectLst/>
          </c:spPr>
          <c:invertIfNegative val="0"/>
          <c:dLbls>
            <c:delete val="1"/>
          </c:dLbls>
          <c:cat>
            <c:strRef>
              <c:f>'[新建XLSX 工作表.xlsx]Sheet1'!$A$2:$A$6</c:f>
              <c:strCache>
                <c:ptCount val="5"/>
                <c:pt idx="0">
                  <c:v>工作动态</c:v>
                </c:pt>
                <c:pt idx="1">
                  <c:v>公告通知</c:v>
                </c:pt>
                <c:pt idx="2">
                  <c:v>工信信息</c:v>
                </c:pt>
                <c:pt idx="3">
                  <c:v>经济运行</c:v>
                </c:pt>
                <c:pt idx="4">
                  <c:v>政策文件</c:v>
                </c:pt>
              </c:strCache>
            </c:strRef>
          </c:cat>
          <c:val>
            <c:numRef>
              <c:f>'[新建XLSX 工作表.xlsx]Sheet1'!$B$2:$B$6</c:f>
              <c:numCache>
                <c:formatCode>General</c:formatCode>
                <c:ptCount val="5"/>
                <c:pt idx="0">
                  <c:v>105</c:v>
                </c:pt>
                <c:pt idx="1">
                  <c:v>30</c:v>
                </c:pt>
                <c:pt idx="2">
                  <c:v>55</c:v>
                </c:pt>
                <c:pt idx="3">
                  <c:v>7</c:v>
                </c:pt>
                <c:pt idx="4">
                  <c:v>7</c:v>
                </c:pt>
              </c:numCache>
            </c:numRef>
          </c:val>
        </c:ser>
        <c:dLbls>
          <c:showLegendKey val="0"/>
          <c:showVal val="0"/>
          <c:showCatName val="0"/>
          <c:showSerName val="0"/>
          <c:showPercent val="0"/>
          <c:showBubbleSize val="0"/>
        </c:dLbls>
        <c:gapWidth val="246"/>
        <c:overlap val="-28"/>
        <c:axId val="710739778"/>
        <c:axId val="538695082"/>
      </c:barChart>
      <c:catAx>
        <c:axId val="710739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695082"/>
        <c:crosses val="autoZero"/>
        <c:auto val="1"/>
        <c:lblAlgn val="ctr"/>
        <c:lblOffset val="100"/>
        <c:noMultiLvlLbl val="0"/>
      </c:catAx>
      <c:valAx>
        <c:axId val="53869508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07397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2910</Words>
  <Characters>3035</Characters>
  <Lines>1</Lines>
  <Paragraphs>1</Paragraphs>
  <TotalTime>400</TotalTime>
  <ScaleCrop>false</ScaleCrop>
  <LinksUpToDate>false</LinksUpToDate>
  <CharactersWithSpaces>4449</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2023-02-10T16:27:00Z</dcterms:created>
  <dc:creator>Administrator</dc:creator>
  <cp:lastModifiedBy>User</cp:lastModifiedBy>
  <dcterms:modified xsi:type="dcterms:W3CDTF">2026-02-11T14:36:07Z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F2C30CFB3F444ABC9D9EBD4D036D6E6E</vt:lpwstr>
  </property>
</Properties>
</file>