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DE3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滕州市城乡水务局</w:t>
      </w:r>
    </w:p>
    <w:p w14:paraId="07208A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eastAsia="zh-CN"/>
        </w:rPr>
        <w:t>0</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年政府信息公开年度报告</w:t>
      </w:r>
    </w:p>
    <w:p w14:paraId="493E55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09DE1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根据《中华人民共和国政府信息公开条例》《山东省政府信息公开办法》和省政府办公厅、枣庄市政府办公室、滕州市政府办公室通知要求，特编制滕州市城乡水务局2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年政府信息公开年度报告并向社会公布。本报告中所列数据的统计期限自2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年1月1日起至2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年12月31日止。</w:t>
      </w:r>
    </w:p>
    <w:p w14:paraId="6E27F8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5F5065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局高度重视政府信息公开工作，认真学习《中华人民共和国政府信息公开条例》和省、市政府信息公开工作会议精神，完善信息公开组织机构建设，遵循公开、公平、便民的原则，深化政府信息公开内容，规范政府信息公开程序，切实保障群众的知情权、参与权和监督权。</w:t>
      </w:r>
    </w:p>
    <w:p w14:paraId="210FACF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（一）政府信息主动公开情况</w:t>
      </w:r>
    </w:p>
    <w:p w14:paraId="3BF73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lang w:eastAsia="zh-CN"/>
        </w:rPr>
      </w:pPr>
      <w:r>
        <w:rPr>
          <w:rFonts w:hint="eastAsia" w:eastAsiaTheme="minorEastAsia"/>
          <w:lang w:eastAsia="zh-CN"/>
        </w:rPr>
        <w:drawing>
          <wp:inline distT="0" distB="0" distL="114300" distR="114300">
            <wp:extent cx="4806315" cy="2736215"/>
            <wp:effectExtent l="0" t="0" r="1333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4806315" cy="2736215"/>
                    </a:xfrm>
                    <a:prstGeom prst="rect">
                      <a:avLst/>
                    </a:prstGeom>
                  </pic:spPr>
                </pic:pic>
              </a:graphicData>
            </a:graphic>
          </wp:inline>
        </w:drawing>
      </w:r>
    </w:p>
    <w:p w14:paraId="43BAD1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条，其中通知公告</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条、政策文件信息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条、规划计划信息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条、财政信息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条、行政权力信息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条、建议提案信息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条、重点领域信息</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条、组织管理信息</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条。2023年全年滕州市城乡水务局门户网站</w:t>
      </w:r>
      <w:r>
        <w:rPr>
          <w:rFonts w:hint="eastAsia" w:ascii="仿宋_GB2312" w:hAnsi="仿宋_GB2312" w:eastAsia="仿宋_GB2312" w:cs="仿宋_GB2312"/>
          <w:sz w:val="32"/>
          <w:szCs w:val="32"/>
          <w:lang w:eastAsia="zh-CN"/>
        </w:rPr>
        <w:t>发布信息</w:t>
      </w:r>
      <w:r>
        <w:rPr>
          <w:rFonts w:hint="eastAsia" w:ascii="仿宋_GB2312" w:hAnsi="仿宋_GB2312" w:eastAsia="仿宋_GB2312" w:cs="仿宋_GB2312"/>
          <w:sz w:val="32"/>
          <w:szCs w:val="32"/>
          <w:lang w:val="en-US" w:eastAsia="zh-CN"/>
        </w:rPr>
        <w:t>305条</w:t>
      </w:r>
      <w:r>
        <w:rPr>
          <w:rFonts w:hint="eastAsia" w:ascii="仿宋_GB2312" w:hAnsi="仿宋_GB2312" w:eastAsia="仿宋_GB2312" w:cs="仿宋_GB2312"/>
          <w:sz w:val="32"/>
          <w:szCs w:val="32"/>
          <w:lang w:eastAsia="zh-CN"/>
        </w:rPr>
        <w:t>，“滕州水务”微信公众号发布信息</w:t>
      </w:r>
      <w:r>
        <w:rPr>
          <w:rFonts w:hint="eastAsia" w:ascii="仿宋_GB2312" w:hAnsi="仿宋_GB2312" w:eastAsia="仿宋_GB2312" w:cs="仿宋_GB2312"/>
          <w:sz w:val="32"/>
          <w:szCs w:val="32"/>
          <w:lang w:val="en-US" w:eastAsia="zh-CN"/>
        </w:rPr>
        <w:t>52条。</w:t>
      </w:r>
    </w:p>
    <w:p w14:paraId="1653F5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（二）政府信息依申请公开情况</w:t>
      </w:r>
    </w:p>
    <w:p w14:paraId="6999A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eastAsia="仿宋_GB2312" w:asciiTheme="majorEastAsia" w:hAnsiTheme="majorEastAsia" w:cstheme="majorEastAsia"/>
          <w:sz w:val="32"/>
          <w:szCs w:val="32"/>
          <w:lang w:eastAsia="zh-CN"/>
        </w:rPr>
        <w:drawing>
          <wp:inline distT="0" distB="0" distL="114300" distR="114300">
            <wp:extent cx="4806315" cy="2736215"/>
            <wp:effectExtent l="0" t="0" r="1333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4806315" cy="2736215"/>
                    </a:xfrm>
                    <a:prstGeom prst="rect">
                      <a:avLst/>
                    </a:prstGeom>
                  </pic:spPr>
                </pic:pic>
              </a:graphicData>
            </a:graphic>
          </wp:inline>
        </w:drawing>
      </w:r>
    </w:p>
    <w:p w14:paraId="12C32F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市城乡水务局受理依申请公开</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件，全部按时限要求办结，其中予以公开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件，部分公开</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件，不予公开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件，无法提供</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件，不予处理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件，转结下年度继续办理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与2022年相比增加</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rPr>
        <w:t>本年度无因政府信息公开申请提起行政复议、行政诉讼情况。</w:t>
      </w:r>
    </w:p>
    <w:p w14:paraId="03772E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（三）政府信息管理情况</w:t>
      </w:r>
    </w:p>
    <w:p w14:paraId="02ED43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形成“主要领导亲自抓、分管领导具体抓、机关科室合力抓、专人负责抓落实”的工作机制，认真落实“决策、执行、管理、服务、结果公开”，将“五公开”纳入办文、办事和办会程序。动态扩展公开内容，结合群众关注的重点热点问题，定期对公开内容进行梳理。严格把关政府信息公开内容审查，市城乡水务局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年度无违反规定和失泄密情况。</w:t>
      </w:r>
    </w:p>
    <w:p w14:paraId="2DEDF2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（四）政府信息平台建设情况</w:t>
      </w:r>
    </w:p>
    <w:p w14:paraId="4B7F56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加强网站内容建设，规范栏目设置，健全用户信息保护制度，强化信息搜索、办理服务功能，做好政务公开网站与滕州市城乡水务局网站联动关系，做到多平台、多栏目、多渠道同步更新。</w:t>
      </w:r>
    </w:p>
    <w:p w14:paraId="2850F1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楷体_GB2312" w:hAnsi="楷体_GB2312" w:eastAsia="楷体_GB2312" w:cs="楷体_GB2312"/>
          <w:sz w:val="32"/>
          <w:szCs w:val="32"/>
        </w:rPr>
        <w:t>（五）监督保障情况</w:t>
      </w:r>
    </w:p>
    <w:p w14:paraId="5D9A4C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做好信息公开和宣传经费保障工作，严格按照信息发布流程开展工作，研究制定公开考核、评议、责任追究和监督检查办法，参加市级信息公开培训，推进和规范政府信息公开工作。2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年度参与滕州市部门政务公开绩效考核，未进行社会评议，未发生责任追究情况。</w:t>
      </w:r>
    </w:p>
    <w:p w14:paraId="1EA542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78"/>
        <w:gridCol w:w="2178"/>
        <w:gridCol w:w="2179"/>
        <w:gridCol w:w="2179"/>
      </w:tblGrid>
      <w:tr w14:paraId="36D118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820" w:type="dxa"/>
            <w:gridSpan w:val="4"/>
            <w:tcBorders>
              <w:top w:val="single" w:color="auto" w:sz="6" w:space="0"/>
              <w:left w:val="single" w:color="auto" w:sz="6" w:space="0"/>
              <w:bottom w:val="single" w:color="auto" w:sz="6" w:space="0"/>
              <w:right w:val="single" w:color="000000" w:sz="6" w:space="0"/>
            </w:tcBorders>
            <w:shd w:val="clear" w:color="auto" w:fill="C6D9F1"/>
            <w:tcMar>
              <w:left w:w="105" w:type="dxa"/>
              <w:right w:w="105" w:type="dxa"/>
            </w:tcMar>
            <w:vAlign w:val="center"/>
          </w:tcPr>
          <w:p w14:paraId="7675A9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黑体" w:hAnsi="宋体" w:eastAsia="黑体" w:cs="黑体"/>
                <w:i w:val="0"/>
                <w:iCs w:val="0"/>
                <w:caps w:val="0"/>
                <w:color w:val="000000"/>
                <w:spacing w:val="0"/>
                <w:sz w:val="24"/>
                <w:szCs w:val="24"/>
              </w:rPr>
              <w:t>第二十条第（一）项</w:t>
            </w:r>
          </w:p>
        </w:tc>
      </w:tr>
      <w:tr w14:paraId="5DE7B9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B12A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ascii="仿宋_GB2312" w:hAnsi="ÃƒÂ¥Ã‚Â¾Ã‚Â®ÃƒÂ¨Ã‚Â½Ã‚Â¯ÃƒÂ©Ã¢â" w:eastAsia="仿宋_GB2312" w:cs="仿宋_GB2312"/>
                <w:i w:val="0"/>
                <w:iCs w:val="0"/>
                <w:caps w:val="0"/>
                <w:color w:val="000000"/>
                <w:spacing w:val="0"/>
                <w:sz w:val="24"/>
                <w:szCs w:val="24"/>
              </w:rPr>
              <w:t>信息内容</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68AB2B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本年制发件数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37E56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本年废止件数</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61F7C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现行有效件数</w:t>
            </w:r>
          </w:p>
        </w:tc>
      </w:tr>
      <w:tr w14:paraId="04F4DD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B782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规章</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19A41A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1907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5C4C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763496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7BB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行政规范性文件</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BA90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2A3A38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宋体" w:hAnsi="宋体" w:eastAsia="宋体" w:cs="宋体"/>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rPr>
              <w:t>　</w:t>
            </w:r>
            <w:r>
              <w:rPr>
                <w:rFonts w:hint="eastAsia" w:ascii="仿宋_GB2312" w:hAnsi="ÃƒÂ¥Ã‚Â¾Ã‚Â®ÃƒÂ¨Ã‚Â½Ã‚Â¯ÃƒÂ©Ã¢â" w:eastAsia="仿宋_GB2312" w:cs="仿宋_GB2312"/>
                <w:i w:val="0"/>
                <w:iCs w:val="0"/>
                <w:caps w:val="0"/>
                <w:color w:val="000000"/>
                <w:spacing w:val="0"/>
                <w:sz w:val="24"/>
                <w:szCs w:val="24"/>
                <w:lang w:eastAsia="zh-CN"/>
              </w:rPr>
              <w:t>0</w:t>
            </w:r>
          </w:p>
        </w:tc>
        <w:tc>
          <w:tcPr>
            <w:tcW w:w="2205" w:type="dxa"/>
            <w:tcBorders>
              <w:top w:val="nil"/>
              <w:left w:val="nil"/>
              <w:bottom w:val="single" w:color="auto" w:sz="6" w:space="0"/>
              <w:right w:val="single" w:color="auto" w:sz="6" w:space="0"/>
            </w:tcBorders>
            <w:shd w:val="clear" w:color="auto" w:fill="FFFFFF"/>
            <w:tcMar>
              <w:left w:w="105" w:type="dxa"/>
              <w:right w:w="105" w:type="dxa"/>
            </w:tcMar>
            <w:vAlign w:val="center"/>
          </w:tcPr>
          <w:p w14:paraId="0CC86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6E8617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4E46C5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第二十条第（五）项</w:t>
            </w:r>
          </w:p>
        </w:tc>
      </w:tr>
      <w:tr w14:paraId="43E961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44E5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37CADB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14:paraId="3F19E1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3D6A9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行政许可</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39E2DD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597C14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02EAB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第二十条第（六）项</w:t>
            </w:r>
          </w:p>
        </w:tc>
      </w:tr>
      <w:tr w14:paraId="0CB8DB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9727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2B8246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本年处理决定数量</w:t>
            </w:r>
          </w:p>
        </w:tc>
      </w:tr>
      <w:tr w14:paraId="00CCBD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5D0B5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行政处罚</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70CB5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lang w:val="en-US" w:eastAsia="zh-CN"/>
              </w:rPr>
              <w:t>1</w:t>
            </w:r>
          </w:p>
        </w:tc>
      </w:tr>
      <w:tr w14:paraId="24C80C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1B31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行政强制</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43BC7A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eastAsia" w:eastAsia="仿宋_GB2312"/>
                <w:sz w:val="24"/>
                <w:szCs w:val="24"/>
                <w:lang w:eastAsia="zh-CN"/>
              </w:rPr>
            </w:pPr>
            <w:r>
              <w:rPr>
                <w:rFonts w:hint="eastAsia" w:ascii="仿宋_GB2312" w:hAnsi="ÃƒÂ¥Ã‚Â¾Ã‚Â®ÃƒÂ¨Ã‚Â½Ã‚Â¯ÃƒÂ©Ã¢â" w:eastAsia="仿宋_GB2312" w:cs="仿宋_GB2312"/>
                <w:i w:val="0"/>
                <w:iCs w:val="0"/>
                <w:caps w:val="0"/>
                <w:color w:val="000000"/>
                <w:spacing w:val="0"/>
                <w:sz w:val="24"/>
                <w:szCs w:val="24"/>
                <w:lang w:eastAsia="zh-CN"/>
              </w:rPr>
              <w:t>0</w:t>
            </w:r>
          </w:p>
        </w:tc>
      </w:tr>
      <w:tr w14:paraId="7C5D95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820" w:type="dxa"/>
            <w:gridSpan w:val="4"/>
            <w:tcBorders>
              <w:top w:val="nil"/>
              <w:left w:val="single" w:color="auto" w:sz="6" w:space="0"/>
              <w:bottom w:val="single" w:color="auto" w:sz="6" w:space="0"/>
              <w:right w:val="single" w:color="000000" w:sz="6" w:space="0"/>
            </w:tcBorders>
            <w:shd w:val="clear" w:color="auto" w:fill="C6D9F1"/>
            <w:tcMar>
              <w:left w:w="105" w:type="dxa"/>
              <w:right w:w="105" w:type="dxa"/>
            </w:tcMar>
            <w:vAlign w:val="center"/>
          </w:tcPr>
          <w:p w14:paraId="5CE0B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黑体" w:hAnsi="宋体" w:eastAsia="黑体" w:cs="黑体"/>
                <w:i w:val="0"/>
                <w:iCs w:val="0"/>
                <w:caps w:val="0"/>
                <w:color w:val="000000"/>
                <w:spacing w:val="0"/>
                <w:sz w:val="24"/>
                <w:szCs w:val="24"/>
              </w:rPr>
              <w:t>第二十条第（八）项</w:t>
            </w:r>
          </w:p>
        </w:tc>
      </w:tr>
      <w:tr w14:paraId="576B1D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7"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C9E3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信息内容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3A330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sz w:val="24"/>
                <w:szCs w:val="24"/>
              </w:rPr>
            </w:pPr>
            <w:r>
              <w:rPr>
                <w:rFonts w:hint="eastAsia" w:ascii="仿宋_GB2312" w:hAnsi="ÃƒÂ¥Ã‚Â¾Ã‚Â®ÃƒÂ¨Ã‚Â½Ã‚Â¯ÃƒÂ©Ã¢â" w:eastAsia="仿宋_GB2312" w:cs="仿宋_GB2312"/>
                <w:i w:val="0"/>
                <w:iCs w:val="0"/>
                <w:caps w:val="0"/>
                <w:color w:val="000000"/>
                <w:spacing w:val="0"/>
                <w:sz w:val="24"/>
                <w:szCs w:val="24"/>
              </w:rPr>
              <w:t>本年收费金额（单位：</w:t>
            </w:r>
            <w:r>
              <w:rPr>
                <w:rFonts w:hint="eastAsia" w:ascii="仿宋_GB2312" w:hAnsi="ÃƒÂ¥Ã‚Â¾Ã‚Â®ÃƒÂ¨Ã‚Â½Ã‚Â¯ÃƒÂ©Ã¢â" w:eastAsia="仿宋_GB2312" w:cs="仿宋_GB2312"/>
                <w:i w:val="0"/>
                <w:iCs w:val="0"/>
                <w:caps w:val="0"/>
                <w:color w:val="000000"/>
                <w:spacing w:val="0"/>
                <w:sz w:val="24"/>
                <w:szCs w:val="24"/>
                <w:highlight w:val="none"/>
              </w:rPr>
              <w:t>万元</w:t>
            </w:r>
            <w:r>
              <w:rPr>
                <w:rFonts w:hint="eastAsia" w:ascii="仿宋_GB2312" w:hAnsi="ÃƒÂ¥Ã‚Â¾Ã‚Â®ÃƒÂ¨Ã‚Â½Ã‚Â¯ÃƒÂ©Ã¢â" w:eastAsia="仿宋_GB2312" w:cs="仿宋_GB2312"/>
                <w:i w:val="0"/>
                <w:iCs w:val="0"/>
                <w:caps w:val="0"/>
                <w:color w:val="000000"/>
                <w:spacing w:val="0"/>
                <w:sz w:val="24"/>
                <w:szCs w:val="24"/>
              </w:rPr>
              <w:t>）</w:t>
            </w:r>
          </w:p>
        </w:tc>
      </w:tr>
      <w:tr w14:paraId="62962C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2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41F96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left"/>
              <w:rPr>
                <w:sz w:val="24"/>
                <w:szCs w:val="24"/>
              </w:rPr>
            </w:pPr>
            <w:r>
              <w:rPr>
                <w:rFonts w:hint="eastAsia" w:ascii="仿宋_GB2312" w:hAnsi="ÃƒÂ¥Ã‚Â¾Ã‚Â®ÃƒÂ¨Ã‚Â½Ã‚Â¯ÃƒÂ©Ã¢â" w:eastAsia="仿宋_GB2312" w:cs="仿宋_GB2312"/>
                <w:i w:val="0"/>
                <w:iCs w:val="0"/>
                <w:caps w:val="0"/>
                <w:color w:val="000000"/>
                <w:spacing w:val="0"/>
                <w:sz w:val="24"/>
                <w:szCs w:val="24"/>
              </w:rPr>
              <w:t>行政事业性收费</w:t>
            </w:r>
          </w:p>
        </w:tc>
        <w:tc>
          <w:tcPr>
            <w:tcW w:w="6615"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14:paraId="6FE40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6" w:lineRule="atLeast"/>
              <w:ind w:left="0" w:right="0"/>
              <w:jc w:val="center"/>
              <w:rPr>
                <w:rFonts w:hint="default" w:eastAsia="仿宋_GB2312"/>
                <w:sz w:val="24"/>
                <w:szCs w:val="24"/>
                <w:lang w:val="en-US" w:eastAsia="zh-CN"/>
              </w:rPr>
            </w:pPr>
            <w:r>
              <w:rPr>
                <w:rFonts w:hint="eastAsia" w:ascii="仿宋_GB2312" w:hAnsi="ÃƒÂ¥Ã‚Â¾Ã‚Â®ÃƒÂ¨Ã‚Â½Ã‚Â¯ÃƒÂ©Ã¢â" w:eastAsia="仿宋_GB2312" w:cs="仿宋_GB2312"/>
                <w:i w:val="0"/>
                <w:iCs w:val="0"/>
                <w:caps w:val="0"/>
                <w:color w:val="000000"/>
                <w:spacing w:val="0"/>
                <w:sz w:val="24"/>
                <w:szCs w:val="24"/>
                <w:lang w:val="en-US" w:eastAsia="zh-CN"/>
              </w:rPr>
              <w:t>0</w:t>
            </w:r>
          </w:p>
        </w:tc>
      </w:tr>
    </w:tbl>
    <w:p w14:paraId="3F8CE3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4"/>
        <w:gridCol w:w="1124"/>
        <w:gridCol w:w="2014"/>
        <w:gridCol w:w="562"/>
        <w:gridCol w:w="645"/>
        <w:gridCol w:w="645"/>
        <w:gridCol w:w="804"/>
        <w:gridCol w:w="804"/>
        <w:gridCol w:w="481"/>
        <w:gridCol w:w="481"/>
      </w:tblGrid>
      <w:tr w14:paraId="1F117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0" w:type="auto"/>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70C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（本列数据的勾稽关系为：第一项加第二项之和，等于第三项加第四项之和）</w:t>
            </w:r>
          </w:p>
        </w:tc>
        <w:tc>
          <w:tcPr>
            <w:tcW w:w="4422"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7296C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申请人情况</w:t>
            </w:r>
          </w:p>
        </w:tc>
      </w:tr>
      <w:tr w14:paraId="1DAB61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EC92D2">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632332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自然人</w:t>
            </w:r>
          </w:p>
        </w:tc>
        <w:tc>
          <w:tcPr>
            <w:tcW w:w="0" w:type="auto"/>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60C4E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法人或其他组织</w:t>
            </w:r>
          </w:p>
        </w:tc>
        <w:tc>
          <w:tcPr>
            <w:tcW w:w="48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F40F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14:paraId="0DFA2B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E041AA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882769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66EB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商业企业</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F4465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科研机构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182E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社会公益组织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95CB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法律服务机构</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BE430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w:t>
            </w:r>
          </w:p>
        </w:tc>
        <w:tc>
          <w:tcPr>
            <w:tcW w:w="48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FCC7B13">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r>
      <w:tr w14:paraId="759D8D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085B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一、本年新收政府信息公开申请数量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F50F7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3E658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6E93E6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E0FE5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9AECB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4C79A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19C2BB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14:paraId="432CAC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668D9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二、上年结转政府信息公开申请数量</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37373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62340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D37F4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EEB5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5B59A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B337C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B7C2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6BEC6D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0" w:type="auto"/>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E10D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三、本年度办理结果</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BCFB6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ascii="楷体" w:hAnsi="楷体" w:eastAsia="楷体" w:cs="楷体"/>
                <w:i w:val="0"/>
                <w:iCs w:val="0"/>
                <w:caps w:val="0"/>
                <w:color w:val="000000"/>
                <w:spacing w:val="0"/>
                <w:sz w:val="19"/>
                <w:szCs w:val="19"/>
              </w:rPr>
              <w:t>（一）</w:t>
            </w:r>
            <w:r>
              <w:rPr>
                <w:rFonts w:hint="eastAsia" w:ascii="楷体" w:hAnsi="楷体" w:eastAsia="楷体" w:cs="楷体"/>
                <w:i w:val="0"/>
                <w:iCs w:val="0"/>
                <w:caps w:val="0"/>
                <w:color w:val="000000"/>
                <w:spacing w:val="0"/>
                <w:sz w:val="19"/>
                <w:szCs w:val="19"/>
                <w:lang w:val="en-US" w:eastAsia="zh-CN"/>
              </w:rPr>
              <w:t>予以</w:t>
            </w:r>
            <w:r>
              <w:rPr>
                <w:rFonts w:ascii="楷体" w:hAnsi="楷体" w:eastAsia="楷体" w:cs="楷体"/>
                <w:i w:val="0"/>
                <w:iCs w:val="0"/>
                <w:caps w:val="0"/>
                <w:color w:val="000000"/>
                <w:spacing w:val="0"/>
                <w:sz w:val="19"/>
                <w:szCs w:val="19"/>
              </w:rPr>
              <w:t>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10DA9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7ED18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FC697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232E0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1ED59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C50B4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CEE54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F2477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C023C7">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2101A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（二）部分公开（区分处理的，只计这一情形，不计其他情形）</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465A8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15234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6B699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83CF2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30897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0C30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00F63C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6524B1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554B2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65303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（三）不予公开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3A19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1.属于国家秘密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23201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0518A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80F1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D89B5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7D23E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93D590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220016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7B524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8417A5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000D73E3">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DDF0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2.其他法律行政法规禁止公开</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0752E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3FD7D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BBAB2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76F3D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05ACD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16907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6F296C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C56C2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678326">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C11814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B3456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3.危及“三安全一稳定”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C0043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DDDB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D393B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7959B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AB0D6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59ABE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1182FD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8B2D7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F28E34">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8C590F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388A0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4.保护第三方合法权益</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38F31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7B5D8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2BDC4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4CAFC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66716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56412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6A7CF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514370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49D12AF">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92C3CF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6A7C2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5.属于三类内部事务信息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A95F3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14A5E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5435A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AC523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03D3F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40FC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58293A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2A46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EF54C9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3CD1C90">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07921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6.属于四类过程性信息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2273B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7379B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3C1BD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C94FE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6E762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265A8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294C23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1E95F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CBAFB7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A1A934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F44BA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7.属于行政执法案卷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66AA3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D919B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E4EB3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DD8FC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DB6A4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D1FEC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0A4E81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7A28E8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0AADF0">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E1F0FD5">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53079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8.属于行政查询事项</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6D78E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8F845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198B3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4AD11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E61F5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BD8C4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5FEA4B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7D54DF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74EDB6">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A92D8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（四）无法提供</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2ADC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1.本机关不掌握相关政府信息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74B4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D89E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9D7AE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2E080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882E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37680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3BE521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14:paraId="44A8C5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78AE7E">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65605DB">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515ED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2.没有现成信息需要另行制作</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58F97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017A5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F8B02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8C4AF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D51AE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F251E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27C5D5C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0BDC0D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76698B">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3BEB1E2">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F68C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3.补正后申请内容仍不明确</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90DA1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AB4EE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33329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FF9A3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35007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9B22A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2A44CD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3AE20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90E6D4">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41944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（五）不予处理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559B8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1.信访举报投诉类申请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A1757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968FE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B7736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4904D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4BBE3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C409E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027F5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23D1D7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68BA06">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A6363FF">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B0F5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2.重复申请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130A6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3F777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548D38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E7DB5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E0E3D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345028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648603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4BE83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5A5DF8">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AE356C9">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98F40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3.要求提供公开出版物</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81D27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CCEF4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CD5C4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13655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850F9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E56D7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EA1F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0B475F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6C8D24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12E32EF0">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15343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4.无正当理由大量反复申请</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3C116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DDABC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0C4C4D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71DB4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A08ED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73027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6056C0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10AE4D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CA142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353607F0">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CBF7E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5.要求行政机关确认或重新出具已获取信息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D6967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693FE8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AE7EF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62CA2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5CAD7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0CA880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454667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32F495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A9880C">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2E312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（六）其他处理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79C2E6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88E95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479CB2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9C5F4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6E2B10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892B3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0FC0F0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r w14:paraId="4C0BBF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44A4626">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6382AD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楷体" w:hAnsi="楷体" w:eastAsia="楷体" w:cs="楷体"/>
                <w:i w:val="0"/>
                <w:iCs w:val="0"/>
                <w:caps w:val="0"/>
                <w:color w:val="000000"/>
                <w:spacing w:val="0"/>
                <w:sz w:val="19"/>
                <w:szCs w:val="19"/>
              </w:rPr>
              <w:t>（七）总计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69627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1D8672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273A72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28A16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866D4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568B8F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7B0FB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225" w:afterAutospacing="0" w:line="240" w:lineRule="auto"/>
              <w:ind w:left="0" w:right="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w:t>
            </w:r>
          </w:p>
        </w:tc>
      </w:tr>
      <w:tr w14:paraId="145D5F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46244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四、结转下年度继续办理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48E64A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34EEF0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14:paraId="7B43AD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3F2469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2073C7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14:paraId="18A181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c>
          <w:tcPr>
            <w:tcW w:w="481" w:type="dxa"/>
            <w:tcBorders>
              <w:top w:val="nil"/>
              <w:left w:val="nil"/>
              <w:bottom w:val="single" w:color="auto" w:sz="6" w:space="0"/>
              <w:right w:val="single" w:color="auto" w:sz="6" w:space="0"/>
            </w:tcBorders>
            <w:shd w:val="clear" w:color="auto" w:fill="FFFFFF"/>
            <w:tcMar>
              <w:left w:w="105" w:type="dxa"/>
              <w:right w:w="105" w:type="dxa"/>
            </w:tcMar>
            <w:vAlign w:val="center"/>
          </w:tcPr>
          <w:p w14:paraId="3CBCD8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0"/>
              <w:jc w:val="center"/>
              <w:textAlignment w:val="auto"/>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0</w:t>
            </w:r>
          </w:p>
        </w:tc>
      </w:tr>
    </w:tbl>
    <w:p w14:paraId="2921C2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pPr w:vertAnchor="text" w:tblpXSpec="left"/>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6"/>
        <w:gridCol w:w="576"/>
        <w:gridCol w:w="576"/>
        <w:gridCol w:w="576"/>
        <w:gridCol w:w="642"/>
        <w:gridCol w:w="536"/>
        <w:gridCol w:w="577"/>
        <w:gridCol w:w="577"/>
        <w:gridCol w:w="577"/>
        <w:gridCol w:w="590"/>
        <w:gridCol w:w="577"/>
        <w:gridCol w:w="577"/>
        <w:gridCol w:w="577"/>
        <w:gridCol w:w="577"/>
        <w:gridCol w:w="603"/>
      </w:tblGrid>
      <w:tr w14:paraId="381000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2F21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5F0C0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行政诉讼</w:t>
            </w:r>
          </w:p>
        </w:tc>
      </w:tr>
      <w:tr w14:paraId="783FFF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60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CDFB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7F363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71EBF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33A42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14:paraId="08A6F4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297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4156C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21F4CB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复议后起诉</w:t>
            </w:r>
          </w:p>
        </w:tc>
      </w:tr>
      <w:tr w14:paraId="471BE9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5" w:hRule="atLeast"/>
        </w:trPr>
        <w:tc>
          <w:tcPr>
            <w:tcW w:w="60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A37A12B">
            <w:pPr>
              <w:rPr>
                <w:rFonts w:hint="eastAsia"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9268324">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5D8DDF7D">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20E13526">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6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14:paraId="435AD18E">
            <w:pP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14:paraId="6C2B4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E1506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259087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50A99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5AE934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570A0B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结果维持</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4DDF7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结果纠正</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6D3BF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其他结果</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D2441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尚未审结</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4D69CA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19"/>
                <w:szCs w:val="19"/>
              </w:rPr>
              <w:t>总计</w:t>
            </w:r>
          </w:p>
        </w:tc>
      </w:tr>
      <w:tr w14:paraId="10E858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60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6BE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B3CA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470C7A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05AF3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14:paraId="53E6E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14:paraId="26C92D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72F5DE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08B96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3B58AE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0C99FA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8536D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0186A0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655EB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1685B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c>
          <w:tcPr>
            <w:tcW w:w="600" w:type="dxa"/>
            <w:tcBorders>
              <w:top w:val="nil"/>
              <w:left w:val="nil"/>
              <w:bottom w:val="single" w:color="auto" w:sz="6" w:space="0"/>
              <w:right w:val="single" w:color="auto" w:sz="6" w:space="0"/>
            </w:tcBorders>
            <w:shd w:val="clear" w:color="auto" w:fill="FFFFFF"/>
            <w:tcMar>
              <w:left w:w="105" w:type="dxa"/>
              <w:right w:w="105" w:type="dxa"/>
            </w:tcMar>
            <w:vAlign w:val="center"/>
          </w:tcPr>
          <w:p w14:paraId="423D71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left="0" w:right="0"/>
              <w:jc w:val="center"/>
              <w:rPr>
                <w:sz w:val="24"/>
                <w:szCs w:val="24"/>
              </w:rPr>
            </w:pPr>
            <w:r>
              <w:rPr>
                <w:rFonts w:hint="eastAsia" w:ascii="宋体" w:hAnsi="宋体" w:eastAsia="宋体" w:cs="宋体"/>
                <w:i w:val="0"/>
                <w:iCs w:val="0"/>
                <w:caps w:val="0"/>
                <w:color w:val="000000"/>
                <w:spacing w:val="0"/>
                <w:sz w:val="24"/>
                <w:szCs w:val="24"/>
              </w:rPr>
              <w:t>0</w:t>
            </w:r>
          </w:p>
        </w:tc>
      </w:tr>
    </w:tbl>
    <w:p w14:paraId="6EABDA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黑体" w:hAnsi="黑体" w:eastAsia="黑体" w:cs="黑体"/>
          <w:sz w:val="32"/>
          <w:szCs w:val="32"/>
        </w:rPr>
        <w:t>五、存在的主要问题及改进情况</w:t>
      </w:r>
    </w:p>
    <w:p w14:paraId="3590AE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滕州市城乡水务局政务公开工作存在的主要问题</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意见箱等渠道还需畅通</w:t>
      </w:r>
      <w:r>
        <w:rPr>
          <w:rFonts w:hint="eastAsia" w:ascii="仿宋_GB2312" w:hAnsi="仿宋_GB2312" w:eastAsia="仿宋_GB2312" w:cs="仿宋_GB2312"/>
          <w:sz w:val="32"/>
          <w:szCs w:val="32"/>
        </w:rPr>
        <w:t>、信息公开数量</w:t>
      </w:r>
      <w:r>
        <w:rPr>
          <w:rFonts w:hint="eastAsia" w:ascii="仿宋_GB2312" w:hAnsi="仿宋_GB2312" w:eastAsia="仿宋_GB2312" w:cs="仿宋_GB2312"/>
          <w:sz w:val="32"/>
          <w:szCs w:val="32"/>
          <w:lang w:eastAsia="zh-CN"/>
        </w:rPr>
        <w:t>不多</w:t>
      </w:r>
      <w:r>
        <w:rPr>
          <w:rFonts w:hint="eastAsia" w:ascii="仿宋_GB2312" w:hAnsi="仿宋_GB2312" w:eastAsia="仿宋_GB2312" w:cs="仿宋_GB2312"/>
          <w:sz w:val="32"/>
          <w:szCs w:val="32"/>
        </w:rPr>
        <w:t>等。</w:t>
      </w:r>
    </w:p>
    <w:p w14:paraId="209ABE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ajorEastAsia" w:hAnsiTheme="majorEastAsia" w:eastAsiaTheme="majorEastAsia" w:cstheme="majorEastAsia"/>
          <w:sz w:val="32"/>
          <w:szCs w:val="32"/>
        </w:rPr>
      </w:pPr>
      <w:r>
        <w:rPr>
          <w:rFonts w:hint="eastAsia" w:ascii="仿宋_GB2312" w:hAnsi="仿宋_GB2312" w:eastAsia="仿宋_GB2312" w:cs="仿宋_GB2312"/>
          <w:sz w:val="32"/>
          <w:szCs w:val="32"/>
        </w:rPr>
        <w:t>针对存在的问题，改进措施</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充分发挥意见箱</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监督电话</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作用，畅通</w:t>
      </w:r>
      <w:r>
        <w:rPr>
          <w:rFonts w:hint="eastAsia" w:ascii="仿宋_GB2312" w:hAnsi="仿宋_GB2312" w:eastAsia="仿宋_GB2312" w:cs="仿宋_GB2312"/>
          <w:sz w:val="32"/>
          <w:szCs w:val="32"/>
          <w:lang w:eastAsia="zh-CN"/>
        </w:rPr>
        <w:t>拓展</w:t>
      </w:r>
      <w:r>
        <w:rPr>
          <w:rFonts w:hint="eastAsia" w:ascii="仿宋_GB2312" w:hAnsi="仿宋_GB2312" w:eastAsia="仿宋_GB2312" w:cs="仿宋_GB2312"/>
          <w:sz w:val="32"/>
          <w:szCs w:val="32"/>
        </w:rPr>
        <w:t>各种沟通渠道，确保信息公开工作</w:t>
      </w:r>
      <w:r>
        <w:rPr>
          <w:rFonts w:hint="eastAsia" w:ascii="仿宋_GB2312" w:hAnsi="仿宋_GB2312" w:eastAsia="仿宋_GB2312" w:cs="仿宋_GB2312"/>
          <w:sz w:val="32"/>
          <w:szCs w:val="32"/>
          <w:lang w:eastAsia="zh-CN"/>
        </w:rPr>
        <w:t>有效开展；</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、丰富</w:t>
      </w:r>
      <w:r>
        <w:rPr>
          <w:rFonts w:hint="eastAsia" w:ascii="仿宋_GB2312" w:hAnsi="仿宋_GB2312" w:eastAsia="仿宋_GB2312" w:cs="仿宋_GB2312"/>
          <w:sz w:val="32"/>
          <w:szCs w:val="32"/>
        </w:rPr>
        <w:t>政府信息</w:t>
      </w:r>
      <w:r>
        <w:rPr>
          <w:rFonts w:hint="eastAsia" w:ascii="仿宋_GB2312" w:hAnsi="仿宋_GB2312" w:eastAsia="仿宋_GB2312" w:cs="仿宋_GB2312"/>
          <w:sz w:val="32"/>
          <w:szCs w:val="32"/>
          <w:lang w:eastAsia="zh-CN"/>
        </w:rPr>
        <w:t>公开内容，</w:t>
      </w:r>
      <w:r>
        <w:rPr>
          <w:rFonts w:hint="eastAsia" w:ascii="仿宋_GB2312" w:hAnsi="仿宋_GB2312" w:eastAsia="仿宋_GB2312" w:cs="仿宋_GB2312"/>
          <w:sz w:val="32"/>
          <w:szCs w:val="32"/>
        </w:rPr>
        <w:t>强化信息公开工作力度，健全完善制度机制，</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提升政府信息公开数量</w:t>
      </w:r>
      <w:r>
        <w:rPr>
          <w:rFonts w:hint="eastAsia" w:ascii="仿宋_GB2312" w:hAnsi="仿宋_GB2312" w:eastAsia="仿宋_GB2312" w:cs="仿宋_GB2312"/>
          <w:sz w:val="32"/>
          <w:szCs w:val="32"/>
          <w:lang w:eastAsia="zh-CN"/>
        </w:rPr>
        <w:t>和质量</w:t>
      </w:r>
      <w:r>
        <w:rPr>
          <w:rFonts w:hint="eastAsia" w:ascii="仿宋_GB2312" w:hAnsi="仿宋_GB2312" w:eastAsia="仿宋_GB2312" w:cs="仿宋_GB2312"/>
          <w:sz w:val="32"/>
          <w:szCs w:val="32"/>
        </w:rPr>
        <w:t>。</w:t>
      </w:r>
    </w:p>
    <w:p w14:paraId="4646E4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4A8B87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1.收取信息处理费情况方面。202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年，滕州市城乡水务局未收取信息处理费。</w:t>
      </w:r>
    </w:p>
    <w:p w14:paraId="671ADE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年，滕州市城乡水务局认真按照《枣庄市202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bookmarkStart w:id="0" w:name="_GoBack"/>
      <w:bookmarkEnd w:id="0"/>
      <w:r>
        <w:rPr>
          <w:rFonts w:hint="eastAsia" w:ascii="仿宋_GB2312" w:hAnsi="仿宋_GB2312" w:eastAsia="仿宋_GB2312" w:cs="仿宋_GB2312"/>
          <w:sz w:val="32"/>
          <w:szCs w:val="32"/>
        </w:rPr>
        <w:t>政务公开工作要点》、《滕州市202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年政务公开工作要点》等工作任务、时间节点开展工作。</w:t>
      </w:r>
    </w:p>
    <w:p w14:paraId="3D277B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3.人大代表建议和政协提案办理情况方面。202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年，滕州市城乡水务局共办理建议提案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件，已办结，并将办理结果在政务公开网站进行了公开。</w:t>
      </w:r>
    </w:p>
    <w:p w14:paraId="07837F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4.开展政务公开创新方面。滕州市城乡水务局采取多种方式，不断创新公开形式，完善公开目录，不断提升创新政务公开工作。</w:t>
      </w:r>
    </w:p>
    <w:p w14:paraId="2BCBCD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5.本单位政府信息公开工作年度报告数据统计需要说明的事项：无。</w:t>
      </w:r>
    </w:p>
    <w:p w14:paraId="519759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6.其他有关文件专门要求通过政府信息公开工作年度报告予以报告的事项：无。</w:t>
      </w:r>
    </w:p>
    <w:p w14:paraId="03CCBA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eastAsia="仿宋_GB2312" w:asciiTheme="majorEastAsia" w:hAnsiTheme="majorEastAsia" w:cstheme="majorEastAsia"/>
          <w:sz w:val="32"/>
          <w:szCs w:val="32"/>
          <w:lang w:val="en-US" w:eastAsia="zh-CN"/>
        </w:rPr>
      </w:pPr>
      <w:r>
        <w:rPr>
          <w:rFonts w:hint="eastAsia" w:ascii="仿宋_GB2312" w:hAnsi="仿宋_GB2312" w:eastAsia="仿宋_GB2312" w:cs="仿宋_GB2312"/>
          <w:sz w:val="32"/>
          <w:szCs w:val="32"/>
        </w:rPr>
        <w:t>7.如对本报告有任何疑问，请与滕州市城乡水务局联系（地址：滕州市学院东路2199号，电话：0632-5691310；电子邮箱：tzswjdys@zz.shandong.cn）</w:t>
      </w:r>
      <w:r>
        <w:rPr>
          <w:rFonts w:hint="eastAsia" w:ascii="仿宋_GB2312" w:hAnsi="仿宋_GB2312" w:eastAsia="仿宋_GB2312" w:cs="仿宋_GB2312"/>
          <w:sz w:val="32"/>
          <w:szCs w:val="32"/>
          <w:lang w:eastAsia="zh-CN"/>
        </w:rPr>
        <w:t>。</w:t>
      </w:r>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CDB254-E243-4D12-8C6D-D59B6EAEFA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181C6D8-AA39-44BF-BEC6-BF2E2DC26010}"/>
  </w:font>
  <w:font w:name="仿宋_GB2312">
    <w:panose1 w:val="02010609030101010101"/>
    <w:charset w:val="86"/>
    <w:family w:val="auto"/>
    <w:pitch w:val="default"/>
    <w:sig w:usb0="00000001" w:usb1="080E0000" w:usb2="00000000" w:usb3="00000000" w:csb0="00040000" w:csb1="00000000"/>
    <w:embedRegular r:id="rId3" w:fontKey="{8CF9918F-607B-41FB-A399-47EB9B22DB33}"/>
  </w:font>
  <w:font w:name="楷体_GB2312">
    <w:panose1 w:val="02010609030101010101"/>
    <w:charset w:val="86"/>
    <w:family w:val="auto"/>
    <w:pitch w:val="default"/>
    <w:sig w:usb0="00000001" w:usb1="080E0000" w:usb2="00000000" w:usb3="00000000" w:csb0="00040000" w:csb1="00000000"/>
    <w:embedRegular r:id="rId4" w:fontKey="{FC3CF2CB-43D0-4681-9332-FD6110FFC36A}"/>
  </w:font>
  <w:font w:name="ÃƒÂ¥Ã‚Â¾Ã‚Â®ÃƒÂ¨Ã‚Â½Ã‚Â¯ÃƒÂ©Ã¢â">
    <w:altName w:val="Segoe Print"/>
    <w:panose1 w:val="00000000000000000000"/>
    <w:charset w:val="00"/>
    <w:family w:val="auto"/>
    <w:pitch w:val="default"/>
    <w:sig w:usb0="00000000" w:usb1="00000000" w:usb2="00000000" w:usb3="00000000" w:csb0="00000000" w:csb1="00000000"/>
    <w:embedRegular r:id="rId5" w:fontKey="{3FA68F0E-9A14-486D-B059-4123A0FF63B2}"/>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6" w:fontKey="{76EDE651-9040-4AAE-8480-E5E74C7B5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39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2B310">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42B310">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YzgxODU3YWFhNGI1MTI5MDZjZmMxY2VlMGMyYmIifQ=="/>
  </w:docVars>
  <w:rsids>
    <w:rsidRoot w:val="75123935"/>
    <w:rsid w:val="03391357"/>
    <w:rsid w:val="0607573C"/>
    <w:rsid w:val="07FA1055"/>
    <w:rsid w:val="09AC6AC4"/>
    <w:rsid w:val="0F5B2655"/>
    <w:rsid w:val="0FDB5C66"/>
    <w:rsid w:val="11924D15"/>
    <w:rsid w:val="1404150D"/>
    <w:rsid w:val="140426E0"/>
    <w:rsid w:val="173E5194"/>
    <w:rsid w:val="17C26585"/>
    <w:rsid w:val="184B467C"/>
    <w:rsid w:val="1AA655B1"/>
    <w:rsid w:val="1E460146"/>
    <w:rsid w:val="201C78DF"/>
    <w:rsid w:val="216506CA"/>
    <w:rsid w:val="259F51B3"/>
    <w:rsid w:val="27D8088F"/>
    <w:rsid w:val="2B14398C"/>
    <w:rsid w:val="315B138C"/>
    <w:rsid w:val="32091685"/>
    <w:rsid w:val="334E24EC"/>
    <w:rsid w:val="33E30C00"/>
    <w:rsid w:val="3A5F0DEF"/>
    <w:rsid w:val="3C246E37"/>
    <w:rsid w:val="3D927FE5"/>
    <w:rsid w:val="40736F4F"/>
    <w:rsid w:val="40F8531B"/>
    <w:rsid w:val="43F72B79"/>
    <w:rsid w:val="46EB7AE7"/>
    <w:rsid w:val="47B8731B"/>
    <w:rsid w:val="49BF133E"/>
    <w:rsid w:val="4AEB051F"/>
    <w:rsid w:val="4B8D35BB"/>
    <w:rsid w:val="4C88317F"/>
    <w:rsid w:val="504B6A9D"/>
    <w:rsid w:val="512B5D85"/>
    <w:rsid w:val="520914C1"/>
    <w:rsid w:val="531603B6"/>
    <w:rsid w:val="565F77C9"/>
    <w:rsid w:val="59213252"/>
    <w:rsid w:val="5B8127D9"/>
    <w:rsid w:val="5BC0334D"/>
    <w:rsid w:val="5F360164"/>
    <w:rsid w:val="5FD3D190"/>
    <w:rsid w:val="61ED7BB9"/>
    <w:rsid w:val="670822FF"/>
    <w:rsid w:val="67BA0E3C"/>
    <w:rsid w:val="69C61FB9"/>
    <w:rsid w:val="6A274783"/>
    <w:rsid w:val="6AE83F12"/>
    <w:rsid w:val="6F9A7209"/>
    <w:rsid w:val="70C2134D"/>
    <w:rsid w:val="729D1A86"/>
    <w:rsid w:val="733F2EED"/>
    <w:rsid w:val="74B94727"/>
    <w:rsid w:val="75123935"/>
    <w:rsid w:val="76320BBA"/>
    <w:rsid w:val="77274014"/>
    <w:rsid w:val="777D5662"/>
    <w:rsid w:val="77F5684C"/>
    <w:rsid w:val="78715547"/>
    <w:rsid w:val="7C94795F"/>
    <w:rsid w:val="7D6279C0"/>
    <w:rsid w:val="7E0A5DEF"/>
    <w:rsid w:val="7E2146A1"/>
    <w:rsid w:val="7EE8326D"/>
    <w:rsid w:val="7FD073A6"/>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1139</Words>
  <Characters>1176</Characters>
  <Lines>0</Lines>
  <Paragraphs>0</Paragraphs>
  <TotalTime>22</TotalTime>
  <ScaleCrop>false</ScaleCrop>
  <LinksUpToDate>false</LinksUpToDate>
  <CharactersWithSpaces>1178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2023-01-09T13:03:00Z</dcterms:created>
  <dc:creator>tengzhou</dc:creator>
  <cp:lastModifiedBy>guoguo</cp:lastModifiedBy>
  <dcterms:modified xsi:type="dcterms:W3CDTF">2026-02-11T02:32:41Z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E289DA3235714741A4CC928552554E01_13</vt:lpwstr>
  </property>
  <property fmtid="{D5CDD505-2E9C-101B-9397-08002B2CF9AE}" pid="4" name="KSOTemplateDocerSaveRecord">
    <vt:lpwstr>eyJoZGlkIjoiMjU1OWIwOGExMDdlNTc4NGUyY2MyNzViYmE0MTk0MWYiLCJ1c2VySWQiOiIyMDY0OTE2ODgifQ==</vt:lpwstr>
  </property>
</Properties>
</file>