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滕州市卫生健康局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2023年政府信息公开年度报告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20" w:firstLineChars="200"/>
        <w:jc w:val="both"/>
        <w:textAlignment w:val="auto"/>
      </w:pPr>
      <w:r>
        <w:rPr>
          <w:rFonts w:ascii="仿宋_GB2312" w:eastAsia="仿宋_GB2312" w:cs="仿宋_GB2312"/>
          <w:sz w:val="31"/>
          <w:szCs w:val="31"/>
        </w:rPr>
        <w:t>根据《中华人民共和国政府信息公开条例》规定和省政府办公厅、枣庄市政府办公室、滕州市政府办公室通知要求，结合实际，编制并向社会公布滕州市</w:t>
      </w:r>
      <w:r>
        <w:rPr>
          <w:rFonts w:hint="eastAsia" w:ascii="仿宋_GB2312" w:eastAsia="仿宋_GB2312" w:cs="仿宋_GB2312"/>
          <w:sz w:val="31"/>
          <w:szCs w:val="31"/>
        </w:rPr>
        <w:t>卫生健康局</w:t>
      </w:r>
      <w:r>
        <w:rPr>
          <w:rFonts w:hint="default" w:ascii="Times New Roman" w:hAnsi="Times New Roman" w:eastAsia="仿宋_GB2312" w:cs="Times New Roman"/>
          <w:sz w:val="31"/>
          <w:szCs w:val="31"/>
        </w:rPr>
        <w:t>2023</w:t>
      </w:r>
      <w:r>
        <w:rPr>
          <w:rFonts w:hint="eastAsia" w:ascii="仿宋_GB2312" w:eastAsia="仿宋_GB2312" w:cs="仿宋_GB2312"/>
          <w:sz w:val="31"/>
          <w:szCs w:val="31"/>
        </w:rPr>
        <w:t>年政府信息公开年度报告。本年度报告中所列数据的统计期限自</w:t>
      </w:r>
      <w:r>
        <w:rPr>
          <w:rFonts w:hint="default" w:ascii="Times New Roman" w:hAnsi="Times New Roman" w:eastAsia="仿宋_GB2312" w:cs="Times New Roman"/>
          <w:sz w:val="31"/>
          <w:szCs w:val="31"/>
        </w:rPr>
        <w:t>2023</w:t>
      </w:r>
      <w:r>
        <w:rPr>
          <w:rFonts w:hint="eastAsia" w:ascii="仿宋_GB2312" w:eastAsia="仿宋_GB2312" w:cs="仿宋_GB2312"/>
          <w:sz w:val="31"/>
          <w:szCs w:val="31"/>
        </w:rPr>
        <w:t>年</w:t>
      </w:r>
      <w:r>
        <w:rPr>
          <w:rFonts w:hint="default" w:ascii="Times New Roman" w:hAnsi="Times New Roman" w:eastAsia="仿宋_GB2312" w:cs="Times New Roman"/>
          <w:sz w:val="31"/>
          <w:szCs w:val="31"/>
        </w:rPr>
        <w:t>1</w:t>
      </w:r>
      <w:r>
        <w:rPr>
          <w:rFonts w:hint="eastAsia" w:ascii="仿宋_GB2312" w:eastAsia="仿宋_GB2312" w:cs="仿宋_GB2312"/>
          <w:sz w:val="31"/>
          <w:szCs w:val="31"/>
        </w:rPr>
        <w:t>月</w:t>
      </w:r>
      <w:r>
        <w:rPr>
          <w:rFonts w:hint="default" w:ascii="Times New Roman" w:hAnsi="Times New Roman" w:eastAsia="仿宋_GB2312" w:cs="Times New Roman"/>
          <w:sz w:val="31"/>
          <w:szCs w:val="31"/>
        </w:rPr>
        <w:t>1</w:t>
      </w:r>
      <w:r>
        <w:rPr>
          <w:rFonts w:hint="eastAsia" w:ascii="仿宋_GB2312" w:eastAsia="仿宋_GB2312" w:cs="仿宋_GB2312"/>
          <w:sz w:val="31"/>
          <w:szCs w:val="31"/>
        </w:rPr>
        <w:t>日起至</w:t>
      </w:r>
      <w:r>
        <w:rPr>
          <w:rFonts w:hint="default" w:ascii="Times New Roman" w:hAnsi="Times New Roman" w:eastAsia="仿宋_GB2312" w:cs="Times New Roman"/>
          <w:sz w:val="31"/>
          <w:szCs w:val="31"/>
        </w:rPr>
        <w:t>12</w:t>
      </w:r>
      <w:r>
        <w:rPr>
          <w:rFonts w:hint="eastAsia" w:ascii="仿宋_GB2312" w:eastAsia="仿宋_GB2312" w:cs="仿宋_GB2312"/>
          <w:sz w:val="31"/>
          <w:szCs w:val="31"/>
        </w:rPr>
        <w:t>月</w:t>
      </w:r>
      <w:r>
        <w:rPr>
          <w:rFonts w:hint="default" w:ascii="Times New Roman" w:hAnsi="Times New Roman" w:eastAsia="仿宋_GB2312" w:cs="Times New Roman"/>
          <w:sz w:val="31"/>
          <w:szCs w:val="31"/>
        </w:rPr>
        <w:t>31</w:t>
      </w:r>
      <w:r>
        <w:rPr>
          <w:rFonts w:hint="eastAsia" w:ascii="仿宋_GB2312" w:eastAsia="仿宋_GB2312" w:cs="仿宋_GB2312"/>
          <w:sz w:val="31"/>
          <w:szCs w:val="31"/>
        </w:rPr>
        <w:t>日止。</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0" w:firstLineChars="200"/>
        <w:jc w:val="both"/>
        <w:textAlignment w:val="auto"/>
      </w:pPr>
      <w:r>
        <w:rPr>
          <w:rFonts w:ascii="黑体" w:hAnsi="宋体" w:eastAsia="黑体" w:cs="黑体"/>
          <w:sz w:val="31"/>
          <w:szCs w:val="31"/>
        </w:rPr>
        <w:t>一、总体情况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0" w:firstLineChars="200"/>
        <w:jc w:val="both"/>
        <w:textAlignment w:val="auto"/>
      </w:pPr>
      <w:r>
        <w:rPr>
          <w:rFonts w:hint="default" w:ascii="Times New Roman" w:hAnsi="Times New Roman" w:eastAsia="仿宋_GB2312" w:cs="Times New Roman"/>
          <w:sz w:val="31"/>
          <w:szCs w:val="31"/>
        </w:rPr>
        <w:t>2023</w:t>
      </w:r>
      <w:r>
        <w:rPr>
          <w:rFonts w:hint="eastAsia" w:ascii="仿宋_GB2312" w:eastAsia="仿宋_GB2312" w:cs="仿宋_GB2312"/>
          <w:sz w:val="31"/>
          <w:szCs w:val="31"/>
        </w:rPr>
        <w:t>年，滕州市卫生健康局认真贯彻落实市委、市政府关于政务公开工作的各项部署，不断夯实工作基础，持续强化实践创新，全力推动政务公开工作实现高质量发展。</w:t>
      </w:r>
      <w:r>
        <w:rPr>
          <w:rFonts w:hint="default" w:ascii="Times New Roman" w:hAnsi="Times New Roman" w:cs="Times New Roman"/>
          <w:sz w:val="31"/>
          <w:szCs w:val="31"/>
        </w:rPr>
        <w:t>2023</w:t>
      </w:r>
      <w:r>
        <w:rPr>
          <w:rFonts w:hint="eastAsia" w:ascii="仿宋_GB2312" w:hAnsi="Times New Roman" w:eastAsia="仿宋_GB2312" w:cs="仿宋_GB2312"/>
          <w:sz w:val="31"/>
          <w:szCs w:val="31"/>
        </w:rPr>
        <w:t>年</w:t>
      </w:r>
      <w:r>
        <w:rPr>
          <w:rFonts w:hint="eastAsia" w:ascii="仿宋_GB2312" w:eastAsia="仿宋_GB2312" w:cs="仿宋_GB2312"/>
          <w:sz w:val="31"/>
          <w:szCs w:val="31"/>
        </w:rPr>
        <w:t>滕州市卫生健康局公开政府信息</w:t>
      </w:r>
      <w:r>
        <w:rPr>
          <w:rFonts w:hint="default" w:ascii="Times New Roman" w:hAnsi="Times New Roman" w:eastAsia="仿宋_GB2312" w:cs="Times New Roman"/>
          <w:sz w:val="31"/>
          <w:szCs w:val="31"/>
        </w:rPr>
        <w:t>2</w:t>
      </w:r>
      <w:r>
        <w:rPr>
          <w:rFonts w:hint="eastAsia" w:ascii="Times New Roman" w:hAnsi="Times New Roman" w:eastAsia="仿宋_GB2312" w:cs="Times New Roman"/>
          <w:sz w:val="31"/>
          <w:szCs w:val="31"/>
          <w:lang w:val="en-US" w:eastAsia="zh-CN"/>
        </w:rPr>
        <w:t>378</w:t>
      </w:r>
      <w:r>
        <w:rPr>
          <w:rFonts w:hint="eastAsia" w:ascii="仿宋_GB2312" w:eastAsia="仿宋_GB2312" w:cs="仿宋_GB2312"/>
          <w:sz w:val="31"/>
          <w:szCs w:val="31"/>
        </w:rPr>
        <w:t>条。其中，通过局官方网站公开信息</w:t>
      </w:r>
      <w:r>
        <w:rPr>
          <w:rFonts w:hint="eastAsia" w:ascii="Times New Roman" w:hAnsi="Times New Roman" w:eastAsia="仿宋_GB2312" w:cs="Times New Roman"/>
          <w:sz w:val="31"/>
          <w:szCs w:val="31"/>
          <w:lang w:val="en-US" w:eastAsia="zh-CN"/>
        </w:rPr>
        <w:t>953</w:t>
      </w:r>
      <w:r>
        <w:rPr>
          <w:rFonts w:hint="eastAsia" w:ascii="仿宋_GB2312" w:eastAsia="仿宋_GB2312" w:cs="仿宋_GB2312"/>
          <w:sz w:val="31"/>
          <w:szCs w:val="31"/>
        </w:rPr>
        <w:t>条，通过信息公开网站公开信息</w:t>
      </w:r>
      <w:r>
        <w:rPr>
          <w:rFonts w:hint="default" w:ascii="Times New Roman" w:hAnsi="Times New Roman" w:eastAsia="仿宋_GB2312" w:cs="Times New Roman"/>
          <w:sz w:val="31"/>
          <w:szCs w:val="31"/>
        </w:rPr>
        <w:t>1</w:t>
      </w:r>
      <w:r>
        <w:rPr>
          <w:rFonts w:hint="eastAsia" w:ascii="Times New Roman" w:hAnsi="Times New Roman" w:eastAsia="仿宋_GB2312" w:cs="Times New Roman"/>
          <w:sz w:val="31"/>
          <w:szCs w:val="31"/>
          <w:lang w:val="en-US" w:eastAsia="zh-CN"/>
        </w:rPr>
        <w:t>85</w:t>
      </w:r>
      <w:r>
        <w:rPr>
          <w:rFonts w:hint="eastAsia" w:ascii="仿宋_GB2312" w:eastAsia="仿宋_GB2312" w:cs="仿宋_GB2312"/>
          <w:sz w:val="31"/>
          <w:szCs w:val="31"/>
        </w:rPr>
        <w:t>条，通过“滕州卫生健康”微信公众号公开信息</w:t>
      </w:r>
      <w:r>
        <w:rPr>
          <w:rFonts w:hint="eastAsia" w:ascii="Times New Roman" w:hAnsi="Times New Roman" w:eastAsia="仿宋_GB2312" w:cs="Times New Roman"/>
          <w:sz w:val="31"/>
          <w:szCs w:val="31"/>
          <w:lang w:val="en-US" w:eastAsia="zh-CN"/>
        </w:rPr>
        <w:t>1300</w:t>
      </w:r>
      <w:r>
        <w:rPr>
          <w:rFonts w:hint="eastAsia" w:ascii="仿宋_GB2312" w:eastAsia="仿宋_GB2312" w:cs="仿宋_GB2312"/>
          <w:sz w:val="31"/>
          <w:szCs w:val="31"/>
        </w:rPr>
        <w:t>余条。</w:t>
      </w:r>
    </w:p>
    <w:p>
      <w:pPr>
        <w:pStyle w:val="3"/>
        <w:keepNext w:val="0"/>
        <w:keepLines w:val="0"/>
        <w:widowControl/>
        <w:suppressLineNumbers w:val="0"/>
        <w:spacing w:line="315" w:lineRule="atLeast"/>
        <w:jc w:val="center"/>
        <w:rPr>
          <w:rFonts w:hint="eastAsia" w:eastAsia="宋体"/>
          <w:lang w:eastAsia="zh-CN"/>
        </w:rPr>
      </w:pPr>
      <w:r>
        <w:rPr>
          <w:rFonts w:hint="eastAsia" w:eastAsia="宋体"/>
          <w:lang w:eastAsia="zh-CN"/>
        </w:rPr>
        <w:drawing>
          <wp:inline distT="0" distB="0" distL="114300" distR="114300">
            <wp:extent cx="5267325" cy="3000375"/>
            <wp:effectExtent l="0" t="0" r="9525" b="9525"/>
            <wp:docPr id="1" name="图片 4" descr="873291564044da082f8dfffa9ba1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873291564044da082f8dfffa9ba138c"/>
                    <pic:cNvPicPr>
                      <a:picLocks noChangeAspect="1"/>
                    </pic:cNvPicPr>
                  </pic:nvPicPr>
                  <pic:blipFill>
                    <a:blip r:embed="rId4"/>
                    <a:stretch>
                      <a:fillRect/>
                    </a:stretch>
                  </pic:blipFill>
                  <pic:spPr>
                    <a:xfrm>
                      <a:off x="0" y="0"/>
                      <a:ext cx="5267325" cy="3000375"/>
                    </a:xfrm>
                    <a:prstGeom prst="rect">
                      <a:avLst/>
                    </a:prstGeom>
                    <a:noFill/>
                    <a:ln>
                      <a:noFill/>
                    </a:ln>
                  </pic:spPr>
                </pic:pic>
              </a:graphicData>
            </a:graphic>
          </wp:inline>
        </w:drawing>
      </w:r>
    </w:p>
    <w:p>
      <w:pPr>
        <w:pStyle w:val="3"/>
        <w:keepNext w:val="0"/>
        <w:keepLines w:val="0"/>
        <w:widowControl/>
        <w:suppressLineNumbers w:val="0"/>
        <w:spacing w:line="555" w:lineRule="atLeast"/>
        <w:ind w:left="0" w:firstLine="645"/>
        <w:jc w:val="center"/>
      </w:pPr>
    </w:p>
    <w:p>
      <w:pPr>
        <w:pStyle w:val="3"/>
        <w:keepNext w:val="0"/>
        <w:keepLines w:val="0"/>
        <w:widowControl/>
        <w:suppressLineNumbers w:val="0"/>
        <w:spacing w:line="315" w:lineRule="atLeast"/>
        <w:jc w:val="center"/>
      </w:pPr>
      <w:r>
        <w:drawing>
          <wp:inline distT="0" distB="0" distL="114300" distR="114300">
            <wp:extent cx="5267325" cy="3000375"/>
            <wp:effectExtent l="0" t="0" r="9525" b="9525"/>
            <wp:docPr id="2"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png"/>
                    <pic:cNvPicPr>
                      <a:picLocks noChangeAspect="1"/>
                    </pic:cNvPicPr>
                  </pic:nvPicPr>
                  <pic:blipFill>
                    <a:blip r:embed="rId5"/>
                    <a:stretch>
                      <a:fillRect/>
                    </a:stretch>
                  </pic:blipFill>
                  <pic:spPr>
                    <a:xfrm>
                      <a:off x="0" y="0"/>
                      <a:ext cx="5267325" cy="3000375"/>
                    </a:xfrm>
                    <a:prstGeom prst="rect">
                      <a:avLst/>
                    </a:prstGeom>
                    <a:noFill/>
                    <a:ln>
                      <a:noFill/>
                    </a:ln>
                  </pic:spPr>
                </pic:pic>
              </a:graphicData>
            </a:graphic>
          </wp:inline>
        </w:drawing>
      </w:r>
    </w:p>
    <w:p>
      <w:pPr>
        <w:pStyle w:val="3"/>
        <w:keepNext w:val="0"/>
        <w:keepLines w:val="0"/>
        <w:widowControl/>
        <w:suppressLineNumbers w:val="0"/>
        <w:spacing w:line="555" w:lineRule="atLeast"/>
        <w:ind w:left="0" w:firstLine="645"/>
        <w:jc w:val="center"/>
      </w:pPr>
      <w:r>
        <w:rPr>
          <w:rFonts w:hint="eastAsia" w:ascii="仿宋_GB2312" w:eastAsia="仿宋_GB2312" w:cs="仿宋_GB2312"/>
          <w:sz w:val="31"/>
          <w:szCs w:val="31"/>
        </w:rPr>
        <w:t> </w:t>
      </w:r>
      <w:r>
        <w:rPr>
          <w:rStyle w:val="6"/>
          <w:rFonts w:hint="eastAsia" w:ascii="仿宋_GB2312" w:eastAsia="仿宋_GB2312" w:cs="仿宋_GB2312"/>
          <w:spacing w:val="0"/>
          <w:sz w:val="28"/>
          <w:szCs w:val="28"/>
          <w:shd w:val="clear" w:color="auto" w:fill="FFFFFF"/>
        </w:rPr>
        <w:t>“</w:t>
      </w:r>
      <w:r>
        <w:rPr>
          <w:rStyle w:val="6"/>
          <w:rFonts w:hint="eastAsia" w:ascii="黑体" w:hAnsi="宋体" w:eastAsia="黑体" w:cs="黑体"/>
          <w:spacing w:val="0"/>
          <w:sz w:val="28"/>
          <w:szCs w:val="28"/>
          <w:shd w:val="clear" w:color="auto" w:fill="FFFFFF"/>
        </w:rPr>
        <w:t>滕州卫生健康”微信公众号发布信息情况（部分）</w:t>
      </w:r>
    </w:p>
    <w:p>
      <w:pPr>
        <w:pStyle w:val="3"/>
        <w:keepNext w:val="0"/>
        <w:keepLines w:val="0"/>
        <w:widowControl/>
        <w:suppressLineNumbers w:val="0"/>
        <w:spacing w:line="555" w:lineRule="atLeast"/>
        <w:ind w:left="0" w:firstLine="645"/>
        <w:jc w:val="both"/>
        <w:rPr>
          <w:rFonts w:hint="eastAsia" w:eastAsia="宋体"/>
          <w:lang w:eastAsia="zh-CN"/>
        </w:rPr>
      </w:pPr>
      <w:r>
        <w:rPr>
          <w:rFonts w:hint="eastAsia" w:eastAsia="宋体"/>
          <w:lang w:eastAsia="zh-CN"/>
        </w:rPr>
        <w:drawing>
          <wp:inline distT="0" distB="0" distL="114300" distR="114300">
            <wp:extent cx="5270500" cy="3123565"/>
            <wp:effectExtent l="0" t="0" r="6350" b="635"/>
            <wp:docPr id="3" name="图片 3" descr="ce155a4da06076c2d940ac52b73c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e155a4da06076c2d940ac52b73c2b2"/>
                    <pic:cNvPicPr>
                      <a:picLocks noChangeAspect="1"/>
                    </pic:cNvPicPr>
                  </pic:nvPicPr>
                  <pic:blipFill>
                    <a:blip r:embed="rId6"/>
                    <a:stretch>
                      <a:fillRect/>
                    </a:stretch>
                  </pic:blipFill>
                  <pic:spPr>
                    <a:xfrm>
                      <a:off x="0" y="0"/>
                      <a:ext cx="5270500" cy="3123565"/>
                    </a:xfrm>
                    <a:prstGeom prst="rect">
                      <a:avLst/>
                    </a:prstGeom>
                    <a:noFill/>
                    <a:ln>
                      <a:noFill/>
                    </a:ln>
                  </pic:spPr>
                </pic:pic>
              </a:graphicData>
            </a:graphic>
          </wp:inline>
        </w:drawing>
      </w:r>
    </w:p>
    <w:p>
      <w:pPr>
        <w:pStyle w:val="3"/>
        <w:keepNext w:val="0"/>
        <w:keepLines w:val="0"/>
        <w:widowControl/>
        <w:suppressLineNumbers w:val="0"/>
        <w:spacing w:line="555" w:lineRule="atLeast"/>
        <w:ind w:left="0" w:firstLine="645"/>
        <w:jc w:val="center"/>
      </w:pPr>
    </w:p>
    <w:p>
      <w:pPr>
        <w:pStyle w:val="3"/>
        <w:keepNext w:val="0"/>
        <w:keepLines w:val="0"/>
        <w:widowControl/>
        <w:suppressLineNumbers w:val="0"/>
        <w:spacing w:line="555" w:lineRule="atLeast"/>
        <w:ind w:left="0" w:firstLine="645"/>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ascii="楷体_GB2312" w:eastAsia="楷体_GB2312" w:cs="楷体_GB2312"/>
          <w:spacing w:val="0"/>
          <w:sz w:val="31"/>
          <w:szCs w:val="31"/>
          <w:shd w:val="clear" w:color="auto" w:fill="FFFFFF"/>
        </w:rPr>
        <w:t>（一）主动公开</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仿宋_GB2312" w:eastAsia="仿宋_GB2312" w:cs="仿宋_GB2312"/>
          <w:spacing w:val="0"/>
          <w:sz w:val="31"/>
          <w:szCs w:val="31"/>
          <w:shd w:val="clear" w:color="auto" w:fill="FFFFFF"/>
        </w:rPr>
        <w:t>一是机构信息公开。</w:t>
      </w:r>
      <w:r>
        <w:rPr>
          <w:rFonts w:hint="eastAsia" w:ascii="仿宋_GB2312" w:eastAsia="仿宋_GB2312" w:cs="仿宋_GB2312"/>
          <w:spacing w:val="0"/>
          <w:sz w:val="31"/>
          <w:szCs w:val="31"/>
          <w:shd w:val="clear" w:color="auto" w:fill="FFFFFF"/>
        </w:rPr>
        <w:t>严格按照信息公开的内容格式标准，准确公开市卫生健康局简介、领导信息和机构设置情况，集中展现部门工作职能、机构设置、单位领导、职能清单、服务清单等配置要素。</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仿宋_GB2312" w:eastAsia="仿宋_GB2312" w:cs="仿宋_GB2312"/>
          <w:spacing w:val="0"/>
          <w:sz w:val="31"/>
          <w:szCs w:val="31"/>
          <w:shd w:val="clear" w:color="auto" w:fill="FFFFFF"/>
          <w:lang w:val="en-US" w:eastAsia="zh-CN"/>
        </w:rPr>
        <w:t>二</w:t>
      </w:r>
      <w:r>
        <w:rPr>
          <w:rStyle w:val="6"/>
          <w:rFonts w:hint="eastAsia" w:ascii="仿宋_GB2312" w:eastAsia="仿宋_GB2312" w:cs="仿宋_GB2312"/>
          <w:spacing w:val="0"/>
          <w:sz w:val="31"/>
          <w:szCs w:val="31"/>
          <w:shd w:val="clear" w:color="auto" w:fill="FFFFFF"/>
        </w:rPr>
        <w:t>是重点领域信息公开。</w:t>
      </w:r>
      <w:r>
        <w:rPr>
          <w:rFonts w:hint="eastAsia" w:ascii="仿宋_GB2312" w:eastAsia="仿宋_GB2312" w:cs="仿宋_GB2312"/>
          <w:spacing w:val="0"/>
          <w:sz w:val="31"/>
          <w:szCs w:val="31"/>
          <w:shd w:val="clear" w:color="auto" w:fill="FFFFFF"/>
        </w:rPr>
        <w:t>积极回应卫生健康领域社会热点关切。积极参加访谈类节目，针对当前社会关心的卫生健康热点重点，分别上线市广播电视台“政风行风热线”节目，现场解答听众咨询，受理问题反映。</w:t>
      </w:r>
      <w:r>
        <w:rPr>
          <w:rFonts w:hint="eastAsia" w:ascii="仿宋_GB2312" w:eastAsia="仿宋_GB2312" w:cs="仿宋_GB2312"/>
          <w:sz w:val="31"/>
          <w:szCs w:val="31"/>
        </w:rPr>
        <w:t>通过调研、制定公开目录、确定平台等措施，分类有序推进推进公共企事业单位信息公开工作，不断提高医疗卫生机构服务水平。</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楷体_GB2312" w:eastAsia="楷体_GB2312" w:cs="楷体_GB2312"/>
          <w:spacing w:val="0"/>
          <w:sz w:val="31"/>
          <w:szCs w:val="31"/>
          <w:shd w:val="clear" w:color="auto" w:fill="FFFFFF"/>
        </w:rPr>
        <w:t>（二）依申请公开情况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0" w:firstLineChars="200"/>
        <w:jc w:val="both"/>
        <w:textAlignment w:val="auto"/>
      </w:pPr>
      <w:r>
        <w:rPr>
          <w:rFonts w:hint="eastAsia" w:ascii="仿宋_GB2312" w:eastAsia="仿宋_GB2312" w:cs="仿宋_GB2312"/>
          <w:spacing w:val="0"/>
          <w:sz w:val="31"/>
          <w:szCs w:val="31"/>
          <w:shd w:val="clear" w:color="auto" w:fill="FFFFFF"/>
        </w:rPr>
        <w:t>在市卫生健康局门户网站建立了依申请渠道，公布了本部门联系方式，通过网络、信件等方式受理公众提交的政府信息公开申请。2023年，卫生健康局共受理政府信息公开依申请事项</w:t>
      </w:r>
      <w:r>
        <w:rPr>
          <w:rFonts w:hint="eastAsia" w:ascii="仿宋_GB2312" w:eastAsia="仿宋_GB2312" w:cs="仿宋_GB2312"/>
          <w:spacing w:val="0"/>
          <w:sz w:val="31"/>
          <w:szCs w:val="31"/>
          <w:shd w:val="clear" w:color="auto" w:fill="FFFFFF"/>
          <w:lang w:val="en-US" w:eastAsia="zh-CN"/>
        </w:rPr>
        <w:t>3</w:t>
      </w:r>
      <w:r>
        <w:rPr>
          <w:rFonts w:hint="eastAsia" w:ascii="仿宋_GB2312" w:eastAsia="仿宋_GB2312" w:cs="仿宋_GB2312"/>
          <w:spacing w:val="0"/>
          <w:sz w:val="31"/>
          <w:szCs w:val="31"/>
          <w:shd w:val="clear" w:color="auto" w:fill="FFFFFF"/>
        </w:rPr>
        <w:t>件，已严格按照《条例》相关规定按时按要求对申请人进行答复，其中予以公开1件，没有现成信息需要另行制作的</w:t>
      </w:r>
      <w:r>
        <w:rPr>
          <w:rFonts w:hint="eastAsia" w:ascii="仿宋_GB2312" w:eastAsia="仿宋_GB2312" w:cs="仿宋_GB2312"/>
          <w:spacing w:val="0"/>
          <w:sz w:val="31"/>
          <w:szCs w:val="31"/>
          <w:shd w:val="clear" w:color="auto" w:fill="FFFFFF"/>
          <w:lang w:val="en-US" w:eastAsia="zh-CN"/>
        </w:rPr>
        <w:t>2</w:t>
      </w:r>
      <w:r>
        <w:rPr>
          <w:rFonts w:hint="eastAsia" w:ascii="仿宋_GB2312" w:eastAsia="仿宋_GB2312" w:cs="仿宋_GB2312"/>
          <w:spacing w:val="0"/>
          <w:sz w:val="31"/>
          <w:szCs w:val="31"/>
          <w:shd w:val="clear" w:color="auto" w:fill="FFFFFF"/>
        </w:rPr>
        <w:t>件。</w:t>
      </w:r>
      <w:r>
        <w:rPr>
          <w:rFonts w:hint="eastAsia" w:ascii="仿宋_GB2312" w:eastAsia="仿宋_GB2312" w:cs="仿宋_GB2312"/>
          <w:spacing w:val="0"/>
          <w:sz w:val="31"/>
          <w:szCs w:val="31"/>
          <w:shd w:val="clear" w:color="auto" w:fill="FFFFFF"/>
          <w:lang w:val="en-US" w:eastAsia="zh-CN"/>
        </w:rPr>
        <w:t>与2022年相比，增加1件。</w:t>
      </w:r>
      <w:r>
        <w:rPr>
          <w:rFonts w:hint="eastAsia" w:ascii="仿宋_GB2312" w:eastAsia="仿宋_GB2312" w:cs="仿宋_GB2312"/>
          <w:spacing w:val="0"/>
          <w:sz w:val="31"/>
          <w:szCs w:val="31"/>
          <w:shd w:val="clear" w:color="auto" w:fill="FFFFFF"/>
        </w:rPr>
        <w:t>本年度无因政府信息公开引起行政复议、行政诉讼的情况。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楷体_GB2312" w:eastAsia="楷体_GB2312" w:cs="楷体_GB2312"/>
          <w:spacing w:val="0"/>
          <w:sz w:val="31"/>
          <w:szCs w:val="31"/>
          <w:shd w:val="clear" w:color="auto" w:fill="FFFFFF"/>
        </w:rPr>
        <w:t>（三）政府信息管理</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仿宋_GB2312" w:eastAsia="仿宋_GB2312" w:cs="仿宋_GB2312"/>
          <w:spacing w:val="0"/>
          <w:sz w:val="31"/>
          <w:szCs w:val="31"/>
          <w:shd w:val="clear" w:color="auto" w:fill="FFFFFF"/>
        </w:rPr>
        <w:t>一是建立健全工作机制。</w:t>
      </w:r>
      <w:r>
        <w:rPr>
          <w:rFonts w:hint="eastAsia" w:ascii="仿宋_GB2312" w:eastAsia="仿宋_GB2312" w:cs="仿宋_GB2312"/>
          <w:spacing w:val="0"/>
          <w:sz w:val="31"/>
          <w:szCs w:val="31"/>
          <w:shd w:val="clear" w:color="auto" w:fill="FFFFFF"/>
        </w:rPr>
        <w:t>根据新《条例》修订完善政府信息公开指南、公文公开属性源头认定制度，建立权力清单动态调整制度，加强政策解读和依申请公开答复规范化建设，推进政务公开流程标准化，确保法定主动公开内容在法定时限内完成公开。</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仿宋_GB2312" w:eastAsia="仿宋_GB2312" w:cs="仿宋_GB2312"/>
          <w:spacing w:val="0"/>
          <w:sz w:val="31"/>
          <w:szCs w:val="31"/>
          <w:shd w:val="clear" w:color="auto" w:fill="FFFFFF"/>
        </w:rPr>
        <w:t>二是加强政务信息管理。</w:t>
      </w:r>
      <w:r>
        <w:rPr>
          <w:rFonts w:hint="eastAsia" w:ascii="仿宋_GB2312" w:eastAsia="仿宋_GB2312" w:cs="仿宋_GB2312"/>
          <w:spacing w:val="0"/>
          <w:sz w:val="31"/>
          <w:szCs w:val="31"/>
          <w:shd w:val="clear" w:color="auto" w:fill="FFFFFF"/>
        </w:rPr>
        <w:t>通过对本部门规范性文件全面清理审查，列明文件名称、文号、成文日期、发布日期、有效性和提供文本下载功能在门户网公开。</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仿宋_GB2312" w:eastAsia="仿宋_GB2312" w:cs="仿宋_GB2312"/>
          <w:spacing w:val="0"/>
          <w:sz w:val="31"/>
          <w:szCs w:val="31"/>
          <w:shd w:val="clear" w:color="auto" w:fill="FFFFFF"/>
        </w:rPr>
        <w:t>三是落实信息发布制度。</w:t>
      </w:r>
      <w:r>
        <w:rPr>
          <w:rFonts w:hint="eastAsia" w:ascii="仿宋_GB2312" w:eastAsia="仿宋_GB2312" w:cs="仿宋_GB2312"/>
          <w:spacing w:val="0"/>
          <w:sz w:val="31"/>
          <w:szCs w:val="31"/>
          <w:shd w:val="clear" w:color="auto" w:fill="FFFFFF"/>
        </w:rPr>
        <w:t>坚持“谁主管谁负责、谁发布谁负责”原则，严格审核把关，按照分级审核、先审后发的程序，明确审核主体责任、审核流程，确保信息安全。</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楷体_GB2312" w:eastAsia="楷体_GB2312" w:cs="楷体_GB2312"/>
          <w:spacing w:val="0"/>
          <w:sz w:val="31"/>
          <w:szCs w:val="31"/>
          <w:shd w:val="clear" w:color="auto" w:fill="FFFFFF"/>
        </w:rPr>
        <w:t>（四）公开平台建设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22" w:firstLineChars="200"/>
        <w:jc w:val="both"/>
        <w:textAlignment w:val="auto"/>
      </w:pPr>
      <w:r>
        <w:rPr>
          <w:rStyle w:val="6"/>
          <w:rFonts w:hint="eastAsia" w:ascii="仿宋_GB2312" w:eastAsia="仿宋_GB2312" w:cs="仿宋_GB2312"/>
          <w:spacing w:val="0"/>
          <w:sz w:val="31"/>
          <w:szCs w:val="31"/>
          <w:shd w:val="clear" w:color="auto" w:fill="FFFFFF"/>
        </w:rPr>
        <w:t>一是完善工作制度。</w:t>
      </w:r>
      <w:r>
        <w:rPr>
          <w:rFonts w:hint="eastAsia" w:ascii="仿宋_GB2312" w:eastAsia="仿宋_GB2312" w:cs="仿宋_GB2312"/>
          <w:spacing w:val="0"/>
          <w:sz w:val="31"/>
          <w:szCs w:val="31"/>
          <w:shd w:val="clear" w:color="auto" w:fill="FFFFFF"/>
        </w:rPr>
        <w:t>逐步完善细化政府信息公开的工作制度，抓好平台维护、日常管理，</w:t>
      </w:r>
      <w:r>
        <w:rPr>
          <w:rFonts w:hint="eastAsia" w:ascii="仿宋_GB2312" w:eastAsia="仿宋_GB2312" w:cs="仿宋_GB2312"/>
          <w:sz w:val="31"/>
          <w:szCs w:val="31"/>
        </w:rPr>
        <w:t>规范依申请公开工作流程，落实信息发布前审核审查制度，严格审核每条信息的真实性、合理性。</w:t>
      </w:r>
      <w:r>
        <w:rPr>
          <w:rFonts w:hint="eastAsia" w:ascii="仿宋_GB2312" w:eastAsia="仿宋_GB2312" w:cs="仿宋_GB2312"/>
          <w:spacing w:val="0"/>
          <w:sz w:val="31"/>
          <w:szCs w:val="31"/>
          <w:shd w:val="clear" w:color="auto" w:fill="FFFFFF"/>
        </w:rPr>
        <w:t>全面改版升级政府信息公开专栏，开设21个镇街卫生院和</w:t>
      </w:r>
      <w:r>
        <w:rPr>
          <w:rFonts w:hint="eastAsia" w:ascii="仿宋_GB2312" w:eastAsia="仿宋_GB2312" w:cs="仿宋_GB2312"/>
          <w:spacing w:val="0"/>
          <w:sz w:val="31"/>
          <w:szCs w:val="31"/>
          <w:shd w:val="clear" w:color="auto" w:fill="FFFFFF"/>
          <w:lang w:val="en-US" w:eastAsia="zh-CN"/>
        </w:rPr>
        <w:t>5</w:t>
      </w:r>
      <w:r>
        <w:rPr>
          <w:rFonts w:hint="eastAsia" w:ascii="仿宋_GB2312" w:eastAsia="仿宋_GB2312" w:cs="仿宋_GB2312"/>
          <w:spacing w:val="0"/>
          <w:sz w:val="31"/>
          <w:szCs w:val="31"/>
          <w:shd w:val="clear" w:color="auto" w:fill="FFFFFF"/>
        </w:rPr>
        <w:t>家市直医院的政务信息公开专栏，</w:t>
      </w:r>
      <w:r>
        <w:rPr>
          <w:rFonts w:hint="eastAsia" w:ascii="仿宋_GB2312" w:eastAsia="仿宋_GB2312" w:cs="仿宋_GB2312"/>
          <w:sz w:val="31"/>
          <w:szCs w:val="31"/>
        </w:rPr>
        <w:t>实现政府信息公开平台一体化发展。</w:t>
      </w:r>
      <w:r>
        <w:rPr>
          <w:rStyle w:val="6"/>
          <w:rFonts w:hint="eastAsia" w:ascii="仿宋_GB2312" w:eastAsia="仿宋_GB2312" w:cs="仿宋_GB2312"/>
          <w:sz w:val="31"/>
          <w:szCs w:val="31"/>
        </w:rPr>
        <w:t>二是畅通公开渠道。</w:t>
      </w:r>
      <w:r>
        <w:rPr>
          <w:rFonts w:hint="eastAsia" w:ascii="仿宋_GB2312" w:eastAsia="仿宋_GB2312" w:cs="仿宋_GB2312"/>
          <w:spacing w:val="0"/>
          <w:sz w:val="31"/>
          <w:szCs w:val="31"/>
          <w:shd w:val="clear" w:color="auto" w:fill="FFFFFF"/>
        </w:rPr>
        <w:t>过网站市长信箱、部门信箱、在线咨询、征集调查等在线互动功能和市长热线、政行风热线、在线访谈等互动交流渠道，依托市政府门户网设置滕州市各医疗机构信息公开专栏，全面公开医疗院务信息，回应公众需求，服务人民群众。</w:t>
      </w:r>
      <w:r>
        <w:rPr>
          <w:rFonts w:hint="eastAsia" w:ascii="仿宋_GB2312" w:eastAsia="仿宋_GB2312" w:cs="仿宋_GB2312"/>
          <w:sz w:val="31"/>
          <w:szCs w:val="31"/>
        </w:rPr>
        <w:t>通过</w:t>
      </w:r>
      <w:r>
        <w:rPr>
          <w:rFonts w:hint="eastAsia" w:ascii="宋体" w:hAnsi="宋体" w:eastAsia="宋体" w:cs="宋体"/>
          <w:spacing w:val="0"/>
          <w:sz w:val="31"/>
          <w:szCs w:val="31"/>
          <w:shd w:val="clear" w:color="auto" w:fill="FFFFFF"/>
        </w:rPr>
        <w:t>“</w:t>
      </w:r>
      <w:r>
        <w:rPr>
          <w:rFonts w:hint="eastAsia" w:ascii="仿宋_GB2312" w:eastAsia="仿宋_GB2312" w:cs="仿宋_GB2312"/>
          <w:spacing w:val="0"/>
          <w:sz w:val="31"/>
          <w:szCs w:val="31"/>
          <w:shd w:val="clear" w:color="auto" w:fill="FFFFFF"/>
        </w:rPr>
        <w:t>滕州卫生健康</w:t>
      </w:r>
      <w:r>
        <w:rPr>
          <w:rFonts w:hint="eastAsia" w:ascii="宋体" w:hAnsi="宋体" w:eastAsia="宋体" w:cs="宋体"/>
          <w:spacing w:val="0"/>
          <w:sz w:val="31"/>
          <w:szCs w:val="31"/>
          <w:shd w:val="clear" w:color="auto" w:fill="FFFFFF"/>
        </w:rPr>
        <w:t>”</w:t>
      </w:r>
      <w:r>
        <w:rPr>
          <w:rFonts w:hint="eastAsia" w:ascii="仿宋_GB2312" w:eastAsia="仿宋_GB2312" w:cs="仿宋_GB2312"/>
          <w:sz w:val="31"/>
          <w:szCs w:val="31"/>
        </w:rPr>
        <w:t>微信公众号公开信息1</w:t>
      </w:r>
      <w:r>
        <w:rPr>
          <w:rFonts w:hint="eastAsia" w:ascii="仿宋_GB2312" w:eastAsia="仿宋_GB2312" w:cs="仿宋_GB2312"/>
          <w:sz w:val="31"/>
          <w:szCs w:val="31"/>
          <w:lang w:val="en-US" w:eastAsia="zh-CN"/>
        </w:rPr>
        <w:t>300</w:t>
      </w:r>
      <w:r>
        <w:rPr>
          <w:rFonts w:hint="eastAsia" w:ascii="仿宋_GB2312" w:eastAsia="仿宋_GB2312" w:cs="仿宋_GB2312"/>
          <w:sz w:val="31"/>
          <w:szCs w:val="31"/>
        </w:rPr>
        <w:t>余，</w:t>
      </w:r>
      <w:r>
        <w:rPr>
          <w:rFonts w:hint="eastAsia" w:ascii="仿宋_GB2312" w:eastAsia="仿宋_GB2312" w:cs="仿宋_GB2312"/>
          <w:sz w:val="31"/>
          <w:szCs w:val="31"/>
          <w:lang w:val="en-US" w:eastAsia="zh-CN"/>
        </w:rPr>
        <w:t>开展“政府开放日</w:t>
      </w:r>
      <w:r>
        <w:rPr>
          <w:rFonts w:hint="eastAsia" w:ascii="仿宋_GB2312" w:eastAsia="仿宋_GB2312" w:cs="仿宋_GB2312"/>
          <w:spacing w:val="0"/>
          <w:sz w:val="31"/>
          <w:szCs w:val="31"/>
          <w:shd w:val="clear" w:color="auto" w:fill="FFFFFF"/>
          <w:lang w:val="en-US" w:eastAsia="zh-CN"/>
        </w:rPr>
        <w:t>”活动，广泛邀请社会各界观摩体验卫生健康系统用心用情服务群众的热情，增进群众对医疗工作的理解和支持</w:t>
      </w:r>
      <w:r>
        <w:rPr>
          <w:rFonts w:hint="eastAsia" w:ascii="仿宋_GB2312" w:eastAsia="仿宋_GB2312" w:cs="仿宋_GB2312"/>
          <w:spacing w:val="0"/>
          <w:sz w:val="31"/>
          <w:szCs w:val="31"/>
          <w:shd w:val="clear" w:color="auto" w:fill="FFFFFF"/>
        </w:rPr>
        <w:t>。</w:t>
      </w:r>
      <w:r>
        <w:rPr>
          <w:rStyle w:val="6"/>
          <w:rFonts w:hint="eastAsia" w:ascii="仿宋_GB2312" w:eastAsia="仿宋_GB2312" w:cs="仿宋_GB2312"/>
          <w:sz w:val="31"/>
          <w:szCs w:val="31"/>
        </w:rPr>
        <w:t>三是强化与新闻媒体合作。</w:t>
      </w:r>
      <w:r>
        <w:rPr>
          <w:rFonts w:hint="eastAsia" w:ascii="仿宋_GB2312" w:eastAsia="仿宋_GB2312" w:cs="仿宋_GB2312"/>
          <w:sz w:val="31"/>
          <w:szCs w:val="31"/>
        </w:rPr>
        <w:t>加强与人口健康报、枣庄日报、大众网、齐鲁网、滕州融媒体的合作，先后组织市中心人民医院、市中医医院、市精神卫生专家等走进电视台，开展健康知识讲座。提升宣传质量，全年</w:t>
      </w:r>
      <w:r>
        <w:rPr>
          <w:rFonts w:hint="eastAsia" w:ascii="仿宋_GB2312" w:eastAsia="仿宋_GB2312" w:cs="仿宋_GB2312"/>
          <w:sz w:val="31"/>
          <w:szCs w:val="31"/>
          <w:lang w:val="en-US" w:eastAsia="zh-CN"/>
        </w:rPr>
        <w:t>2800</w:t>
      </w:r>
      <w:r>
        <w:rPr>
          <w:rFonts w:hint="eastAsia" w:ascii="仿宋_GB2312" w:eastAsia="仿宋_GB2312" w:cs="仿宋_GB2312"/>
          <w:sz w:val="31"/>
          <w:szCs w:val="31"/>
        </w:rPr>
        <w:t>余篇稿件在国家和省、市级媒体刊发。</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2" w:firstLineChars="200"/>
        <w:jc w:val="both"/>
        <w:textAlignment w:val="auto"/>
      </w:pPr>
      <w:r>
        <w:rPr>
          <w:rStyle w:val="6"/>
          <w:rFonts w:hint="eastAsia" w:ascii="楷体_GB2312" w:eastAsia="楷体_GB2312" w:cs="楷体_GB2312"/>
          <w:sz w:val="31"/>
          <w:szCs w:val="31"/>
        </w:rPr>
        <w:t>（五）监督保障</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20" w:firstLineChars="200"/>
        <w:jc w:val="both"/>
        <w:textAlignment w:val="auto"/>
        <w:rPr>
          <w:rFonts w:hint="default" w:eastAsia="仿宋_GB2312"/>
          <w:lang w:val="en-US" w:eastAsia="zh-CN"/>
        </w:rPr>
      </w:pPr>
      <w:r>
        <w:rPr>
          <w:rFonts w:hint="eastAsia" w:ascii="仿宋_GB2312" w:eastAsia="仿宋_GB2312" w:cs="仿宋_GB2312"/>
          <w:sz w:val="31"/>
          <w:szCs w:val="31"/>
        </w:rPr>
        <w:t>调整健全以局长为组长、分管副局长为副组长、各科室主要负责人为成员的政务信息公开工作领导小组，局宣传科具体牵头负责，明确各科室职责，不断提高政务公开制度化规范化水平。加强培训学习，积极参加市级政务公开工作培训，增强工作人员业务素质，促进工作水平提升。</w:t>
      </w:r>
      <w:r>
        <w:rPr>
          <w:rFonts w:hint="eastAsia" w:ascii="仿宋_GB2312" w:eastAsia="仿宋_GB2312" w:cs="仿宋_GB2312"/>
          <w:sz w:val="31"/>
          <w:szCs w:val="31"/>
          <w:lang w:val="en-US" w:eastAsia="zh-CN"/>
        </w:rPr>
        <w:t>2023年，本单位未发生因信息公开审查不当或保密审查机构未履行保密审查职责而引起的失泄密情况。2023年度未进行社会评议，未发生责任追究情况。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Fonts w:hint="eastAsia" w:ascii="黑体" w:hAnsi="宋体" w:eastAsia="黑体" w:cs="黑体"/>
          <w:sz w:val="31"/>
          <w:szCs w:val="31"/>
        </w:rPr>
        <w:t>二、 主动公开政府信息情况统计表</w:t>
      </w:r>
    </w:p>
    <w:tbl>
      <w:tblPr>
        <w:tblStyle w:val="4"/>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autofit"/>
        <w:tblCellMar>
          <w:top w:w="75" w:type="dxa"/>
          <w:left w:w="150" w:type="dxa"/>
          <w:bottom w:w="75" w:type="dxa"/>
          <w:right w:w="150" w:type="dxa"/>
        </w:tblCellMar>
      </w:tblPr>
      <w:tblGrid>
        <w:gridCol w:w="1983"/>
        <w:gridCol w:w="2134"/>
        <w:gridCol w:w="1932"/>
        <w:gridCol w:w="2497"/>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45" w:hRule="atLeast"/>
        </w:trPr>
        <w:tc>
          <w:tcPr>
            <w:tcW w:w="9105" w:type="dxa"/>
            <w:gridSpan w:val="4"/>
            <w:tcBorders>
              <w:top w:val="single" w:color="00000A" w:sz="6" w:space="0"/>
              <w:left w:val="single" w:color="00000A" w:sz="6" w:space="0"/>
              <w:bottom w:val="single" w:color="00000A" w:sz="6" w:space="0"/>
              <w:right w:val="single" w:color="000001" w:sz="6" w:space="0"/>
            </w:tcBorders>
            <w:shd w:val="clear" w:color="auto" w:fill="C6D9F1"/>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黑体" w:hAnsi="宋体" w:eastAsia="黑体" w:cs="黑体"/>
                <w:spacing w:val="0"/>
                <w:sz w:val="24"/>
                <w:szCs w:val="24"/>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仿宋_GB2312" w:eastAsia="仿宋_GB2312" w:cs="仿宋_GB2312"/>
                <w:spacing w:val="0"/>
                <w:sz w:val="24"/>
                <w:szCs w:val="24"/>
              </w:rPr>
              <w:t>信息内容</w:t>
            </w:r>
          </w:p>
        </w:tc>
        <w:tc>
          <w:tcPr>
            <w:tcW w:w="2280"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本年制发件数</w:t>
            </w:r>
          </w:p>
        </w:tc>
        <w:tc>
          <w:tcPr>
            <w:tcW w:w="2055"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本年废止件数</w:t>
            </w:r>
          </w:p>
        </w:tc>
        <w:tc>
          <w:tcPr>
            <w:tcW w:w="2685"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现行有效件数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仿宋_GB2312" w:eastAsia="仿宋_GB2312" w:cs="仿宋_GB2312"/>
                <w:spacing w:val="0"/>
                <w:sz w:val="24"/>
                <w:szCs w:val="24"/>
              </w:rPr>
              <w:t>规章</w:t>
            </w:r>
          </w:p>
        </w:tc>
        <w:tc>
          <w:tcPr>
            <w:tcW w:w="2280"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0</w:t>
            </w:r>
          </w:p>
        </w:tc>
        <w:tc>
          <w:tcPr>
            <w:tcW w:w="2055"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t> 　</w:t>
            </w:r>
            <w:r>
              <w:rPr>
                <w:rFonts w:hint="eastAsia" w:ascii="仿宋_GB2312" w:eastAsia="仿宋_GB2312" w:cs="仿宋_GB2312"/>
                <w:spacing w:val="0"/>
                <w:sz w:val="24"/>
                <w:szCs w:val="24"/>
              </w:rPr>
              <w:t>0</w:t>
            </w:r>
          </w:p>
        </w:tc>
        <w:tc>
          <w:tcPr>
            <w:tcW w:w="2685"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jc w:val="both"/>
            </w:pPr>
            <w:r>
              <w:rPr>
                <w:rFonts w:hint="eastAsia" w:ascii="仿宋_GB2312" w:eastAsia="仿宋_GB2312" w:cs="仿宋_GB2312"/>
                <w:spacing w:val="0"/>
                <w:sz w:val="24"/>
                <w:szCs w:val="24"/>
              </w:rPr>
              <w:t>行政规范性文件</w:t>
            </w:r>
          </w:p>
        </w:tc>
        <w:tc>
          <w:tcPr>
            <w:tcW w:w="2280"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0</w:t>
            </w:r>
          </w:p>
        </w:tc>
        <w:tc>
          <w:tcPr>
            <w:tcW w:w="2055"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t> 　</w:t>
            </w:r>
            <w:r>
              <w:rPr>
                <w:rFonts w:hint="eastAsia" w:ascii="仿宋_GB2312" w:eastAsia="仿宋_GB2312" w:cs="仿宋_GB2312"/>
                <w:spacing w:val="0"/>
                <w:sz w:val="24"/>
                <w:szCs w:val="24"/>
              </w:rPr>
              <w:t>0</w:t>
            </w:r>
          </w:p>
        </w:tc>
        <w:tc>
          <w:tcPr>
            <w:tcW w:w="2685" w:type="dxa"/>
            <w:tcBorders>
              <w:top w:val="nil"/>
              <w:left w:val="nil"/>
              <w:bottom w:val="single" w:color="00000A" w:sz="6" w:space="0"/>
              <w:right w:val="single" w:color="00000A"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9105" w:type="dxa"/>
            <w:gridSpan w:val="4"/>
            <w:tcBorders>
              <w:top w:val="nil"/>
              <w:left w:val="single" w:color="00000A" w:sz="6" w:space="0"/>
              <w:bottom w:val="single" w:color="auto" w:sz="6" w:space="0"/>
              <w:right w:val="single" w:color="000001" w:sz="6" w:space="0"/>
            </w:tcBorders>
            <w:shd w:val="clear" w:color="auto" w:fill="C6D9F1"/>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黑体" w:hAnsi="宋体" w:eastAsia="黑体" w:cs="黑体"/>
                <w:spacing w:val="0"/>
                <w:sz w:val="24"/>
                <w:szCs w:val="24"/>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auto" w:sz="6" w:space="0"/>
              <w:bottom w:val="single" w:color="auto" w:sz="6" w:space="0"/>
              <w:right w:val="single" w:color="auto"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仿宋_GB2312" w:eastAsia="仿宋_GB2312" w:cs="仿宋_GB2312"/>
                <w:spacing w:val="0"/>
                <w:sz w:val="24"/>
                <w:szCs w:val="24"/>
              </w:rPr>
              <w:t>信息内容</w:t>
            </w:r>
          </w:p>
        </w:tc>
        <w:tc>
          <w:tcPr>
            <w:tcW w:w="7020" w:type="dxa"/>
            <w:gridSpan w:val="3"/>
            <w:tcBorders>
              <w:top w:val="single" w:color="auto" w:sz="6" w:space="0"/>
              <w:left w:val="nil"/>
              <w:bottom w:val="single" w:color="auto" w:sz="6" w:space="0"/>
              <w:right w:val="single" w:color="auto"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仿宋_GB2312" w:eastAsia="仿宋_GB2312" w:cs="仿宋_GB2312"/>
                <w:spacing w:val="0"/>
                <w:sz w:val="24"/>
                <w:szCs w:val="24"/>
              </w:rPr>
              <w:t>行政许可</w:t>
            </w:r>
          </w:p>
        </w:tc>
        <w:tc>
          <w:tcPr>
            <w:tcW w:w="7020" w:type="dxa"/>
            <w:gridSpan w:val="3"/>
            <w:tcBorders>
              <w:top w:val="nil"/>
              <w:left w:val="nil"/>
              <w:bottom w:val="single" w:color="00000A" w:sz="6" w:space="0"/>
              <w:right w:val="single" w:color="000001"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9105" w:type="dxa"/>
            <w:gridSpan w:val="4"/>
            <w:tcBorders>
              <w:top w:val="nil"/>
              <w:left w:val="single" w:color="00000A" w:sz="6" w:space="0"/>
              <w:bottom w:val="single" w:color="00000A" w:sz="6" w:space="0"/>
              <w:right w:val="single" w:color="000001" w:sz="6" w:space="0"/>
            </w:tcBorders>
            <w:shd w:val="clear" w:color="auto" w:fill="C6D9F1"/>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黑体" w:hAnsi="宋体" w:eastAsia="黑体" w:cs="黑体"/>
                <w:spacing w:val="0"/>
                <w:sz w:val="24"/>
                <w:szCs w:val="24"/>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仿宋_GB2312" w:eastAsia="仿宋_GB2312" w:cs="仿宋_GB2312"/>
                <w:spacing w:val="0"/>
                <w:sz w:val="24"/>
                <w:szCs w:val="24"/>
              </w:rPr>
              <w:t>信息内容</w:t>
            </w:r>
          </w:p>
        </w:tc>
        <w:tc>
          <w:tcPr>
            <w:tcW w:w="7020" w:type="dxa"/>
            <w:gridSpan w:val="3"/>
            <w:tcBorders>
              <w:top w:val="single" w:color="00000A" w:sz="6" w:space="0"/>
              <w:left w:val="nil"/>
              <w:bottom w:val="single" w:color="00000A" w:sz="6" w:space="0"/>
              <w:right w:val="single" w:color="000001"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仿宋_GB2312" w:eastAsia="仿宋_GB2312" w:cs="仿宋_GB2312"/>
                <w:spacing w:val="0"/>
                <w:sz w:val="24"/>
                <w:szCs w:val="24"/>
              </w:rPr>
              <w:t>行政处罚</w:t>
            </w:r>
          </w:p>
        </w:tc>
        <w:tc>
          <w:tcPr>
            <w:tcW w:w="7020" w:type="dxa"/>
            <w:gridSpan w:val="3"/>
            <w:tcBorders>
              <w:top w:val="nil"/>
              <w:left w:val="nil"/>
              <w:bottom w:val="single" w:color="00000A" w:sz="6" w:space="0"/>
              <w:right w:val="single" w:color="000001"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rPr>
                <w:rFonts w:hint="default" w:eastAsia="宋体"/>
                <w:lang w:val="en-US" w:eastAsia="zh-CN"/>
              </w:rPr>
            </w:pPr>
            <w:r>
              <w:rPr>
                <w:rFonts w:hint="eastAsia" w:ascii="仿宋_GB2312" w:eastAsia="仿宋_GB2312" w:cs="仿宋_GB2312"/>
                <w:spacing w:val="0"/>
                <w:sz w:val="24"/>
                <w:szCs w:val="24"/>
                <w:lang w:val="en-US" w:eastAsia="zh-CN"/>
              </w:rPr>
              <w:t>933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仿宋_GB2312" w:eastAsia="仿宋_GB2312" w:cs="仿宋_GB2312"/>
                <w:spacing w:val="0"/>
                <w:sz w:val="24"/>
                <w:szCs w:val="24"/>
              </w:rPr>
              <w:t>行政强制</w:t>
            </w:r>
          </w:p>
        </w:tc>
        <w:tc>
          <w:tcPr>
            <w:tcW w:w="7020" w:type="dxa"/>
            <w:gridSpan w:val="3"/>
            <w:tcBorders>
              <w:top w:val="nil"/>
              <w:left w:val="nil"/>
              <w:bottom w:val="single" w:color="00000A" w:sz="6" w:space="0"/>
              <w:right w:val="single" w:color="000001"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rPr>
                <w:rFonts w:hint="eastAsia" w:eastAsia="宋体"/>
                <w:lang w:eastAsia="zh-CN"/>
              </w:rPr>
            </w:pPr>
            <w:r>
              <w:rPr>
                <w:rFonts w:hint="eastAsia" w:ascii="仿宋_GB2312" w:eastAsia="仿宋_GB2312" w:cs="仿宋_GB2312"/>
                <w:spacing w:val="0"/>
                <w:sz w:val="24"/>
                <w:szCs w:val="24"/>
                <w:lang w:val="en-US" w:eastAsia="zh-CN"/>
              </w:rPr>
              <w:t>4</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9105" w:type="dxa"/>
            <w:gridSpan w:val="4"/>
            <w:tcBorders>
              <w:top w:val="nil"/>
              <w:left w:val="single" w:color="00000A" w:sz="6" w:space="0"/>
              <w:bottom w:val="single" w:color="00000A" w:sz="6" w:space="0"/>
              <w:right w:val="single" w:color="000001" w:sz="6" w:space="0"/>
            </w:tcBorders>
            <w:shd w:val="clear" w:color="auto" w:fill="C6D9F1"/>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both"/>
            </w:pPr>
            <w:r>
              <w:rPr>
                <w:rFonts w:hint="eastAsia" w:ascii="黑体" w:hAnsi="宋体" w:eastAsia="黑体" w:cs="黑体"/>
                <w:spacing w:val="0"/>
                <w:sz w:val="24"/>
                <w:szCs w:val="24"/>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60"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信息内容</w:t>
            </w:r>
          </w:p>
        </w:tc>
        <w:tc>
          <w:tcPr>
            <w:tcW w:w="7020" w:type="dxa"/>
            <w:gridSpan w:val="3"/>
            <w:tcBorders>
              <w:top w:val="single" w:color="00000A" w:sz="6" w:space="0"/>
              <w:left w:val="nil"/>
              <w:bottom w:val="single" w:color="00000A" w:sz="6" w:space="0"/>
              <w:right w:val="single" w:color="000001"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本年收费金额（单位：万元）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345" w:hRule="atLeast"/>
        </w:trPr>
        <w:tc>
          <w:tcPr>
            <w:tcW w:w="2100" w:type="dxa"/>
            <w:tcBorders>
              <w:top w:val="nil"/>
              <w:left w:val="single" w:color="00000A" w:sz="6" w:space="0"/>
              <w:bottom w:val="single" w:color="00000A" w:sz="6" w:space="0"/>
              <w:right w:val="single" w:color="00000A" w:sz="6" w:space="0"/>
            </w:tcBorders>
            <w:noWrap w:val="0"/>
            <w:tcMar>
              <w:top w:w="0" w:type="dxa"/>
              <w:left w:w="12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jc w:val="center"/>
            </w:pPr>
            <w:r>
              <w:rPr>
                <w:rFonts w:hint="eastAsia" w:ascii="仿宋_GB2312" w:eastAsia="仿宋_GB2312" w:cs="仿宋_GB2312"/>
                <w:spacing w:val="0"/>
                <w:sz w:val="24"/>
                <w:szCs w:val="24"/>
              </w:rPr>
              <w:t>行政事业性收费</w:t>
            </w:r>
          </w:p>
        </w:tc>
        <w:tc>
          <w:tcPr>
            <w:tcW w:w="7020" w:type="dxa"/>
            <w:gridSpan w:val="3"/>
            <w:tcBorders>
              <w:top w:val="nil"/>
              <w:left w:val="nil"/>
              <w:bottom w:val="single" w:color="00000A" w:sz="6" w:space="0"/>
              <w:right w:val="single" w:color="000001" w:sz="6" w:space="0"/>
            </w:tcBorders>
            <w:noWrap w:val="0"/>
            <w:tcMar>
              <w:top w:w="0" w:type="dxa"/>
              <w:left w:w="0" w:type="dxa"/>
              <w:bottom w:w="0" w:type="dxa"/>
              <w:right w:w="12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480"/>
              <w:jc w:val="center"/>
            </w:pPr>
            <w:r>
              <w:rPr>
                <w:rFonts w:hint="eastAsia" w:ascii="仿宋_GB2312" w:eastAsia="仿宋_GB2312" w:cs="仿宋_GB2312"/>
                <w:spacing w:val="0"/>
                <w:sz w:val="24"/>
                <w:szCs w:val="24"/>
              </w:rPr>
              <w:t>0</w:t>
            </w:r>
          </w:p>
        </w:tc>
      </w:tr>
    </w:tbl>
    <w:p>
      <w:pPr>
        <w:pStyle w:val="3"/>
        <w:keepNext w:val="0"/>
        <w:keepLines w:val="0"/>
        <w:widowControl/>
        <w:suppressLineNumbers w:val="0"/>
        <w:spacing w:line="555" w:lineRule="atLeast"/>
        <w:ind w:left="0" w:firstLine="315"/>
      </w:pPr>
      <w:r>
        <w:t> </w:t>
      </w:r>
    </w:p>
    <w:p>
      <w:pPr>
        <w:pStyle w:val="3"/>
        <w:keepNext w:val="0"/>
        <w:keepLines w:val="0"/>
        <w:widowControl/>
        <w:suppressLineNumbers w:val="0"/>
        <w:spacing w:line="555" w:lineRule="atLeast"/>
        <w:ind w:left="0" w:firstLine="420"/>
      </w:pPr>
      <w:r>
        <w:rPr>
          <w:rFonts w:hint="eastAsia" w:ascii="黑体" w:hAnsi="宋体" w:eastAsia="黑体" w:cs="黑体"/>
          <w:sz w:val="31"/>
          <w:szCs w:val="31"/>
        </w:rPr>
        <w:t>三、收到和处理政府信息公开申请情况统计表</w:t>
      </w:r>
    </w:p>
    <w:tbl>
      <w:tblPr>
        <w:tblStyle w:val="4"/>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autofit"/>
        <w:tblCellMar>
          <w:top w:w="75" w:type="dxa"/>
          <w:left w:w="150" w:type="dxa"/>
          <w:bottom w:w="75" w:type="dxa"/>
          <w:right w:w="150" w:type="dxa"/>
        </w:tblCellMar>
      </w:tblPr>
      <w:tblGrid>
        <w:gridCol w:w="612"/>
        <w:gridCol w:w="742"/>
        <w:gridCol w:w="1691"/>
        <w:gridCol w:w="879"/>
        <w:gridCol w:w="710"/>
        <w:gridCol w:w="814"/>
        <w:gridCol w:w="749"/>
        <w:gridCol w:w="749"/>
        <w:gridCol w:w="606"/>
        <w:gridCol w:w="762"/>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285" w:type="dxa"/>
            <w:gridSpan w:val="3"/>
            <w:vMerge w:val="restart"/>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ascii="仿宋" w:hAnsi="仿宋" w:eastAsia="仿宋" w:cs="仿宋"/>
                <w:sz w:val="24"/>
                <w:szCs w:val="24"/>
              </w:rPr>
              <w:t>（本列数据的勾稽关系为：第一项加第二项之和，等于第三项加第四项之和）</w:t>
            </w:r>
          </w:p>
        </w:tc>
        <w:tc>
          <w:tcPr>
            <w:tcW w:w="5805" w:type="dxa"/>
            <w:gridSpan w:val="7"/>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申请人情况</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285" w:type="dxa"/>
            <w:gridSpan w:val="3"/>
            <w:vMerge w:val="continue"/>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975" w:type="dxa"/>
            <w:vMerge w:val="restart"/>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自然人</w:t>
            </w:r>
          </w:p>
        </w:tc>
        <w:tc>
          <w:tcPr>
            <w:tcW w:w="3990" w:type="dxa"/>
            <w:gridSpan w:val="5"/>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法人或其他组织</w:t>
            </w:r>
          </w:p>
        </w:tc>
        <w:tc>
          <w:tcPr>
            <w:tcW w:w="840" w:type="dxa"/>
            <w:vMerge w:val="restart"/>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合计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285" w:type="dxa"/>
            <w:gridSpan w:val="3"/>
            <w:vMerge w:val="continue"/>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975"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商业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企业</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科研</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机构</w:t>
            </w:r>
          </w:p>
        </w:tc>
        <w:tc>
          <w:tcPr>
            <w:tcW w:w="825"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社会公</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益组织</w:t>
            </w:r>
          </w:p>
        </w:tc>
        <w:tc>
          <w:tcPr>
            <w:tcW w:w="825"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法律服</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务机构</w:t>
            </w:r>
          </w:p>
        </w:tc>
        <w:tc>
          <w:tcPr>
            <w:tcW w:w="66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其他</w:t>
            </w:r>
          </w:p>
        </w:tc>
        <w:tc>
          <w:tcPr>
            <w:tcW w:w="840" w:type="dxa"/>
            <w:vMerge w:val="continue"/>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285" w:type="dxa"/>
            <w:gridSpan w:val="3"/>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一、本年新收政府信息公开申请数量</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eastAsia" w:eastAsia="宋体"/>
                <w:lang w:eastAsia="zh-CN"/>
              </w:rPr>
            </w:pPr>
            <w:r>
              <w:rPr>
                <w:rFonts w:hint="eastAsia" w:ascii="仿宋" w:hAnsi="仿宋" w:eastAsia="仿宋" w:cs="仿宋"/>
                <w:sz w:val="24"/>
                <w:szCs w:val="24"/>
                <w:lang w:val="en-US" w:eastAsia="zh-CN"/>
              </w:rPr>
              <w:t>3</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eastAsia" w:eastAsia="宋体"/>
                <w:lang w:eastAsia="zh-CN"/>
              </w:rPr>
            </w:pPr>
            <w:r>
              <w:rPr>
                <w:rFonts w:hint="eastAsia" w:ascii="仿宋" w:hAnsi="仿宋" w:eastAsia="仿宋" w:cs="仿宋"/>
                <w:sz w:val="24"/>
                <w:szCs w:val="24"/>
                <w:lang w:val="en-US" w:eastAsia="zh-CN"/>
              </w:rPr>
              <w:t>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285" w:type="dxa"/>
            <w:gridSpan w:val="3"/>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二、上年结转政府信息公开申请数量</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restart"/>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三、本年度办理结果</w:t>
            </w:r>
          </w:p>
        </w:tc>
        <w:tc>
          <w:tcPr>
            <w:tcW w:w="2655" w:type="dxa"/>
            <w:gridSpan w:val="2"/>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(一)予以公开</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eastAsia" w:eastAsia="宋体"/>
                <w:lang w:eastAsia="zh-CN"/>
              </w:rPr>
            </w:pPr>
            <w:r>
              <w:rPr>
                <w:rFonts w:hint="eastAsia" w:ascii="仿宋" w:hAnsi="仿宋" w:eastAsia="仿宋" w:cs="仿宋"/>
                <w:sz w:val="24"/>
                <w:szCs w:val="24"/>
                <w:lang w:val="en-US" w:eastAsia="zh-CN"/>
              </w:rPr>
              <w:t>1</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eastAsia" w:eastAsia="宋体"/>
                <w:lang w:eastAsia="zh-CN"/>
              </w:rPr>
            </w:pPr>
            <w:r>
              <w:rPr>
                <w:rFonts w:hint="eastAsia" w:ascii="仿宋" w:hAnsi="仿宋" w:eastAsia="仿宋" w:cs="仿宋"/>
                <w:sz w:val="24"/>
                <w:szCs w:val="24"/>
                <w:lang w:val="en-US" w:eastAsia="zh-CN"/>
              </w:rPr>
              <w:t>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2655" w:type="dxa"/>
            <w:gridSpan w:val="2"/>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(二)部分公开(区分处理的，只计这一情形，不计其他情形)</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restart"/>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不予</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公开</w:t>
            </w: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1.属于国家秘密</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2.其他法律行政法规禁止公开</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3.危及“三安全一稳定”</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4.保护第三方合法权益</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5.属于三类内部事务信息</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6.属于四类过程性信息</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7.属于行政执法案卷</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90" w:hRule="atLeast"/>
        </w:trPr>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8.属于行政查询事项</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restart"/>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(四)</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无法</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提供</w:t>
            </w: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1.本机关不掌握相关政府信息</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2.没有现成信息需要另行制作</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default" w:eastAsia="宋体"/>
                <w:lang w:val="en-US" w:eastAsia="zh-CN"/>
              </w:rPr>
            </w:pPr>
            <w:r>
              <w:rPr>
                <w:rFonts w:hint="eastAsia"/>
                <w:lang w:val="en-US" w:eastAsia="zh-CN"/>
              </w:rPr>
              <w:t>2</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eastAsia" w:eastAsia="宋体"/>
                <w:lang w:eastAsia="zh-CN"/>
              </w:rPr>
            </w:pPr>
            <w:r>
              <w:rPr>
                <w:rFonts w:hint="eastAsia" w:ascii="仿宋" w:hAnsi="仿宋" w:eastAsia="仿宋" w:cs="仿宋"/>
                <w:sz w:val="24"/>
                <w:szCs w:val="24"/>
                <w:lang w:val="en-US" w:eastAsia="zh-CN"/>
              </w:rPr>
              <w:t>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690" w:hRule="atLeast"/>
        </w:trPr>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3.补正后申请内容仍不明确</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restart"/>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三、本年度办理结果</w:t>
            </w:r>
          </w:p>
        </w:tc>
        <w:tc>
          <w:tcPr>
            <w:tcW w:w="780" w:type="dxa"/>
            <w:vMerge w:val="restart"/>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(五)</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不予</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处理</w:t>
            </w: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1.信访举报投诉类申请</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2.重复申请</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3.要求提供公开出版物</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4.无正当理由大量反复申请</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trHeight w:val="855" w:hRule="atLeast"/>
        </w:trPr>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78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1875" w:type="dxa"/>
            <w:tcBorders>
              <w:top w:val="nil"/>
              <w:left w:val="nil"/>
              <w:bottom w:val="single" w:color="auto" w:sz="6" w:space="0"/>
              <w:right w:val="single" w:color="auto" w:sz="6" w:space="0"/>
            </w:tcBorders>
            <w:noWrap w:val="0"/>
            <w:tcMar>
              <w:top w:w="0" w:type="dxa"/>
              <w:left w:w="0" w:type="dxa"/>
              <w:bottom w:w="0" w:type="dxa"/>
              <w:right w:w="0"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5.要求行政机关确认或重新出具已取信息</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2655" w:type="dxa"/>
            <w:gridSpan w:val="2"/>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(六)其他处理</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63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2655" w:type="dxa"/>
            <w:gridSpan w:val="2"/>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(七)总计</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eastAsia" w:eastAsia="宋体"/>
                <w:lang w:eastAsia="zh-CN"/>
              </w:rPr>
            </w:pPr>
            <w:r>
              <w:rPr>
                <w:rFonts w:hint="eastAsia" w:ascii="仿宋" w:hAnsi="仿宋" w:eastAsia="仿宋" w:cs="仿宋"/>
                <w:sz w:val="24"/>
                <w:szCs w:val="24"/>
                <w:lang w:val="en-US" w:eastAsia="zh-CN"/>
              </w:rPr>
              <w:t>3</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rPr>
                <w:rFonts w:hint="eastAsia" w:eastAsia="宋体"/>
                <w:lang w:eastAsia="zh-CN"/>
              </w:rPr>
            </w:pPr>
            <w:r>
              <w:rPr>
                <w:rFonts w:hint="eastAsia" w:ascii="仿宋" w:hAnsi="仿宋" w:eastAsia="仿宋" w:cs="仿宋"/>
                <w:sz w:val="24"/>
                <w:szCs w:val="24"/>
                <w:lang w:val="en-US" w:eastAsia="zh-CN"/>
              </w:rPr>
              <w:t>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c>
          <w:tcPr>
            <w:tcW w:w="3285" w:type="dxa"/>
            <w:gridSpan w:val="3"/>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pPr>
            <w:r>
              <w:rPr>
                <w:rFonts w:hint="eastAsia" w:ascii="仿宋" w:hAnsi="仿宋" w:eastAsia="仿宋" w:cs="仿宋"/>
                <w:sz w:val="24"/>
                <w:szCs w:val="24"/>
              </w:rPr>
              <w:t>四、结转下年度继续办理</w:t>
            </w:r>
          </w:p>
        </w:tc>
        <w:tc>
          <w:tcPr>
            <w:tcW w:w="97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78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90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25"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66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84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bl>
    <w:p>
      <w:pPr>
        <w:pStyle w:val="3"/>
        <w:keepNext w:val="0"/>
        <w:keepLines w:val="0"/>
        <w:widowControl/>
        <w:suppressLineNumbers w:val="0"/>
        <w:spacing w:before="150" w:beforeAutospacing="0" w:after="150" w:afterAutospacing="0" w:line="315" w:lineRule="atLeast"/>
        <w:ind w:left="0" w:firstLine="420"/>
      </w:pPr>
      <w:r>
        <w:rPr>
          <w:rFonts w:hint="eastAsia" w:ascii="黑体" w:hAnsi="宋体" w:eastAsia="黑体" w:cs="黑体"/>
          <w:sz w:val="31"/>
          <w:szCs w:val="31"/>
        </w:rPr>
        <w:t>   四、政府信息公开行政复议、行政诉讼情况统计表</w:t>
      </w:r>
    </w:p>
    <w:tbl>
      <w:tblPr>
        <w:tblStyle w:val="4"/>
        <w:tblW w:w="0" w:type="auto"/>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Layout w:type="autofit"/>
        <w:tblCellMar>
          <w:top w:w="75" w:type="dxa"/>
          <w:left w:w="150" w:type="dxa"/>
          <w:bottom w:w="75" w:type="dxa"/>
          <w:right w:w="150" w:type="dxa"/>
        </w:tblCellMar>
      </w:tblPr>
      <w:tblGrid>
        <w:gridCol w:w="554"/>
        <w:gridCol w:w="554"/>
        <w:gridCol w:w="554"/>
        <w:gridCol w:w="555"/>
        <w:gridCol w:w="555"/>
        <w:gridCol w:w="555"/>
        <w:gridCol w:w="555"/>
        <w:gridCol w:w="555"/>
        <w:gridCol w:w="555"/>
        <w:gridCol w:w="555"/>
        <w:gridCol w:w="555"/>
        <w:gridCol w:w="555"/>
        <w:gridCol w:w="555"/>
        <w:gridCol w:w="555"/>
        <w:gridCol w:w="555"/>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PrEx>
        <w:trPr>
          <w:jc w:val="center"/>
        </w:trPr>
        <w:tc>
          <w:tcPr>
            <w:tcW w:w="2835" w:type="dxa"/>
            <w:gridSpan w:val="5"/>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行政复议</w:t>
            </w:r>
          </w:p>
        </w:tc>
        <w:tc>
          <w:tcPr>
            <w:tcW w:w="5655" w:type="dxa"/>
            <w:gridSpan w:val="10"/>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70" w:type="dxa"/>
            <w:vMerge w:val="restart"/>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结果维持</w:t>
            </w:r>
          </w:p>
        </w:tc>
        <w:tc>
          <w:tcPr>
            <w:tcW w:w="570" w:type="dxa"/>
            <w:vMerge w:val="restart"/>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结果纠正</w:t>
            </w:r>
          </w:p>
        </w:tc>
        <w:tc>
          <w:tcPr>
            <w:tcW w:w="570" w:type="dxa"/>
            <w:vMerge w:val="restart"/>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其他结果</w:t>
            </w:r>
          </w:p>
        </w:tc>
        <w:tc>
          <w:tcPr>
            <w:tcW w:w="570" w:type="dxa"/>
            <w:vMerge w:val="restart"/>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尚未审结</w:t>
            </w:r>
          </w:p>
        </w:tc>
        <w:tc>
          <w:tcPr>
            <w:tcW w:w="570" w:type="dxa"/>
            <w:vMerge w:val="restart"/>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总计</w:t>
            </w:r>
          </w:p>
        </w:tc>
        <w:tc>
          <w:tcPr>
            <w:tcW w:w="2820" w:type="dxa"/>
            <w:gridSpan w:val="5"/>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color w:val="333333"/>
                <w:sz w:val="24"/>
                <w:szCs w:val="24"/>
                <w:shd w:val="clear" w:color="auto" w:fill="FFFFFF"/>
              </w:rPr>
              <w:t>未经复议直接起诉</w:t>
            </w:r>
          </w:p>
        </w:tc>
        <w:tc>
          <w:tcPr>
            <w:tcW w:w="2820" w:type="dxa"/>
            <w:gridSpan w:val="5"/>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复议后起诉</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70" w:type="dxa"/>
            <w:vMerge w:val="continue"/>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570" w:type="dxa"/>
            <w:vMerge w:val="continue"/>
            <w:tcBorders>
              <w:top w:val="nil"/>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570" w:type="dxa"/>
            <w:vMerge w:val="continue"/>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570" w:type="dxa"/>
            <w:vMerge w:val="continue"/>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570" w:type="dxa"/>
            <w:vMerge w:val="continue"/>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rPr>
                <w:rFonts w:hint="eastAsia" w:ascii="宋体"/>
                <w:sz w:val="24"/>
                <w:szCs w:val="24"/>
              </w:rPr>
            </w:pP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结果维持</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结果纠正</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其他结果</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尚未审结</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总计</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结果维持</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结果纠正</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其他结果</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尚未审结</w:t>
            </w:r>
          </w:p>
        </w:tc>
        <w:tc>
          <w:tcPr>
            <w:tcW w:w="570" w:type="dxa"/>
            <w:tcBorders>
              <w:top w:val="single" w:color="auto" w:sz="6" w:space="0"/>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75" w:type="dxa"/>
            <w:left w:w="150" w:type="dxa"/>
            <w:bottom w:w="75" w:type="dxa"/>
            <w:right w:w="150" w:type="dxa"/>
          </w:tblCellMar>
        </w:tblPrEx>
        <w:trPr>
          <w:jc w:val="center"/>
        </w:trPr>
        <w:tc>
          <w:tcPr>
            <w:tcW w:w="570" w:type="dxa"/>
            <w:tcBorders>
              <w:top w:val="nil"/>
              <w:left w:val="single" w:color="auto" w:sz="6" w:space="0"/>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c>
          <w:tcPr>
            <w:tcW w:w="570" w:type="dxa"/>
            <w:tcBorders>
              <w:top w:val="nil"/>
              <w:left w:val="nil"/>
              <w:bottom w:val="single" w:color="auto" w:sz="6" w:space="0"/>
              <w:right w:val="single" w:color="auto" w:sz="6" w:space="0"/>
            </w:tcBorders>
            <w:noWrap w:val="0"/>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25" w:afterAutospacing="0" w:line="315" w:lineRule="atLeast"/>
              <w:ind w:left="0" w:right="0"/>
              <w:jc w:val="center"/>
            </w:pPr>
            <w:r>
              <w:rPr>
                <w:rFonts w:hint="eastAsia" w:ascii="仿宋" w:hAnsi="仿宋" w:eastAsia="仿宋" w:cs="仿宋"/>
                <w:sz w:val="24"/>
                <w:szCs w:val="24"/>
              </w:rPr>
              <w:t>0</w:t>
            </w:r>
          </w:p>
        </w:tc>
      </w:tr>
    </w:tbl>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textAlignment w:val="auto"/>
      </w:pPr>
      <w:r>
        <w:rPr>
          <w:rFonts w:hint="eastAsia" w:ascii="黑体" w:hAnsi="宋体" w:eastAsia="黑体" w:cs="黑体"/>
          <w:spacing w:val="0"/>
          <w:sz w:val="31"/>
          <w:szCs w:val="31"/>
        </w:rPr>
        <w:t>   五、政府信息公开工作存在的主要问题及改进情况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Style w:val="6"/>
          <w:rFonts w:hint="eastAsia" w:ascii="楷体_GB2312" w:eastAsia="楷体_GB2312" w:cs="楷体_GB2312"/>
          <w:sz w:val="31"/>
          <w:szCs w:val="31"/>
        </w:rPr>
        <w:t>（一）存在问题</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80"/>
        <w:jc w:val="both"/>
        <w:textAlignment w:val="auto"/>
      </w:pPr>
      <w:r>
        <w:rPr>
          <w:rStyle w:val="6"/>
          <w:rFonts w:hint="eastAsia" w:ascii="仿宋_GB2312" w:eastAsia="仿宋_GB2312" w:cs="仿宋_GB2312"/>
          <w:sz w:val="31"/>
          <w:szCs w:val="31"/>
        </w:rPr>
        <w:t>一是信息公开时效性不高。</w:t>
      </w:r>
      <w:r>
        <w:rPr>
          <w:rFonts w:hint="eastAsia" w:ascii="仿宋_GB2312" w:eastAsia="仿宋_GB2312" w:cs="仿宋_GB2312"/>
          <w:sz w:val="31"/>
          <w:szCs w:val="31"/>
        </w:rPr>
        <w:t>信息发布得时间节点连续性不够强，各科室以及各单位得互联互通不够完善。</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80"/>
        <w:jc w:val="both"/>
        <w:textAlignment w:val="auto"/>
      </w:pPr>
      <w:r>
        <w:rPr>
          <w:rStyle w:val="6"/>
          <w:rFonts w:hint="eastAsia" w:ascii="仿宋_GB2312" w:eastAsia="仿宋_GB2312" w:cs="仿宋_GB2312"/>
          <w:sz w:val="31"/>
          <w:szCs w:val="31"/>
        </w:rPr>
        <w:t>二是政务公开信息脱离基层。</w:t>
      </w:r>
      <w:r>
        <w:rPr>
          <w:rFonts w:hint="eastAsia" w:ascii="仿宋_GB2312" w:eastAsia="仿宋_GB2312" w:cs="仿宋_GB2312"/>
          <w:color w:val="333333"/>
          <w:spacing w:val="0"/>
          <w:sz w:val="31"/>
          <w:szCs w:val="31"/>
        </w:rPr>
        <w:t>政府信息公开取得了新的进展，但是与公众需求相比，没有深入联系群众，还存在一定差距。</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rStyle w:val="6"/>
          <w:rFonts w:hint="eastAsia" w:ascii="仿宋_GB2312" w:eastAsia="仿宋_GB2312" w:cs="仿宋_GB2312"/>
          <w:color w:val="333333"/>
          <w:spacing w:val="0"/>
          <w:sz w:val="31"/>
          <w:szCs w:val="31"/>
        </w:rPr>
        <w:t>三是考核问责不够。</w:t>
      </w:r>
      <w:r>
        <w:rPr>
          <w:rFonts w:hint="eastAsia" w:ascii="仿宋_GB2312" w:eastAsia="仿宋_GB2312" w:cs="仿宋_GB2312"/>
          <w:color w:val="333333"/>
          <w:spacing w:val="0"/>
          <w:sz w:val="31"/>
          <w:szCs w:val="31"/>
        </w:rPr>
        <w:t>部分科室对公开工作认识不足，对科室公开工作落实上还不能有效的问责考核。</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rPr>
          <w:rStyle w:val="6"/>
          <w:rFonts w:hint="eastAsia" w:ascii="楷体_GB2312" w:hAnsi="Times New Roman" w:eastAsia="楷体_GB2312" w:cs="楷体_GB2312"/>
          <w:sz w:val="31"/>
          <w:szCs w:val="31"/>
        </w:rPr>
      </w:pPr>
      <w:r>
        <w:rPr>
          <w:rStyle w:val="6"/>
          <w:rFonts w:hint="eastAsia" w:ascii="楷体_GB2312" w:hAnsi="Times New Roman" w:eastAsia="楷体_GB2312" w:cs="楷体_GB2312"/>
          <w:sz w:val="31"/>
          <w:szCs w:val="31"/>
        </w:rPr>
        <w:t>（二）整改措施</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Style w:val="6"/>
          <w:rFonts w:hint="eastAsia" w:ascii="仿宋_GB2312" w:eastAsia="仿宋_GB2312" w:cs="仿宋_GB2312"/>
          <w:sz w:val="31"/>
          <w:szCs w:val="31"/>
        </w:rPr>
        <w:t>一是加大主动公开力度。</w:t>
      </w:r>
      <w:r>
        <w:rPr>
          <w:rFonts w:hint="eastAsia" w:ascii="仿宋_GB2312" w:eastAsia="仿宋_GB2312" w:cs="仿宋_GB2312"/>
          <w:sz w:val="31"/>
          <w:szCs w:val="31"/>
        </w:rPr>
        <w:t>根据相关规章制度，从各方面不断创新信息公开工作机制，继续完善卫生健康信息公开制度。加强队伍建设，协调好各科室与下属单位的沟通，规范信息报送流程，提高信息公开工作效率和质量。</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textAlignment w:val="auto"/>
      </w:pPr>
      <w:r>
        <w:rPr>
          <w:rStyle w:val="6"/>
          <w:rFonts w:hint="eastAsia" w:ascii="仿宋_GB2312" w:eastAsia="仿宋_GB2312" w:cs="仿宋_GB2312"/>
          <w:sz w:val="31"/>
          <w:szCs w:val="31"/>
        </w:rPr>
        <w:t>二是完善基层信息公开机制。</w:t>
      </w:r>
      <w:r>
        <w:rPr>
          <w:rFonts w:hint="eastAsia" w:ascii="仿宋_GB2312" w:eastAsia="仿宋_GB2312" w:cs="仿宋_GB2312"/>
          <w:color w:val="333333"/>
          <w:sz w:val="31"/>
          <w:szCs w:val="31"/>
        </w:rPr>
        <w:t>把群众最关心、反映最强烈的事项作为政府信息公开的主要内容，确保卫生健康信息渠道畅通，进一步规范和梳理公开内容，重点公开社会公众普遍关心、涉及人民群众切身利益的政府信息，增强公开的及时性、准确性、权威性和有效性。</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5"/>
        <w:textAlignment w:val="auto"/>
      </w:pPr>
      <w:r>
        <w:rPr>
          <w:rStyle w:val="6"/>
          <w:rFonts w:hint="eastAsia" w:ascii="仿宋_GB2312" w:eastAsia="仿宋_GB2312" w:cs="仿宋_GB2312"/>
          <w:color w:val="333333"/>
          <w:sz w:val="31"/>
          <w:szCs w:val="31"/>
        </w:rPr>
        <w:t>三是落实工作考核制度。</w:t>
      </w:r>
      <w:r>
        <w:rPr>
          <w:rFonts w:hint="eastAsia" w:ascii="仿宋_GB2312" w:eastAsia="仿宋_GB2312" w:cs="仿宋_GB2312"/>
          <w:color w:val="333333"/>
          <w:sz w:val="31"/>
          <w:szCs w:val="31"/>
        </w:rPr>
        <w:t>结合各科室政务考核工作实际，制定政务公开考核制度，并纳入年度工作考核之中，对信息公开意识淡薄，工作推进缓慢等，追究相关科室责任。</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textAlignment w:val="auto"/>
      </w:pPr>
      <w:r>
        <w:rPr>
          <w:rFonts w:hint="eastAsia" w:ascii="黑体" w:hAnsi="宋体" w:eastAsia="黑体" w:cs="黑体"/>
          <w:sz w:val="31"/>
          <w:szCs w:val="31"/>
        </w:rPr>
        <w:t>六、其他需要报告的事项</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Fonts w:hint="eastAsia" w:ascii="楷体_GB2312" w:eastAsia="楷体_GB2312" w:cs="楷体_GB2312"/>
          <w:spacing w:val="0"/>
          <w:sz w:val="31"/>
          <w:szCs w:val="31"/>
          <w:shd w:val="clear" w:color="auto" w:fill="FFFFFF"/>
        </w:rPr>
        <w:t>（一）收取信息处理费的情况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rPr>
          <w:rFonts w:hint="eastAsia" w:ascii="仿宋_GB2312" w:eastAsia="仿宋_GB2312" w:cs="仿宋_GB2312"/>
          <w:spacing w:val="0"/>
          <w:sz w:val="31"/>
          <w:szCs w:val="31"/>
          <w:shd w:val="clear" w:color="auto" w:fill="FFFFFF"/>
        </w:rPr>
      </w:pPr>
      <w:r>
        <w:rPr>
          <w:rFonts w:hint="eastAsia" w:ascii="仿宋_GB2312" w:eastAsia="仿宋_GB2312" w:cs="仿宋_GB2312"/>
          <w:spacing w:val="0"/>
          <w:sz w:val="31"/>
          <w:szCs w:val="31"/>
          <w:shd w:val="clear" w:color="auto" w:fill="FFFFFF"/>
        </w:rPr>
        <w:t>2023年，卫生健康局政府信息公开工作未发生《政府信息公开信息处理费管理办法》所列情况，无收费及减免情况。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Fonts w:hint="eastAsia" w:ascii="楷体_GB2312" w:eastAsia="楷体_GB2312" w:cs="楷体_GB2312"/>
          <w:spacing w:val="0"/>
          <w:sz w:val="31"/>
          <w:szCs w:val="31"/>
          <w:shd w:val="clear" w:color="auto" w:fill="FFFFFF"/>
        </w:rPr>
        <w:t>（二）落实上级年度政务公开工作要点情况。</w:t>
      </w:r>
      <w:r>
        <w:rPr>
          <w:rFonts w:hint="eastAsia" w:ascii="仿宋_GB2312" w:eastAsia="仿宋_GB2312" w:cs="仿宋_GB2312"/>
          <w:spacing w:val="0"/>
          <w:sz w:val="31"/>
          <w:szCs w:val="31"/>
          <w:shd w:val="clear" w:color="auto" w:fill="FFFFFF"/>
        </w:rPr>
        <w:t>按照《滕州市2023年政务公开工作要点》要求，围绕重点领域信息公开，对《政府工作报告》（惠民实事）任务进展情况，建立工作台账，按照季度主动公开。</w:t>
      </w:r>
      <w:r>
        <w:rPr>
          <w:rFonts w:hint="eastAsia" w:ascii="仿宋_GB2312" w:eastAsia="仿宋_GB2312" w:cs="仿宋_GB2312"/>
          <w:sz w:val="31"/>
          <w:szCs w:val="31"/>
        </w:rPr>
        <w:t>及时公开行政执法结果信息、年度行政执法总体情况。拟定“双随机</w:t>
      </w:r>
      <w:r>
        <w:rPr>
          <w:rFonts w:hint="eastAsia" w:ascii="仿宋_GB2312" w:eastAsia="仿宋_GB2312" w:cs="仿宋_GB2312"/>
          <w:sz w:val="31"/>
          <w:szCs w:val="31"/>
          <w:lang w:eastAsia="zh-CN"/>
        </w:rPr>
        <w:t>、</w:t>
      </w:r>
      <w:bookmarkStart w:id="0" w:name="_GoBack"/>
      <w:bookmarkEnd w:id="0"/>
      <w:r>
        <w:rPr>
          <w:rFonts w:hint="eastAsia" w:ascii="仿宋_GB2312" w:eastAsia="仿宋_GB2312" w:cs="仿宋_GB2312"/>
          <w:sz w:val="31"/>
          <w:szCs w:val="31"/>
        </w:rPr>
        <w:t>一公开”年度抽查计划，及时公开抽查事项清单和结果信息。公开医疗资源配置情况、公共卫生服务机构名录及健康科普信息。保质保量完成公共企事业信息公开工作。</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Fonts w:hint="eastAsia" w:ascii="楷体_GB2312" w:eastAsia="楷体_GB2312" w:cs="楷体_GB2312"/>
          <w:spacing w:val="0"/>
          <w:sz w:val="31"/>
          <w:szCs w:val="31"/>
          <w:shd w:val="clear" w:color="auto" w:fill="FFFFFF"/>
        </w:rPr>
        <w:t>（三）建议提案办理公开情况</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rPr>
          <w:rFonts w:hint="eastAsia" w:ascii="仿宋_GB2312" w:eastAsia="仿宋_GB2312" w:cs="仿宋_GB2312"/>
          <w:sz w:val="31"/>
          <w:szCs w:val="31"/>
        </w:rPr>
      </w:pPr>
      <w:r>
        <w:rPr>
          <w:rFonts w:hint="eastAsia" w:ascii="仿宋_GB2312" w:eastAsia="仿宋_GB2312" w:cs="仿宋_GB2312"/>
          <w:sz w:val="31"/>
          <w:szCs w:val="31"/>
        </w:rPr>
        <w:t>2023年，滕州市卫生健康局收到滕州市政协提案</w:t>
      </w:r>
      <w:r>
        <w:rPr>
          <w:rFonts w:hint="eastAsia" w:ascii="仿宋_GB2312" w:eastAsia="仿宋_GB2312" w:cs="仿宋_GB2312"/>
          <w:sz w:val="31"/>
          <w:szCs w:val="31"/>
          <w:lang w:val="en-US" w:eastAsia="zh-CN"/>
        </w:rPr>
        <w:t>37</w:t>
      </w:r>
      <w:r>
        <w:rPr>
          <w:rFonts w:hint="eastAsia" w:ascii="仿宋_GB2312" w:eastAsia="仿宋_GB2312" w:cs="仿宋_GB2312"/>
          <w:sz w:val="31"/>
          <w:szCs w:val="31"/>
        </w:rPr>
        <w:t>件、承办市人大代表提案</w:t>
      </w:r>
      <w:r>
        <w:rPr>
          <w:rFonts w:hint="eastAsia" w:ascii="仿宋_GB2312" w:eastAsia="仿宋_GB2312" w:cs="仿宋_GB2312"/>
          <w:sz w:val="31"/>
          <w:szCs w:val="31"/>
          <w:lang w:val="en-US" w:eastAsia="zh-CN"/>
        </w:rPr>
        <w:t>7</w:t>
      </w:r>
      <w:r>
        <w:rPr>
          <w:rFonts w:hint="eastAsia" w:ascii="仿宋_GB2312" w:eastAsia="仿宋_GB2312" w:cs="仿宋_GB2312"/>
          <w:sz w:val="31"/>
          <w:szCs w:val="31"/>
        </w:rPr>
        <w:t>件，目前已办理完毕，并逐一答复了代表本人，均已按时办结，并公开答复。</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Fonts w:hint="eastAsia" w:ascii="楷体_GB2312" w:eastAsia="楷体_GB2312" w:cs="楷体_GB2312"/>
          <w:spacing w:val="0"/>
          <w:sz w:val="31"/>
          <w:szCs w:val="31"/>
          <w:shd w:val="clear" w:color="auto" w:fill="FFFFFF"/>
        </w:rPr>
        <w:t>（四）开展政务创新方面</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30"/>
        <w:jc w:val="both"/>
        <w:textAlignment w:val="auto"/>
      </w:pPr>
      <w:r>
        <w:rPr>
          <w:rFonts w:hint="eastAsia" w:ascii="仿宋_GB2312" w:eastAsia="仿宋_GB2312" w:cs="仿宋_GB2312"/>
          <w:spacing w:val="0"/>
          <w:sz w:val="31"/>
          <w:szCs w:val="31"/>
          <w:shd w:val="clear" w:color="auto" w:fill="FFFFFF"/>
        </w:rPr>
        <w:t>市卫生健康局采取任调查研究、制定目录、分批集中办公的形式，顺利完成公共企事业单位（医疗领域）信息公开。2023年</w:t>
      </w:r>
      <w:r>
        <w:rPr>
          <w:rFonts w:hint="eastAsia" w:ascii="仿宋_GB2312" w:eastAsia="仿宋_GB2312" w:cs="仿宋_GB2312"/>
          <w:spacing w:val="0"/>
          <w:sz w:val="31"/>
          <w:szCs w:val="31"/>
        </w:rPr>
        <w:t>“滕州卫生健康”微信公众号发布信息1</w:t>
      </w:r>
      <w:r>
        <w:rPr>
          <w:rFonts w:hint="eastAsia" w:ascii="仿宋_GB2312" w:eastAsia="仿宋_GB2312" w:cs="仿宋_GB2312"/>
          <w:spacing w:val="0"/>
          <w:sz w:val="31"/>
          <w:szCs w:val="31"/>
          <w:lang w:val="en-US" w:eastAsia="zh-CN"/>
        </w:rPr>
        <w:t>3</w:t>
      </w:r>
      <w:r>
        <w:rPr>
          <w:rFonts w:hint="eastAsia" w:ascii="仿宋_GB2312" w:eastAsia="仿宋_GB2312" w:cs="仿宋_GB2312"/>
          <w:spacing w:val="0"/>
          <w:sz w:val="31"/>
          <w:szCs w:val="31"/>
        </w:rPr>
        <w:t>00余条，关注人数达4.</w:t>
      </w:r>
      <w:r>
        <w:rPr>
          <w:rFonts w:hint="eastAsia" w:ascii="仿宋_GB2312" w:eastAsia="仿宋_GB2312" w:cs="仿宋_GB2312"/>
          <w:spacing w:val="0"/>
          <w:sz w:val="31"/>
          <w:szCs w:val="31"/>
          <w:lang w:val="en-US" w:eastAsia="zh-CN"/>
        </w:rPr>
        <w:t>8</w:t>
      </w:r>
      <w:r>
        <w:rPr>
          <w:rFonts w:hint="eastAsia" w:ascii="仿宋_GB2312" w:eastAsia="仿宋_GB2312" w:cs="仿宋_GB2312"/>
          <w:spacing w:val="0"/>
          <w:sz w:val="31"/>
          <w:szCs w:val="31"/>
        </w:rPr>
        <w:t>万人，成为卫生健康系统服务群众的重要阵地。</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Fonts w:hint="eastAsia" w:ascii="楷体_GB2312" w:eastAsia="楷体_GB2312" w:cs="楷体_GB2312"/>
          <w:spacing w:val="0"/>
          <w:sz w:val="31"/>
          <w:szCs w:val="31"/>
          <w:shd w:val="clear" w:color="auto" w:fill="FFFFFF"/>
        </w:rPr>
        <w:t>（五）无需要报告的其他事项。</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645"/>
        <w:jc w:val="both"/>
        <w:textAlignment w:val="auto"/>
      </w:pPr>
      <w:r>
        <w:rPr>
          <w:rFonts w:hint="eastAsia" w:ascii="仿宋_GB2312" w:eastAsia="仿宋_GB2312" w:cs="仿宋_GB2312"/>
          <w:sz w:val="31"/>
          <w:szCs w:val="31"/>
        </w:rPr>
        <w:t>本报告的电子版可在</w:t>
      </w:r>
      <w:r>
        <w:rPr>
          <w:rFonts w:hint="eastAsia" w:ascii="宋体" w:hAnsi="宋体" w:eastAsia="宋体" w:cs="宋体"/>
          <w:spacing w:val="0"/>
          <w:sz w:val="31"/>
          <w:szCs w:val="31"/>
          <w:shd w:val="clear" w:color="auto" w:fill="FFFFFF"/>
        </w:rPr>
        <w:t>“</w:t>
      </w:r>
      <w:r>
        <w:rPr>
          <w:rFonts w:hint="eastAsia" w:ascii="仿宋_GB2312" w:eastAsia="仿宋_GB2312" w:cs="仿宋_GB2312"/>
          <w:spacing w:val="0"/>
          <w:sz w:val="31"/>
          <w:szCs w:val="31"/>
          <w:shd w:val="clear" w:color="auto" w:fill="FFFFFF"/>
        </w:rPr>
        <w:t>中国滕州网</w:t>
      </w:r>
      <w:r>
        <w:rPr>
          <w:rFonts w:hint="eastAsia" w:ascii="宋体" w:hAnsi="宋体" w:eastAsia="宋体" w:cs="宋体"/>
          <w:spacing w:val="0"/>
          <w:sz w:val="31"/>
          <w:szCs w:val="31"/>
          <w:shd w:val="clear" w:color="auto" w:fill="FFFFFF"/>
        </w:rPr>
        <w:t>”</w:t>
      </w:r>
      <w:r>
        <w:rPr>
          <w:rFonts w:hint="eastAsia" w:ascii="仿宋_GB2312" w:eastAsia="仿宋_GB2312" w:cs="仿宋_GB2312"/>
          <w:spacing w:val="0"/>
          <w:sz w:val="31"/>
          <w:szCs w:val="31"/>
          <w:shd w:val="clear" w:color="auto" w:fill="FFFFFF"/>
        </w:rPr>
        <w:t>（http://www.tengzhou.gov.cn/）网站查询和下载。</w:t>
      </w:r>
      <w:r>
        <w:rPr>
          <w:rFonts w:hint="eastAsia" w:ascii="仿宋_GB2312" w:eastAsia="仿宋_GB2312" w:cs="仿宋_GB2312"/>
          <w:sz w:val="31"/>
          <w:szCs w:val="31"/>
        </w:rPr>
        <w:t>如对本报告有任何疑问，请与滕州市卫生健康局宣传科联系。（地址：山东省滕州市学院路100号，联系电话：0632—5518010，电子邮箱：tzwjjxck@zz.shandong.cn）。</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1OGFkMWU4MWY4OGQ5ODdiZTgwNmE3MjBjNmQ1MzIifQ=="/>
  </w:docVars>
  <w:rsids>
    <w:rsidRoot w:val="21A01464"/>
    <w:rsid w:val="07690D52"/>
    <w:rsid w:val="0A514EC4"/>
    <w:rsid w:val="0F9E6FD4"/>
    <w:rsid w:val="14186104"/>
    <w:rsid w:val="19DB458C"/>
    <w:rsid w:val="1BF7D8C6"/>
    <w:rsid w:val="21A01464"/>
    <w:rsid w:val="2363679C"/>
    <w:rsid w:val="326E6199"/>
    <w:rsid w:val="327D351E"/>
    <w:rsid w:val="350430ED"/>
    <w:rsid w:val="384D5327"/>
    <w:rsid w:val="3BF5B267"/>
    <w:rsid w:val="404C62C4"/>
    <w:rsid w:val="51A9395E"/>
    <w:rsid w:val="5AD35652"/>
    <w:rsid w:val="6B7FDDAD"/>
    <w:rsid w:val="6F76F44C"/>
    <w:rsid w:val="779D3F8C"/>
    <w:rsid w:val="7B372EF6"/>
    <w:rsid w:val="7B5FCB13"/>
    <w:rsid w:val="7DF60A48"/>
    <w:rsid w:val="7E7F3EC6"/>
    <w:rsid w:val="7EFF6DE8"/>
    <w:rsid w:val="7FCEB52B"/>
    <w:rsid w:val="8E5DC96A"/>
    <w:rsid w:val="CD7E30FA"/>
    <w:rsid w:val="D6F75988"/>
    <w:rsid w:val="DFD3F9EB"/>
    <w:rsid w:val="E3EFD7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3504</Words>
  <Characters>3645</Characters>
  <Lines>0</Lines>
  <Paragraphs>0</Paragraphs>
  <TotalTime>14</TotalTime>
  <ScaleCrop>false</ScaleCrop>
  <LinksUpToDate>false</LinksUpToDate>
  <CharactersWithSpaces>3647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2024-01-13T23:51:00Z</dcterms:created>
  <dc:creator>WPS_1625018466</dc:creator>
  <cp:lastModifiedBy>满波</cp:lastModifiedBy>
  <dcterms:modified xsi:type="dcterms:W3CDTF">2024-04-25T00:36:32Z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A84C6328BA5D45F4AABB562F53D4BD32_13</vt:lpwstr>
  </property>
</Properties>
</file>