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firstLine="635"/>
        <w:jc w:val="center"/>
        <w:textAlignment w:val="auto"/>
        <w:rPr>
          <w:rFonts w:hint="eastAsia" w:ascii="方正小标宋简体" w:hAnsi="方正小标宋简体" w:eastAsia="方正小标宋简体" w:cs="方正小标宋简体"/>
          <w:i w:val="0"/>
          <w:iCs w:val="0"/>
          <w:caps w:val="0"/>
          <w:color w:val="00000A"/>
          <w:spacing w:val="0"/>
          <w:sz w:val="44"/>
          <w:szCs w:val="44"/>
        </w:rPr>
      </w:pPr>
      <w:r>
        <w:rPr>
          <w:rFonts w:hint="eastAsia" w:ascii="方正小标宋简体" w:hAnsi="方正小标宋简体" w:eastAsia="方正小标宋简体" w:cs="方正小标宋简体"/>
          <w:i w:val="0"/>
          <w:iCs w:val="0"/>
          <w:caps w:val="0"/>
          <w:color w:val="00000A"/>
          <w:spacing w:val="0"/>
          <w:sz w:val="44"/>
          <w:szCs w:val="44"/>
        </w:rPr>
        <w:t>滕州市医保局20</w:t>
      </w:r>
      <w:r>
        <w:rPr>
          <w:rFonts w:hint="eastAsia" w:ascii="方正小标宋简体" w:hAnsi="方正小标宋简体" w:eastAsia="方正小标宋简体" w:cs="方正小标宋简体"/>
          <w:i w:val="0"/>
          <w:iCs w:val="0"/>
          <w:caps w:val="0"/>
          <w:color w:val="00000A"/>
          <w:spacing w:val="0"/>
          <w:sz w:val="44"/>
          <w:szCs w:val="44"/>
          <w:lang w:val="en-US" w:eastAsia="zh-CN"/>
        </w:rPr>
        <w:t>23</w:t>
      </w:r>
      <w:r>
        <w:rPr>
          <w:rFonts w:hint="eastAsia" w:ascii="方正小标宋简体" w:hAnsi="方正小标宋简体" w:eastAsia="方正小标宋简体" w:cs="方正小标宋简体"/>
          <w:i w:val="0"/>
          <w:iCs w:val="0"/>
          <w:caps w:val="0"/>
          <w:color w:val="00000A"/>
          <w:spacing w:val="0"/>
          <w:sz w:val="44"/>
          <w:szCs w:val="44"/>
        </w:rPr>
        <w:t>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firstLine="635"/>
        <w:jc w:val="center"/>
        <w:textAlignment w:val="auto"/>
        <w:rPr>
          <w:rFonts w:ascii="仿宋_GB2312" w:hAnsi="sans-serif" w:eastAsia="仿宋_GB2312" w:cs="仿宋_GB2312"/>
          <w:i w:val="0"/>
          <w:iCs w:val="0"/>
          <w:caps w:val="0"/>
          <w:color w:val="00000A"/>
          <w:spacing w:val="0"/>
          <w:sz w:val="32"/>
          <w:szCs w:val="32"/>
        </w:rPr>
      </w:pPr>
      <w:r>
        <w:rPr>
          <w:rFonts w:hint="eastAsia" w:ascii="方正小标宋简体" w:hAnsi="方正小标宋简体" w:eastAsia="方正小标宋简体" w:cs="方正小标宋简体"/>
          <w:i w:val="0"/>
          <w:iCs w:val="0"/>
          <w:caps w:val="0"/>
          <w:color w:val="00000A"/>
          <w:spacing w:val="0"/>
          <w:sz w:val="44"/>
          <w:szCs w:val="44"/>
        </w:rPr>
        <w:t>政府信息公开工作年度报告</w:t>
      </w:r>
    </w:p>
    <w:p>
      <w:pPr>
        <w:pStyle w:val="2"/>
        <w:keepNext w:val="0"/>
        <w:keepLines w:val="0"/>
        <w:widowControl/>
        <w:suppressLineNumbers w:val="0"/>
        <w:spacing w:before="0" w:beforeAutospacing="0" w:after="0" w:afterAutospacing="0" w:line="605" w:lineRule="atLeast"/>
        <w:ind w:left="0" w:firstLine="634"/>
        <w:jc w:val="left"/>
        <w:rPr>
          <w:rFonts w:ascii="仿宋_GB2312" w:hAnsi="sans-serif" w:eastAsia="仿宋_GB2312" w:cs="仿宋_GB2312"/>
          <w:i w:val="0"/>
          <w:iCs w:val="0"/>
          <w:caps w:val="0"/>
          <w:color w:val="00000A"/>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i w:val="0"/>
          <w:iCs w:val="0"/>
          <w:caps w:val="0"/>
          <w:color w:val="00000A"/>
          <w:spacing w:val="0"/>
          <w:sz w:val="32"/>
          <w:szCs w:val="32"/>
        </w:rPr>
      </w:pPr>
      <w:r>
        <w:rPr>
          <w:rFonts w:hint="eastAsia" w:ascii="仿宋_GB2312" w:hAnsi="仿宋_GB2312" w:eastAsia="仿宋_GB2312" w:cs="仿宋_GB2312"/>
          <w:i w:val="0"/>
          <w:iCs w:val="0"/>
          <w:caps w:val="0"/>
          <w:color w:val="00000A"/>
          <w:spacing w:val="0"/>
          <w:sz w:val="32"/>
          <w:szCs w:val="32"/>
        </w:rPr>
        <w:t>根据《中华人民共和国政府信息公开条例》和省政府办公厅、枣庄市政府办公室、滕州市政府办公室通知要求，结合滕州市医保局</w:t>
      </w:r>
      <w:r>
        <w:rPr>
          <w:rFonts w:hint="eastAsia" w:ascii="仿宋_GB2312" w:hAnsi="仿宋_GB2312" w:eastAsia="仿宋_GB2312" w:cs="仿宋_GB2312"/>
          <w:i w:val="0"/>
          <w:iCs w:val="0"/>
          <w:caps w:val="0"/>
          <w:color w:val="00000A"/>
          <w:spacing w:val="0"/>
          <w:sz w:val="32"/>
          <w:szCs w:val="32"/>
          <w:lang w:val="en-US" w:eastAsia="zh-CN"/>
        </w:rPr>
        <w:t>2023</w:t>
      </w:r>
      <w:r>
        <w:rPr>
          <w:rFonts w:hint="eastAsia" w:ascii="仿宋_GB2312" w:hAnsi="仿宋_GB2312" w:eastAsia="仿宋_GB2312" w:cs="仿宋_GB2312"/>
          <w:i w:val="0"/>
          <w:iCs w:val="0"/>
          <w:caps w:val="0"/>
          <w:color w:val="00000A"/>
          <w:spacing w:val="0"/>
          <w:sz w:val="32"/>
          <w:szCs w:val="32"/>
        </w:rPr>
        <w:t>年度信息公开工作实际，编制本报告并向社会公布。本报告中所列数据的统计期限自202</w:t>
      </w:r>
      <w:r>
        <w:rPr>
          <w:rFonts w:hint="eastAsia" w:ascii="仿宋_GB2312" w:hAnsi="仿宋_GB2312" w:eastAsia="仿宋_GB2312" w:cs="仿宋_GB2312"/>
          <w:i w:val="0"/>
          <w:iCs w:val="0"/>
          <w:caps w:val="0"/>
          <w:color w:val="00000A"/>
          <w:spacing w:val="0"/>
          <w:sz w:val="32"/>
          <w:szCs w:val="32"/>
          <w:lang w:val="en-US" w:eastAsia="zh-CN"/>
        </w:rPr>
        <w:t>3</w:t>
      </w:r>
      <w:r>
        <w:rPr>
          <w:rFonts w:hint="eastAsia" w:ascii="仿宋_GB2312" w:hAnsi="仿宋_GB2312" w:eastAsia="仿宋_GB2312" w:cs="仿宋_GB2312"/>
          <w:i w:val="0"/>
          <w:iCs w:val="0"/>
          <w:caps w:val="0"/>
          <w:color w:val="00000A"/>
          <w:spacing w:val="0"/>
          <w:sz w:val="32"/>
          <w:szCs w:val="32"/>
        </w:rPr>
        <w:t>年1月1日起至202</w:t>
      </w:r>
      <w:r>
        <w:rPr>
          <w:rFonts w:hint="eastAsia" w:ascii="仿宋_GB2312" w:hAnsi="仿宋_GB2312" w:eastAsia="仿宋_GB2312" w:cs="仿宋_GB2312"/>
          <w:i w:val="0"/>
          <w:iCs w:val="0"/>
          <w:caps w:val="0"/>
          <w:color w:val="00000A"/>
          <w:spacing w:val="0"/>
          <w:sz w:val="32"/>
          <w:szCs w:val="32"/>
          <w:lang w:val="en-US" w:eastAsia="zh-CN"/>
        </w:rPr>
        <w:t>3</w:t>
      </w:r>
      <w:r>
        <w:rPr>
          <w:rFonts w:hint="eastAsia" w:ascii="仿宋_GB2312" w:hAnsi="仿宋_GB2312" w:eastAsia="仿宋_GB2312" w:cs="仿宋_GB2312"/>
          <w:i w:val="0"/>
          <w:iCs w:val="0"/>
          <w:caps w:val="0"/>
          <w:color w:val="00000A"/>
          <w:spacing w:val="0"/>
          <w:sz w:val="32"/>
          <w:szCs w:val="32"/>
        </w:rPr>
        <w:t>年12月31日止。   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34"/>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A"/>
          <w:spacing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lang w:val="en-US" w:eastAsia="zh-CN"/>
        </w:rPr>
        <w:t>2023</w:t>
      </w:r>
      <w:r>
        <w:rPr>
          <w:rFonts w:hint="eastAsia" w:ascii="仿宋_GB2312" w:hAnsi="sans-serif" w:eastAsia="仿宋_GB2312" w:cs="仿宋_GB2312"/>
          <w:i w:val="0"/>
          <w:iCs w:val="0"/>
          <w:caps w:val="0"/>
          <w:color w:val="00000A"/>
          <w:spacing w:val="0"/>
          <w:sz w:val="32"/>
          <w:szCs w:val="32"/>
        </w:rPr>
        <w:t>年，滕州市医保局严格按照省市工作要求，认真贯彻落实《中华人民共和国政府信息公开条例》等有关规定，强化组织领导，细化责任分工，确保信息及时、准确、规范，积极、稳妥推进政府信息公开工作。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00000A"/>
          <w:spacing w:val="0"/>
          <w:sz w:val="32"/>
          <w:szCs w:val="32"/>
        </w:rPr>
        <w:t>（一）主动公开。针对群众关注的医保问题，积极规范做好政府信息主</w:t>
      </w:r>
      <w:r>
        <w:rPr>
          <w:rFonts w:hint="eastAsia" w:ascii="仿宋_GB2312" w:hAnsi="sans-serif" w:eastAsia="仿宋_GB2312" w:cs="仿宋_GB2312"/>
          <w:i w:val="0"/>
          <w:iCs w:val="0"/>
          <w:caps w:val="0"/>
          <w:color w:val="auto"/>
          <w:spacing w:val="0"/>
          <w:sz w:val="32"/>
          <w:szCs w:val="32"/>
        </w:rPr>
        <w:t>动公开工作，2</w:t>
      </w:r>
      <w:r>
        <w:rPr>
          <w:rFonts w:hint="eastAsia" w:ascii="仿宋_GB2312" w:hAnsi="sans-serif" w:eastAsia="仿宋_GB2312" w:cs="仿宋_GB2312"/>
          <w:i w:val="0"/>
          <w:iCs w:val="0"/>
          <w:caps w:val="0"/>
          <w:color w:val="auto"/>
          <w:spacing w:val="0"/>
          <w:sz w:val="32"/>
          <w:szCs w:val="32"/>
          <w:lang w:val="en-US" w:eastAsia="zh-CN"/>
        </w:rPr>
        <w:t>023</w:t>
      </w:r>
      <w:r>
        <w:rPr>
          <w:rFonts w:hint="eastAsia" w:ascii="仿宋_GB2312" w:hAnsi="sans-serif" w:eastAsia="仿宋_GB2312" w:cs="仿宋_GB2312"/>
          <w:i w:val="0"/>
          <w:iCs w:val="0"/>
          <w:caps w:val="0"/>
          <w:color w:val="auto"/>
          <w:spacing w:val="0"/>
          <w:sz w:val="32"/>
          <w:szCs w:val="32"/>
        </w:rPr>
        <w:t>年，我局在滕州市政府信息公开网共发布信息</w:t>
      </w:r>
      <w:r>
        <w:rPr>
          <w:rFonts w:hint="eastAsia" w:ascii="仿宋_GB2312" w:hAnsi="sans-serif" w:eastAsia="仿宋_GB2312" w:cs="仿宋_GB2312"/>
          <w:i w:val="0"/>
          <w:iCs w:val="0"/>
          <w:caps w:val="0"/>
          <w:color w:val="auto"/>
          <w:spacing w:val="0"/>
          <w:sz w:val="32"/>
          <w:szCs w:val="32"/>
          <w:lang w:val="en-US" w:eastAsia="zh-CN"/>
        </w:rPr>
        <w:t>281</w:t>
      </w:r>
      <w:r>
        <w:rPr>
          <w:rFonts w:hint="eastAsia" w:ascii="仿宋_GB2312" w:hAnsi="sans-serif" w:eastAsia="仿宋_GB2312" w:cs="仿宋_GB2312"/>
          <w:i w:val="0"/>
          <w:iCs w:val="0"/>
          <w:caps w:val="0"/>
          <w:color w:val="auto"/>
          <w:spacing w:val="0"/>
          <w:sz w:val="32"/>
          <w:szCs w:val="32"/>
        </w:rPr>
        <w:t>余条。其中，通知公告</w:t>
      </w:r>
      <w:r>
        <w:rPr>
          <w:rFonts w:hint="eastAsia" w:ascii="仿宋_GB2312" w:hAnsi="sans-serif" w:eastAsia="仿宋_GB2312" w:cs="仿宋_GB2312"/>
          <w:i w:val="0"/>
          <w:iCs w:val="0"/>
          <w:caps w:val="0"/>
          <w:color w:val="auto"/>
          <w:spacing w:val="0"/>
          <w:sz w:val="32"/>
          <w:szCs w:val="32"/>
          <w:lang w:val="en-US" w:eastAsia="zh-CN"/>
        </w:rPr>
        <w:t>35</w:t>
      </w:r>
      <w:r>
        <w:rPr>
          <w:rFonts w:hint="eastAsia" w:ascii="仿宋_GB2312" w:hAnsi="sans-serif" w:eastAsia="仿宋_GB2312" w:cs="仿宋_GB2312"/>
          <w:i w:val="0"/>
          <w:iCs w:val="0"/>
          <w:caps w:val="0"/>
          <w:color w:val="auto"/>
          <w:spacing w:val="0"/>
          <w:sz w:val="32"/>
          <w:szCs w:val="32"/>
        </w:rPr>
        <w:t>条，政策文件</w:t>
      </w:r>
      <w:r>
        <w:rPr>
          <w:rFonts w:hint="eastAsia" w:ascii="仿宋_GB2312" w:hAnsi="sans-serif" w:eastAsia="仿宋_GB2312" w:cs="仿宋_GB2312"/>
          <w:i w:val="0"/>
          <w:iCs w:val="0"/>
          <w:caps w:val="0"/>
          <w:color w:val="auto"/>
          <w:spacing w:val="0"/>
          <w:sz w:val="32"/>
          <w:szCs w:val="32"/>
          <w:lang w:val="en-US" w:eastAsia="zh-CN"/>
        </w:rPr>
        <w:t>7</w:t>
      </w:r>
      <w:r>
        <w:rPr>
          <w:rFonts w:hint="eastAsia" w:ascii="仿宋_GB2312" w:hAnsi="sans-serif" w:eastAsia="仿宋_GB2312" w:cs="仿宋_GB2312"/>
          <w:i w:val="0"/>
          <w:iCs w:val="0"/>
          <w:caps w:val="0"/>
          <w:color w:val="auto"/>
          <w:spacing w:val="0"/>
          <w:sz w:val="32"/>
          <w:szCs w:val="32"/>
        </w:rPr>
        <w:t>条，公共查询2条，工作动态</w:t>
      </w:r>
      <w:r>
        <w:rPr>
          <w:rFonts w:hint="eastAsia" w:ascii="仿宋_GB2312" w:hAnsi="sans-serif" w:eastAsia="仿宋_GB2312" w:cs="仿宋_GB2312"/>
          <w:i w:val="0"/>
          <w:iCs w:val="0"/>
          <w:caps w:val="0"/>
          <w:color w:val="auto"/>
          <w:spacing w:val="0"/>
          <w:sz w:val="32"/>
          <w:szCs w:val="32"/>
          <w:lang w:val="en-US" w:eastAsia="zh-CN"/>
        </w:rPr>
        <w:t>135</w:t>
      </w:r>
      <w:r>
        <w:rPr>
          <w:rFonts w:hint="eastAsia" w:ascii="仿宋_GB2312" w:hAnsi="sans-serif" w:eastAsia="仿宋_GB2312" w:cs="仿宋_GB2312"/>
          <w:i w:val="0"/>
          <w:iCs w:val="0"/>
          <w:caps w:val="0"/>
          <w:color w:val="auto"/>
          <w:spacing w:val="0"/>
          <w:sz w:val="32"/>
          <w:szCs w:val="32"/>
        </w:rPr>
        <w:t>条，群众关切</w:t>
      </w:r>
      <w:r>
        <w:rPr>
          <w:rFonts w:hint="eastAsia" w:ascii="仿宋_GB2312" w:hAnsi="sans-serif" w:eastAsia="仿宋_GB2312" w:cs="仿宋_GB2312"/>
          <w:i w:val="0"/>
          <w:iCs w:val="0"/>
          <w:caps w:val="0"/>
          <w:color w:val="auto"/>
          <w:spacing w:val="0"/>
          <w:sz w:val="32"/>
          <w:szCs w:val="32"/>
          <w:lang w:val="en-US" w:eastAsia="zh-CN"/>
        </w:rPr>
        <w:t>60</w:t>
      </w:r>
      <w:r>
        <w:rPr>
          <w:rFonts w:hint="eastAsia" w:ascii="仿宋_GB2312" w:hAnsi="sans-serif" w:eastAsia="仿宋_GB2312" w:cs="仿宋_GB2312"/>
          <w:i w:val="0"/>
          <w:iCs w:val="0"/>
          <w:caps w:val="0"/>
          <w:color w:val="auto"/>
          <w:spacing w:val="0"/>
          <w:sz w:val="32"/>
          <w:szCs w:val="32"/>
        </w:rPr>
        <w:t>条，规划计划</w:t>
      </w:r>
      <w:r>
        <w:rPr>
          <w:rFonts w:hint="eastAsia" w:ascii="仿宋_GB2312" w:hAnsi="sans-serif" w:eastAsia="仿宋_GB2312" w:cs="仿宋_GB2312"/>
          <w:i w:val="0"/>
          <w:iCs w:val="0"/>
          <w:caps w:val="0"/>
          <w:color w:val="auto"/>
          <w:spacing w:val="0"/>
          <w:sz w:val="32"/>
          <w:szCs w:val="32"/>
          <w:lang w:val="en-US" w:eastAsia="zh-CN"/>
        </w:rPr>
        <w:t>1</w:t>
      </w:r>
      <w:r>
        <w:rPr>
          <w:rFonts w:hint="eastAsia" w:ascii="仿宋_GB2312" w:hAnsi="sans-serif" w:eastAsia="仿宋_GB2312" w:cs="仿宋_GB2312"/>
          <w:i w:val="0"/>
          <w:iCs w:val="0"/>
          <w:caps w:val="0"/>
          <w:color w:val="auto"/>
          <w:spacing w:val="0"/>
          <w:sz w:val="32"/>
          <w:szCs w:val="32"/>
        </w:rPr>
        <w:t>条，财政信息</w:t>
      </w:r>
      <w:r>
        <w:rPr>
          <w:rFonts w:hint="eastAsia" w:ascii="仿宋_GB2312" w:hAnsi="sans-serif" w:eastAsia="仿宋_GB2312" w:cs="仿宋_GB2312"/>
          <w:i w:val="0"/>
          <w:iCs w:val="0"/>
          <w:caps w:val="0"/>
          <w:color w:val="auto"/>
          <w:spacing w:val="0"/>
          <w:sz w:val="32"/>
          <w:szCs w:val="32"/>
          <w:lang w:val="en-US" w:eastAsia="zh-CN"/>
        </w:rPr>
        <w:t>4</w:t>
      </w:r>
      <w:r>
        <w:rPr>
          <w:rFonts w:hint="eastAsia" w:ascii="仿宋_GB2312" w:hAnsi="sans-serif" w:eastAsia="仿宋_GB2312" w:cs="仿宋_GB2312"/>
          <w:i w:val="0"/>
          <w:iCs w:val="0"/>
          <w:caps w:val="0"/>
          <w:color w:val="auto"/>
          <w:spacing w:val="0"/>
          <w:sz w:val="32"/>
          <w:szCs w:val="32"/>
        </w:rPr>
        <w:t>条，行政权力2条，建议提案</w:t>
      </w:r>
      <w:r>
        <w:rPr>
          <w:rFonts w:hint="eastAsia" w:ascii="仿宋_GB2312" w:hAnsi="sans-serif" w:eastAsia="仿宋_GB2312" w:cs="仿宋_GB2312"/>
          <w:i w:val="0"/>
          <w:iCs w:val="0"/>
          <w:caps w:val="0"/>
          <w:color w:val="auto"/>
          <w:spacing w:val="0"/>
          <w:sz w:val="32"/>
          <w:szCs w:val="32"/>
          <w:lang w:val="en-US" w:eastAsia="zh-CN"/>
        </w:rPr>
        <w:t>1</w:t>
      </w:r>
      <w:r>
        <w:rPr>
          <w:rFonts w:hint="eastAsia" w:ascii="仿宋_GB2312" w:hAnsi="sans-serif" w:eastAsia="仿宋_GB2312" w:cs="仿宋_GB2312"/>
          <w:i w:val="0"/>
          <w:iCs w:val="0"/>
          <w:caps w:val="0"/>
          <w:color w:val="auto"/>
          <w:spacing w:val="0"/>
          <w:sz w:val="32"/>
          <w:szCs w:val="32"/>
        </w:rPr>
        <w:t>条，重点领域</w:t>
      </w:r>
      <w:r>
        <w:rPr>
          <w:rFonts w:hint="eastAsia" w:ascii="仿宋_GB2312" w:hAnsi="sans-serif" w:eastAsia="仿宋_GB2312" w:cs="仿宋_GB2312"/>
          <w:i w:val="0"/>
          <w:iCs w:val="0"/>
          <w:caps w:val="0"/>
          <w:color w:val="auto"/>
          <w:spacing w:val="0"/>
          <w:sz w:val="32"/>
          <w:szCs w:val="32"/>
          <w:lang w:val="en-US" w:eastAsia="zh-CN"/>
        </w:rPr>
        <w:t>23</w:t>
      </w:r>
      <w:r>
        <w:rPr>
          <w:rFonts w:hint="eastAsia" w:ascii="仿宋_GB2312" w:hAnsi="sans-serif" w:eastAsia="仿宋_GB2312" w:cs="仿宋_GB2312"/>
          <w:i w:val="0"/>
          <w:iCs w:val="0"/>
          <w:caps w:val="0"/>
          <w:color w:val="auto"/>
          <w:spacing w:val="0"/>
          <w:sz w:val="32"/>
          <w:szCs w:val="32"/>
        </w:rPr>
        <w:t>条（包括民生实事4条、行政执法公示</w:t>
      </w:r>
      <w:r>
        <w:rPr>
          <w:rFonts w:hint="eastAsia" w:ascii="仿宋_GB2312" w:hAnsi="sans-serif" w:eastAsia="仿宋_GB2312" w:cs="仿宋_GB2312"/>
          <w:i w:val="0"/>
          <w:iCs w:val="0"/>
          <w:caps w:val="0"/>
          <w:color w:val="auto"/>
          <w:spacing w:val="0"/>
          <w:sz w:val="32"/>
          <w:szCs w:val="32"/>
          <w:lang w:val="en-US" w:eastAsia="zh-CN"/>
        </w:rPr>
        <w:t>6</w:t>
      </w:r>
      <w:r>
        <w:rPr>
          <w:rFonts w:hint="eastAsia" w:ascii="仿宋_GB2312" w:hAnsi="sans-serif" w:eastAsia="仿宋_GB2312" w:cs="仿宋_GB2312"/>
          <w:i w:val="0"/>
          <w:iCs w:val="0"/>
          <w:caps w:val="0"/>
          <w:color w:val="auto"/>
          <w:spacing w:val="0"/>
          <w:sz w:val="32"/>
          <w:szCs w:val="32"/>
        </w:rPr>
        <w:t>条、医疗救助7条、社会医疗生育保险6条），组织管理</w:t>
      </w:r>
      <w:r>
        <w:rPr>
          <w:rFonts w:hint="eastAsia" w:ascii="仿宋_GB2312" w:hAnsi="sans-serif" w:eastAsia="仿宋_GB2312" w:cs="仿宋_GB2312"/>
          <w:i w:val="0"/>
          <w:iCs w:val="0"/>
          <w:caps w:val="0"/>
          <w:color w:val="auto"/>
          <w:spacing w:val="0"/>
          <w:sz w:val="32"/>
          <w:szCs w:val="32"/>
          <w:lang w:val="en-US" w:eastAsia="zh-CN"/>
        </w:rPr>
        <w:t>10</w:t>
      </w:r>
      <w:r>
        <w:rPr>
          <w:rFonts w:hint="eastAsia" w:ascii="仿宋_GB2312" w:hAnsi="sans-serif" w:eastAsia="仿宋_GB2312" w:cs="仿宋_GB2312"/>
          <w:i w:val="0"/>
          <w:iCs w:val="0"/>
          <w:caps w:val="0"/>
          <w:color w:val="auto"/>
          <w:spacing w:val="0"/>
          <w:sz w:val="32"/>
          <w:szCs w:val="32"/>
        </w:rPr>
        <w:t>条，政务公开基本目录1条。同时，积极运用政务新媒体，推动政务公开和信息发布，“滕州市医保局”微信公众号全年共发布医疗保障相关信息</w:t>
      </w:r>
      <w:r>
        <w:rPr>
          <w:rFonts w:hint="eastAsia" w:ascii="仿宋_GB2312" w:hAnsi="sans-serif" w:eastAsia="仿宋_GB2312" w:cs="仿宋_GB2312"/>
          <w:i w:val="0"/>
          <w:iCs w:val="0"/>
          <w:caps w:val="0"/>
          <w:color w:val="auto"/>
          <w:spacing w:val="0"/>
          <w:sz w:val="32"/>
          <w:szCs w:val="32"/>
          <w:lang w:val="en-US" w:eastAsia="zh-CN"/>
        </w:rPr>
        <w:t>406</w:t>
      </w:r>
      <w:r>
        <w:rPr>
          <w:rFonts w:hint="eastAsia" w:ascii="仿宋_GB2312" w:hAnsi="sans-serif" w:eastAsia="仿宋_GB2312" w:cs="仿宋_GB2312"/>
          <w:i w:val="0"/>
          <w:iCs w:val="0"/>
          <w:caps w:val="0"/>
          <w:color w:val="auto"/>
          <w:spacing w:val="0"/>
          <w:sz w:val="32"/>
          <w:szCs w:val="32"/>
        </w:rPr>
        <w:t>条，累计用户</w:t>
      </w:r>
      <w:r>
        <w:rPr>
          <w:rFonts w:hint="eastAsia" w:ascii="仿宋_GB2312" w:hAnsi="sans-serif" w:eastAsia="仿宋_GB2312" w:cs="仿宋_GB2312"/>
          <w:i w:val="0"/>
          <w:iCs w:val="0"/>
          <w:caps w:val="0"/>
          <w:color w:val="auto"/>
          <w:spacing w:val="0"/>
          <w:sz w:val="32"/>
          <w:szCs w:val="32"/>
          <w:lang w:val="en-US" w:eastAsia="zh-CN"/>
        </w:rPr>
        <w:t>21772</w:t>
      </w:r>
      <w:r>
        <w:rPr>
          <w:rFonts w:hint="eastAsia" w:ascii="仿宋_GB2312" w:hAnsi="sans-serif" w:eastAsia="仿宋_GB2312" w:cs="仿宋_GB2312"/>
          <w:i w:val="0"/>
          <w:iCs w:val="0"/>
          <w:caps w:val="0"/>
          <w:color w:val="auto"/>
          <w:spacing w:val="0"/>
          <w:sz w:val="32"/>
          <w:szCs w:val="32"/>
        </w:rPr>
        <w:t>人。“滕州医保”抖音号全年共发布视频</w:t>
      </w:r>
      <w:r>
        <w:rPr>
          <w:rFonts w:hint="eastAsia" w:ascii="仿宋_GB2312" w:hAnsi="sans-serif" w:eastAsia="仿宋_GB2312" w:cs="仿宋_GB2312"/>
          <w:i w:val="0"/>
          <w:iCs w:val="0"/>
          <w:caps w:val="0"/>
          <w:color w:val="auto"/>
          <w:spacing w:val="0"/>
          <w:sz w:val="32"/>
          <w:szCs w:val="32"/>
          <w:lang w:val="en-US" w:eastAsia="zh-CN"/>
        </w:rPr>
        <w:t>12</w:t>
      </w:r>
      <w:r>
        <w:rPr>
          <w:rFonts w:hint="eastAsia" w:ascii="仿宋_GB2312" w:hAnsi="sans-serif" w:eastAsia="仿宋_GB2312" w:cs="仿宋_GB2312"/>
          <w:i w:val="0"/>
          <w:iCs w:val="0"/>
          <w:caps w:val="0"/>
          <w:color w:val="auto"/>
          <w:spacing w:val="0"/>
          <w:sz w:val="32"/>
          <w:szCs w:val="32"/>
        </w:rPr>
        <w:t>条，累计关注</w:t>
      </w:r>
      <w:r>
        <w:rPr>
          <w:rFonts w:hint="eastAsia" w:ascii="仿宋_GB2312" w:hAnsi="sans-serif" w:eastAsia="仿宋_GB2312" w:cs="仿宋_GB2312"/>
          <w:i w:val="0"/>
          <w:iCs w:val="0"/>
          <w:caps w:val="0"/>
          <w:color w:val="auto"/>
          <w:spacing w:val="0"/>
          <w:sz w:val="32"/>
          <w:szCs w:val="32"/>
          <w:lang w:val="en-US" w:eastAsia="zh-CN"/>
        </w:rPr>
        <w:t>1485</w:t>
      </w:r>
      <w:r>
        <w:rPr>
          <w:rFonts w:hint="eastAsia" w:ascii="仿宋_GB2312" w:hAnsi="sans-serif" w:eastAsia="仿宋_GB2312" w:cs="仿宋_GB2312"/>
          <w:i w:val="0"/>
          <w:iCs w:val="0"/>
          <w:caps w:val="0"/>
          <w:color w:val="auto"/>
          <w:spacing w:val="0"/>
          <w:sz w:val="32"/>
          <w:szCs w:val="32"/>
        </w:rPr>
        <w:t>人。</w:t>
      </w:r>
    </w:p>
    <w:p>
      <w:pPr>
        <w:keepNext w:val="0"/>
        <w:keepLines w:val="0"/>
        <w:pageBreakBefore w:val="0"/>
        <w:kinsoku/>
        <w:wordWrap/>
        <w:overflowPunct/>
        <w:topLinePunct w:val="0"/>
        <w:autoSpaceDE/>
        <w:autoSpaceDN/>
        <w:bidi w:val="0"/>
        <w:adjustRightInd/>
        <w:snapToGrid/>
        <w:spacing w:beforeAutospacing="0" w:line="460" w:lineRule="exact"/>
        <w:textAlignment w:val="auto"/>
      </w:pPr>
    </w:p>
    <w:p>
      <w:pPr>
        <w:keepNext w:val="0"/>
        <w:keepLines w:val="0"/>
        <w:pageBreakBefore w:val="0"/>
        <w:kinsoku/>
        <w:wordWrap/>
        <w:overflowPunct/>
        <w:topLinePunct w:val="0"/>
        <w:autoSpaceDE/>
        <w:autoSpaceDN/>
        <w:bidi w:val="0"/>
        <w:adjustRightInd/>
        <w:snapToGrid/>
        <w:spacing w:beforeAutospacing="0" w:line="460" w:lineRule="exact"/>
        <w:jc w:val="center"/>
        <w:textAlignment w:val="auto"/>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2497455</wp:posOffset>
            </wp:positionH>
            <wp:positionV relativeFrom="page">
              <wp:posOffset>2066290</wp:posOffset>
            </wp:positionV>
            <wp:extent cx="2504440" cy="3483610"/>
            <wp:effectExtent l="0" t="0" r="10160" b="2540"/>
            <wp:wrapTopAndBottom/>
            <wp:docPr id="1" name="图片 1" descr="ef7984cc77e682ab8167166f4005fc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ef7984cc77e682ab8167166f4005fc6"/>
                    <pic:cNvPicPr>
                      <a:picLocks noChangeAspect="true"/>
                    </pic:cNvPicPr>
                  </pic:nvPicPr>
                  <pic:blipFill>
                    <a:blip r:embed="rId4"/>
                    <a:stretch>
                      <a:fillRect/>
                    </a:stretch>
                  </pic:blipFill>
                  <pic:spPr>
                    <a:xfrm>
                      <a:off x="0" y="0"/>
                      <a:ext cx="2504440" cy="3483610"/>
                    </a:xfrm>
                    <a:prstGeom prst="rect">
                      <a:avLst/>
                    </a:prstGeom>
                  </pic:spPr>
                </pic:pic>
              </a:graphicData>
            </a:graphic>
          </wp:anchor>
        </w:drawing>
      </w: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-307340</wp:posOffset>
            </wp:positionH>
            <wp:positionV relativeFrom="page">
              <wp:posOffset>1988185</wp:posOffset>
            </wp:positionV>
            <wp:extent cx="2540635" cy="3562985"/>
            <wp:effectExtent l="0" t="0" r="12065" b="18415"/>
            <wp:wrapTopAndBottom/>
            <wp:docPr id="3" name="图片 3" descr="2f46ab304a269363311aa7e625f46e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f46ab304a269363311aa7e625f46e8"/>
                    <pic:cNvPicPr>
                      <a:picLocks noChangeAspect="true"/>
                    </pic:cNvPicPr>
                  </pic:nvPicPr>
                  <pic:blipFill>
                    <a:blip r:embed="rId5"/>
                    <a:stretch>
                      <a:fillRect/>
                    </a:stretch>
                  </pic:blipFill>
                  <pic:spPr>
                    <a:xfrm>
                      <a:off x="0" y="0"/>
                      <a:ext cx="2540635" cy="3562985"/>
                    </a:xfrm>
                    <a:prstGeom prst="rect">
                      <a:avLst/>
                    </a:prstGeom>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480" w:firstLineChars="200"/>
        <w:jc w:val="left"/>
        <w:textAlignment w:val="auto"/>
        <w:rPr>
          <w:rFonts w:hint="eastAsia" w:ascii="仿宋_GB2312" w:hAnsi="sans-serif" w:eastAsia="仿宋_GB2312" w:cs="仿宋_GB2312"/>
          <w:i w:val="0"/>
          <w:iCs w:val="0"/>
          <w:caps w:val="0"/>
          <w:color w:val="00000A"/>
          <w:spacing w:val="0"/>
          <w:sz w:val="32"/>
          <w:szCs w:val="32"/>
        </w:rPr>
      </w:pPr>
      <w:r>
        <w:drawing>
          <wp:anchor distT="0" distB="0" distL="114300" distR="114300" simplePos="0" relativeHeight="251659264" behindDoc="0" locked="0" layoutInCell="1" allowOverlap="1">
            <wp:simplePos x="0" y="0"/>
            <wp:positionH relativeFrom="column">
              <wp:posOffset>1013460</wp:posOffset>
            </wp:positionH>
            <wp:positionV relativeFrom="page">
              <wp:posOffset>5916295</wp:posOffset>
            </wp:positionV>
            <wp:extent cx="3141980" cy="2395220"/>
            <wp:effectExtent l="0" t="0" r="1270" b="5080"/>
            <wp:wrapTopAndBottom/>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6"/>
                    <a:stretch>
                      <a:fillRect/>
                    </a:stretch>
                  </pic:blipFill>
                  <pic:spPr>
                    <a:xfrm>
                      <a:off x="0" y="0"/>
                      <a:ext cx="3141980" cy="2395220"/>
                    </a:xfrm>
                    <a:prstGeom prst="rect">
                      <a:avLst/>
                    </a:prstGeom>
                    <a:noFill/>
                    <a:ln>
                      <a:noFill/>
                    </a:ln>
                  </pic:spPr>
                </pic:pic>
              </a:graphicData>
            </a:graphic>
          </wp:anchor>
        </w:drawing>
      </w:r>
      <w:r>
        <w:rPr>
          <w:rFonts w:hint="eastAsia" w:ascii="仿宋_GB2312" w:hAnsi="sans-serif" w:eastAsia="仿宋_GB2312" w:cs="仿宋_GB2312"/>
          <w:i w:val="0"/>
          <w:iCs w:val="0"/>
          <w:caps w:val="0"/>
          <w:color w:val="00000A"/>
          <w:spacing w:val="0"/>
          <w:sz w:val="32"/>
          <w:szCs w:val="32"/>
        </w:rPr>
        <w:t>（二）依申请公开。202</w:t>
      </w:r>
      <w:r>
        <w:rPr>
          <w:rFonts w:hint="eastAsia" w:ascii="仿宋_GB2312" w:hAnsi="sans-serif" w:eastAsia="仿宋_GB2312" w:cs="仿宋_GB2312"/>
          <w:i w:val="0"/>
          <w:iCs w:val="0"/>
          <w:caps w:val="0"/>
          <w:color w:val="00000A"/>
          <w:spacing w:val="0"/>
          <w:sz w:val="32"/>
          <w:szCs w:val="32"/>
          <w:lang w:val="en-US" w:eastAsia="zh-CN"/>
        </w:rPr>
        <w:t>3</w:t>
      </w:r>
      <w:r>
        <w:rPr>
          <w:rFonts w:hint="eastAsia" w:ascii="仿宋_GB2312" w:hAnsi="sans-serif" w:eastAsia="仿宋_GB2312" w:cs="仿宋_GB2312"/>
          <w:i w:val="0"/>
          <w:iCs w:val="0"/>
          <w:caps w:val="0"/>
          <w:color w:val="00000A"/>
          <w:spacing w:val="0"/>
          <w:sz w:val="32"/>
          <w:szCs w:val="32"/>
        </w:rPr>
        <w:t>年市医保局受理依申请公开共</w:t>
      </w:r>
      <w:r>
        <w:rPr>
          <w:rFonts w:hint="eastAsia" w:ascii="仿宋_GB2312" w:hAnsi="sans-serif" w:eastAsia="仿宋_GB2312" w:cs="仿宋_GB2312"/>
          <w:i w:val="0"/>
          <w:iCs w:val="0"/>
          <w:caps w:val="0"/>
          <w:color w:val="00000A"/>
          <w:spacing w:val="0"/>
          <w:sz w:val="32"/>
          <w:szCs w:val="32"/>
          <w:lang w:val="en-US" w:eastAsia="zh-CN"/>
        </w:rPr>
        <w:t>1</w:t>
      </w:r>
      <w:r>
        <w:rPr>
          <w:rFonts w:hint="eastAsia" w:ascii="仿宋_GB2312" w:hAnsi="sans-serif" w:eastAsia="仿宋_GB2312" w:cs="仿宋_GB2312"/>
          <w:i w:val="0"/>
          <w:iCs w:val="0"/>
          <w:caps w:val="0"/>
          <w:color w:val="00000A"/>
          <w:spacing w:val="0"/>
          <w:sz w:val="32"/>
          <w:szCs w:val="32"/>
        </w:rPr>
        <w:t>件。</w:t>
      </w:r>
      <w:r>
        <w:rPr>
          <w:rFonts w:hint="eastAsia" w:ascii="仿宋_GB2312" w:hAnsi="宋体" w:eastAsia="仿宋_GB2312" w:cs="仿宋_GB2312"/>
          <w:i w:val="0"/>
          <w:iCs w:val="0"/>
          <w:caps w:val="0"/>
          <w:color w:val="000000"/>
          <w:spacing w:val="0"/>
          <w:sz w:val="31"/>
          <w:szCs w:val="31"/>
          <w:shd w:val="clear" w:fill="FFFFFF"/>
        </w:rPr>
        <w:t>与2022年相比，增加1件。本年度无因政府信息公开引起行政复议、行政诉讼的情况。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（三）政府信息管理。严格落实公文公开属性源头认定机制，明确标识主动公开、依申请公开、不予公开属性。另明确信息公开时限要求，确保信息上传及时、避免出现空白栏目，扎实做好信息上传维护工作。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（四）政府信息公开平台建设。加强本部门网站和政务新媒体的日常管理和栏目维护，不断完善政府信息公开网的公开内容。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（五）监督保障。加强对政务信息公开工作的组织领导，健全以局长任组长，分管领导任副组长的政府信息公开工作领导小组，并下设办公室。结合工作安排，开展政务公开培训。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sans-serif" w:eastAsia="仿宋_GB2312" w:cs="仿宋_GB2312"/>
          <w:i w:val="0"/>
          <w:iCs w:val="0"/>
          <w:caps w:val="0"/>
          <w:color w:val="00000A"/>
          <w:spacing w:val="0"/>
          <w:sz w:val="32"/>
          <w:szCs w:val="32"/>
        </w:rPr>
      </w:pPr>
      <w:r>
        <w:rPr>
          <w:rFonts w:hint="eastAsia" w:ascii="仿宋_GB2312" w:hAnsi="sans-serif" w:eastAsia="仿宋_GB2312" w:cs="仿宋_GB2312"/>
          <w:i w:val="0"/>
          <w:iCs w:val="0"/>
          <w:caps w:val="0"/>
          <w:color w:val="00000A"/>
          <w:spacing w:val="0"/>
          <w:sz w:val="32"/>
          <w:szCs w:val="32"/>
        </w:rPr>
        <w:t>202</w:t>
      </w:r>
      <w:r>
        <w:rPr>
          <w:rFonts w:hint="eastAsia" w:ascii="仿宋_GB2312" w:hAnsi="sans-serif" w:eastAsia="仿宋_GB2312" w:cs="仿宋_GB2312"/>
          <w:i w:val="0"/>
          <w:iCs w:val="0"/>
          <w:caps w:val="0"/>
          <w:color w:val="00000A"/>
          <w:spacing w:val="0"/>
          <w:sz w:val="32"/>
          <w:szCs w:val="32"/>
          <w:lang w:val="en-US" w:eastAsia="zh-CN"/>
        </w:rPr>
        <w:t>3</w:t>
      </w:r>
      <w:r>
        <w:rPr>
          <w:rFonts w:hint="eastAsia" w:ascii="仿宋_GB2312" w:hAnsi="sans-serif" w:eastAsia="仿宋_GB2312" w:cs="仿宋_GB2312"/>
          <w:i w:val="0"/>
          <w:iCs w:val="0"/>
          <w:caps w:val="0"/>
          <w:color w:val="00000A"/>
          <w:spacing w:val="0"/>
          <w:sz w:val="32"/>
          <w:szCs w:val="32"/>
        </w:rPr>
        <w:t>年，滕州市医疗保障局未发生因信息公开审查不当或保密审查机构未履行保密审查职责而引起的失泄密情况。202</w:t>
      </w:r>
      <w:r>
        <w:rPr>
          <w:rFonts w:hint="eastAsia" w:ascii="仿宋_GB2312" w:hAnsi="sans-serif" w:eastAsia="仿宋_GB2312" w:cs="仿宋_GB2312"/>
          <w:i w:val="0"/>
          <w:iCs w:val="0"/>
          <w:caps w:val="0"/>
          <w:color w:val="00000A"/>
          <w:spacing w:val="0"/>
          <w:sz w:val="32"/>
          <w:szCs w:val="32"/>
          <w:lang w:val="en-US" w:eastAsia="zh-CN"/>
        </w:rPr>
        <w:t>3</w:t>
      </w:r>
      <w:r>
        <w:rPr>
          <w:rFonts w:hint="eastAsia" w:ascii="仿宋_GB2312" w:hAnsi="sans-serif" w:eastAsia="仿宋_GB2312" w:cs="仿宋_GB2312"/>
          <w:i w:val="0"/>
          <w:iCs w:val="0"/>
          <w:caps w:val="0"/>
          <w:color w:val="00000A"/>
          <w:spacing w:val="0"/>
          <w:sz w:val="32"/>
          <w:szCs w:val="32"/>
        </w:rPr>
        <w:t>年度未进行社会评议，未发生责任追究情况。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4"/>
        <w:jc w:val="left"/>
        <w:textAlignment w:val="auto"/>
        <w:rPr>
          <w:rFonts w:hint="eastAsia" w:ascii="仿宋_GB2312" w:hAnsi="sans-serif" w:eastAsia="仿宋_GB2312" w:cs="仿宋_GB2312"/>
          <w:i w:val="0"/>
          <w:iCs w:val="0"/>
          <w:caps w:val="0"/>
          <w:color w:val="00000A"/>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634"/>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A"/>
          <w:spacing w:val="0"/>
          <w:sz w:val="32"/>
          <w:szCs w:val="32"/>
        </w:rPr>
        <w:t>二、主动公开政府信息情况</w:t>
      </w:r>
    </w:p>
    <w:p>
      <w:pPr>
        <w:pStyle w:val="2"/>
        <w:keepNext w:val="0"/>
        <w:keepLines w:val="0"/>
        <w:widowControl/>
        <w:suppressLineNumbers w:val="0"/>
        <w:spacing w:before="0" w:beforeAutospacing="1" w:after="0" w:afterAutospacing="0" w:line="605" w:lineRule="atLeast"/>
        <w:ind w:left="0" w:right="0" w:firstLine="634"/>
        <w:jc w:val="center"/>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主动公开政府信息情况统计表</w:t>
      </w:r>
    </w:p>
    <w:tbl>
      <w:tblPr>
        <w:tblStyle w:val="3"/>
        <w:tblW w:w="885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042"/>
        <w:gridCol w:w="2058"/>
        <w:gridCol w:w="2058"/>
        <w:gridCol w:w="269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信息内容</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本年制发件数</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本年废止件数</w:t>
            </w:r>
          </w:p>
        </w:tc>
        <w:tc>
          <w:tcPr>
            <w:tcW w:w="198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rPr>
              <w:t>规章</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0</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 　0</w:t>
            </w:r>
          </w:p>
        </w:tc>
        <w:tc>
          <w:tcPr>
            <w:tcW w:w="198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rPr>
              <w:t>行政规范性文件</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0</w:t>
            </w:r>
          </w:p>
        </w:tc>
        <w:tc>
          <w:tcPr>
            <w:tcW w:w="1995"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 　0</w:t>
            </w:r>
          </w:p>
        </w:tc>
        <w:tc>
          <w:tcPr>
            <w:tcW w:w="1980" w:type="dxa"/>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信息内容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rPr>
              <w:t>行政许可</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信息内容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rPr>
              <w:t>行政处罚</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仿宋_GB2312"/>
                <w:sz w:val="19"/>
                <w:szCs w:val="19"/>
                <w:lang w:val="en-US" w:eastAsia="zh-CN"/>
              </w:rPr>
            </w:pPr>
            <w:r>
              <w:rPr>
                <w:rFonts w:hint="eastAsia" w:ascii="仿宋_GB2312" w:hAnsi="sans-serif" w:eastAsia="仿宋_GB2312" w:cs="仿宋_GB2312"/>
                <w:i w:val="0"/>
                <w:iCs w:val="0"/>
                <w:caps w:val="0"/>
                <w:color w:val="00000A"/>
                <w:spacing w:val="0"/>
                <w:sz w:val="32"/>
                <w:szCs w:val="32"/>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rPr>
              <w:t>行政强制</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信息内容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45" w:hRule="atLeast"/>
        </w:trPr>
        <w:tc>
          <w:tcPr>
            <w:tcW w:w="1980" w:type="dxa"/>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A"/>
                <w:spacing w:val="0"/>
                <w:sz w:val="32"/>
                <w:szCs w:val="32"/>
              </w:rPr>
              <w:t>行政事业性收费</w:t>
            </w:r>
          </w:p>
        </w:tc>
        <w:tc>
          <w:tcPr>
            <w:tcW w:w="6390" w:type="dxa"/>
            <w:gridSpan w:val="3"/>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A"/>
                <w:spacing w:val="0"/>
                <w:sz w:val="32"/>
                <w:szCs w:val="32"/>
              </w:rPr>
              <w:t>0</w:t>
            </w:r>
          </w:p>
        </w:tc>
      </w:tr>
    </w:tbl>
    <w:p>
      <w:pPr>
        <w:pStyle w:val="2"/>
        <w:keepNext w:val="0"/>
        <w:keepLines w:val="0"/>
        <w:widowControl/>
        <w:suppressLineNumbers w:val="0"/>
        <w:spacing w:after="0" w:afterAutospacing="0" w:line="605" w:lineRule="atLeast"/>
        <w:ind w:left="0" w:firstLine="634"/>
        <w:jc w:val="left"/>
        <w:rPr>
          <w:rFonts w:hint="default" w:ascii="sans-serif" w:hAnsi="sans-serif" w:eastAsia="黑体" w:cs="sans-serif"/>
          <w:i w:val="0"/>
          <w:iCs w:val="0"/>
          <w:caps w:val="0"/>
          <w:color w:val="FF0000"/>
          <w:spacing w:val="0"/>
          <w:sz w:val="32"/>
          <w:szCs w:val="32"/>
          <w:highlight w:val="yellow"/>
          <w:lang w:val="en-US" w:eastAsia="zh-CN"/>
        </w:rPr>
      </w:pPr>
      <w:r>
        <w:rPr>
          <w:rFonts w:hint="eastAsia" w:ascii="黑体" w:hAnsi="黑体" w:eastAsia="黑体" w:cs="黑体"/>
          <w:i w:val="0"/>
          <w:iCs w:val="0"/>
          <w:caps w:val="0"/>
          <w:color w:val="00000A"/>
          <w:spacing w:val="0"/>
          <w:sz w:val="32"/>
          <w:szCs w:val="32"/>
        </w:rPr>
        <w:t>三、收到和处理政府信息公开申请情况</w:t>
      </w:r>
    </w:p>
    <w:tbl>
      <w:tblPr>
        <w:tblStyle w:val="3"/>
        <w:tblW w:w="4999"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870"/>
        <w:gridCol w:w="1344"/>
        <w:gridCol w:w="2450"/>
        <w:gridCol w:w="632"/>
        <w:gridCol w:w="422"/>
        <w:gridCol w:w="423"/>
        <w:gridCol w:w="560"/>
        <w:gridCol w:w="534"/>
        <w:gridCol w:w="516"/>
        <w:gridCol w:w="78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2661" w:type="pct"/>
            <w:gridSpan w:val="3"/>
            <w:vMerge w:val="restart"/>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等于第三项加第四项之和）</w:t>
            </w:r>
          </w:p>
        </w:tc>
        <w:tc>
          <w:tcPr>
            <w:tcW w:w="2338" w:type="pct"/>
            <w:gridSpan w:val="7"/>
            <w:tcBorders>
              <w:top w:val="single" w:color="00000A" w:sz="8"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661" w:type="pct"/>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381" w:type="pct"/>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自然人</w:t>
            </w:r>
          </w:p>
        </w:tc>
        <w:tc>
          <w:tcPr>
            <w:tcW w:w="1489" w:type="pct"/>
            <w:gridSpan w:val="5"/>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法人或其他组织</w:t>
            </w:r>
          </w:p>
        </w:tc>
        <w:tc>
          <w:tcPr>
            <w:tcW w:w="468" w:type="pct"/>
            <w:vMerge w:val="restar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661" w:type="pct"/>
            <w:gridSpan w:val="3"/>
            <w:vMerge w:val="continue"/>
            <w:tcBorders>
              <w:top w:val="single" w:color="00000A" w:sz="8"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381"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19"/>
                <w:szCs w:val="19"/>
              </w:rPr>
            </w:pPr>
            <w:r>
              <w:rPr>
                <w:rFonts w:hint="eastAsia" w:ascii="仿宋_GB2312" w:eastAsia="仿宋_GB2312" w:cs="仿宋_GB2312"/>
                <w:color w:val="00000A"/>
                <w:sz w:val="32"/>
                <w:szCs w:val="32"/>
              </w:rPr>
              <w:t>商业企业</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19"/>
                <w:szCs w:val="19"/>
              </w:rPr>
            </w:pPr>
            <w:r>
              <w:rPr>
                <w:rFonts w:hint="eastAsia" w:ascii="仿宋_GB2312" w:eastAsia="仿宋_GB2312" w:cs="仿宋_GB2312"/>
                <w:color w:val="00000A"/>
                <w:sz w:val="32"/>
                <w:szCs w:val="32"/>
              </w:rPr>
              <w:t>科研机构</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19"/>
                <w:szCs w:val="19"/>
              </w:rPr>
            </w:pPr>
            <w:r>
              <w:rPr>
                <w:rFonts w:hint="eastAsia" w:ascii="仿宋_GB2312" w:eastAsia="仿宋_GB2312" w:cs="仿宋_GB2312"/>
                <w:color w:val="00000A"/>
                <w:sz w:val="32"/>
                <w:szCs w:val="32"/>
              </w:rPr>
              <w:t>社会公益组织</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19"/>
                <w:szCs w:val="19"/>
              </w:rPr>
            </w:pPr>
            <w:r>
              <w:rPr>
                <w:rFonts w:hint="eastAsia" w:ascii="仿宋_GB2312" w:eastAsia="仿宋_GB2312" w:cs="仿宋_GB2312"/>
                <w:color w:val="00000A"/>
                <w:sz w:val="32"/>
                <w:szCs w:val="32"/>
              </w:rPr>
              <w:t>法律服务机构</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30"/>
              <w:jc w:val="center"/>
              <w:rPr>
                <w:sz w:val="19"/>
                <w:szCs w:val="19"/>
              </w:rPr>
            </w:pPr>
            <w:r>
              <w:rPr>
                <w:rFonts w:hint="eastAsia" w:ascii="仿宋_GB2312" w:eastAsia="仿宋_GB2312" w:cs="仿宋_GB2312"/>
                <w:color w:val="00000A"/>
                <w:sz w:val="32"/>
                <w:szCs w:val="32"/>
              </w:rPr>
              <w:t>其他</w:t>
            </w:r>
          </w:p>
        </w:tc>
        <w:tc>
          <w:tcPr>
            <w:tcW w:w="468" w:type="pct"/>
            <w:vMerge w:val="continue"/>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661" w:type="pct"/>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一、本年新收政府信息公开申请数量</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val="en-US" w:eastAsia="zh-CN"/>
              </w:rPr>
            </w:pPr>
            <w:r>
              <w:rPr>
                <w:rFonts w:hint="eastAsia" w:ascii="仿宋_GB2312" w:eastAsia="仿宋_GB2312" w:cs="仿宋_GB2312"/>
                <w:color w:val="00000A"/>
                <w:sz w:val="32"/>
                <w:szCs w:val="32"/>
                <w:lang w:val="en-US" w:eastAsia="zh-CN"/>
              </w:rPr>
              <w:t>1</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color w:val="00000A"/>
                <w:sz w:val="32"/>
                <w:szCs w:val="32"/>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661" w:type="pct"/>
            <w:gridSpan w:val="3"/>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二、上年结转政府信息公开申请数量</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restart"/>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三、本年度办理结果</w:t>
            </w:r>
          </w:p>
        </w:tc>
        <w:tc>
          <w:tcPr>
            <w:tcW w:w="2244"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（一）予以公开</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color w:val="00000A"/>
                <w:sz w:val="32"/>
                <w:szCs w:val="32"/>
                <w:lang w:val="en-US" w:eastAsia="zh-CN"/>
              </w:rPr>
              <w:t>1</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color w:val="00000A"/>
                <w:sz w:val="32"/>
                <w:szCs w:val="32"/>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244"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（二）部分公开（区分处理的，只计这一情形，不计其他情形）</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仿宋_GB2312" w:eastAsia="仿宋_GB2312" w:cs="仿宋_GB2312"/>
                <w:color w:val="00000A"/>
                <w:sz w:val="32"/>
                <w:szCs w:val="32"/>
              </w:rPr>
              <w:t>（三）不予公开</w:t>
            </w: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1.属于国家秘密</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2.其他法律行政法规禁止公开</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3.危及“三安全一稳定”</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4.保护第三方合法权益</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5.属于三类内部事务信息</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6.属于四类过程性信息</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7.属于行政执法案卷</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8.属于行政查询事项</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仿宋_GB2312" w:eastAsia="仿宋_GB2312" w:cs="仿宋_GB2312"/>
                <w:color w:val="00000A"/>
                <w:sz w:val="32"/>
                <w:szCs w:val="32"/>
              </w:rPr>
              <w:t>（四）无法提供</w:t>
            </w: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1.本机关不掌握相关政府信息</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2.没有现成信息需要另行制作</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3.补正后申请内容仍不明确</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仿宋_GB2312" w:eastAsia="仿宋_GB2312" w:cs="仿宋_GB2312"/>
                <w:color w:val="00000A"/>
                <w:sz w:val="32"/>
                <w:szCs w:val="32"/>
              </w:rPr>
              <w:t>（五）不予处理</w:t>
            </w: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1.信访举报投诉类申请</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2.重复申请</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3.要求提供公开出版物</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4.无正当理由大量反复申请</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16"/>
              <w:rPr>
                <w:sz w:val="19"/>
                <w:szCs w:val="19"/>
              </w:rPr>
            </w:pPr>
            <w:r>
              <w:rPr>
                <w:rFonts w:hint="eastAsia" w:ascii="仿宋_GB2312" w:eastAsia="仿宋_GB2312" w:cs="仿宋_GB2312"/>
                <w:color w:val="00000A"/>
                <w:sz w:val="32"/>
                <w:szCs w:val="32"/>
              </w:rPr>
              <w:t>出具已获取信息</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（六）其他处理</w:t>
            </w: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1.申请人无正当理由逾期不补正、行政机关不再处理其政府信息公开申请</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2.申请人逾期未按收费通知要求缴纳费用、行政机关不再处理其政府信息公开申请</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798" w:type="pct"/>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1445" w:type="pct"/>
            <w:tcBorders>
              <w:top w:val="single" w:color="00000A" w:sz="6" w:space="0"/>
              <w:left w:val="single" w:color="00000A" w:sz="6" w:space="0"/>
              <w:bottom w:val="single" w:color="00000A" w:sz="6" w:space="0"/>
              <w:right w:val="single" w:color="00000A" w:sz="6" w:space="0"/>
            </w:tcBorders>
            <w:shd w:val="clear" w:color="auto" w:fill="FFFFFF"/>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3.其他</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417" w:type="pct"/>
            <w:vMerge w:val="continue"/>
            <w:tcBorders>
              <w:top w:val="single" w:color="00000A" w:sz="6" w:space="0"/>
              <w:left w:val="single" w:color="00000A" w:sz="8" w:space="0"/>
              <w:bottom w:val="single" w:color="00000A" w:sz="6" w:space="0"/>
              <w:right w:val="single" w:color="00000A" w:sz="6"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244" w:type="pct"/>
            <w:gridSpan w:val="2"/>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（七）总计</w:t>
            </w:r>
          </w:p>
        </w:tc>
        <w:tc>
          <w:tcPr>
            <w:tcW w:w="381"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highlight w:val="none"/>
                <w:lang w:eastAsia="zh-CN"/>
              </w:rPr>
            </w:pPr>
            <w:r>
              <w:rPr>
                <w:rFonts w:hint="eastAsia" w:ascii="仿宋_GB2312" w:eastAsia="仿宋_GB2312" w:cs="仿宋_GB2312"/>
                <w:color w:val="00000A"/>
                <w:sz w:val="32"/>
                <w:szCs w:val="32"/>
                <w:highlight w:val="none"/>
                <w:lang w:val="en-US" w:eastAsia="zh-CN"/>
              </w:rPr>
              <w:t>1</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highlight w:val="none"/>
              </w:rPr>
            </w:pPr>
            <w:r>
              <w:rPr>
                <w:rFonts w:hint="eastAsia" w:ascii="仿宋_GB2312" w:eastAsia="仿宋_GB2312" w:cs="仿宋_GB2312"/>
                <w:color w:val="00000A"/>
                <w:sz w:val="32"/>
                <w:szCs w:val="32"/>
                <w:highlight w:val="none"/>
              </w:rPr>
              <w:t>0</w:t>
            </w:r>
          </w:p>
        </w:tc>
        <w:tc>
          <w:tcPr>
            <w:tcW w:w="25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highlight w:val="none"/>
              </w:rPr>
            </w:pPr>
            <w:r>
              <w:rPr>
                <w:rFonts w:hint="eastAsia" w:ascii="仿宋_GB2312" w:eastAsia="仿宋_GB2312" w:cs="仿宋_GB2312"/>
                <w:color w:val="00000A"/>
                <w:sz w:val="32"/>
                <w:szCs w:val="32"/>
                <w:highlight w:val="none"/>
              </w:rPr>
              <w:t>0</w:t>
            </w:r>
          </w:p>
        </w:tc>
        <w:tc>
          <w:tcPr>
            <w:tcW w:w="338"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highlight w:val="none"/>
              </w:rPr>
            </w:pPr>
            <w:r>
              <w:rPr>
                <w:rFonts w:hint="eastAsia" w:ascii="仿宋_GB2312" w:eastAsia="仿宋_GB2312" w:cs="仿宋_GB2312"/>
                <w:color w:val="00000A"/>
                <w:sz w:val="32"/>
                <w:szCs w:val="32"/>
                <w:highlight w:val="none"/>
              </w:rPr>
              <w:t>0</w:t>
            </w:r>
          </w:p>
        </w:tc>
        <w:tc>
          <w:tcPr>
            <w:tcW w:w="323"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highlight w:val="none"/>
              </w:rPr>
            </w:pPr>
            <w:r>
              <w:rPr>
                <w:rFonts w:hint="eastAsia" w:ascii="仿宋_GB2312" w:eastAsia="仿宋_GB2312" w:cs="仿宋_GB2312"/>
                <w:color w:val="00000A"/>
                <w:sz w:val="32"/>
                <w:szCs w:val="32"/>
                <w:highlight w:val="none"/>
              </w:rPr>
              <w:t>0</w:t>
            </w:r>
          </w:p>
        </w:tc>
        <w:tc>
          <w:tcPr>
            <w:tcW w:w="309" w:type="pct"/>
            <w:tcBorders>
              <w:top w:val="single" w:color="00000A" w:sz="6" w:space="0"/>
              <w:left w:val="single" w:color="00000A" w:sz="6" w:space="0"/>
              <w:bottom w:val="single" w:color="00000A" w:sz="6"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highlight w:val="none"/>
              </w:rPr>
            </w:pPr>
            <w:r>
              <w:rPr>
                <w:rFonts w:hint="eastAsia" w:ascii="仿宋_GB2312" w:eastAsia="仿宋_GB2312" w:cs="仿宋_GB2312"/>
                <w:color w:val="00000A"/>
                <w:sz w:val="32"/>
                <w:szCs w:val="32"/>
                <w:highlight w:val="none"/>
              </w:rPr>
              <w:t>0</w:t>
            </w:r>
          </w:p>
        </w:tc>
        <w:tc>
          <w:tcPr>
            <w:tcW w:w="468" w:type="pct"/>
            <w:tcBorders>
              <w:top w:val="single" w:color="00000A" w:sz="6" w:space="0"/>
              <w:left w:val="single" w:color="00000A" w:sz="6" w:space="0"/>
              <w:bottom w:val="single" w:color="00000A" w:sz="6"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highlight w:val="none"/>
                <w:lang w:eastAsia="zh-CN"/>
              </w:rPr>
            </w:pPr>
            <w:r>
              <w:rPr>
                <w:rFonts w:hint="eastAsia" w:ascii="仿宋_GB2312" w:eastAsia="仿宋_GB2312" w:cs="仿宋_GB2312"/>
                <w:color w:val="00000A"/>
                <w:sz w:val="32"/>
                <w:szCs w:val="32"/>
                <w:highlight w:val="none"/>
                <w:lang w:val="en-US" w:eastAsia="zh-CN"/>
              </w:rPr>
              <w:t>1</w:t>
            </w:r>
            <w:bookmarkStart w:id="0" w:name="_GoBack"/>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661" w:type="pct"/>
            <w:gridSpan w:val="3"/>
            <w:tcBorders>
              <w:top w:val="single" w:color="00000A" w:sz="6" w:space="0"/>
              <w:left w:val="single" w:color="00000A" w:sz="8"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四、结转下年度继续办理</w:t>
            </w:r>
          </w:p>
        </w:tc>
        <w:tc>
          <w:tcPr>
            <w:tcW w:w="381" w:type="pct"/>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58" w:type="pct"/>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38" w:type="pct"/>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23" w:type="pct"/>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309" w:type="pct"/>
            <w:tcBorders>
              <w:top w:val="single" w:color="00000A" w:sz="6" w:space="0"/>
              <w:left w:val="single" w:color="00000A" w:sz="6" w:space="0"/>
              <w:bottom w:val="single" w:color="00000A" w:sz="8" w:space="0"/>
              <w:right w:val="single" w:color="00000A" w:sz="6"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468" w:type="pct"/>
            <w:tcBorders>
              <w:top w:val="single" w:color="00000A" w:sz="6" w:space="0"/>
              <w:left w:val="single" w:color="00000A" w:sz="6"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after="0" w:afterAutospacing="0" w:line="560" w:lineRule="exact"/>
        <w:ind w:lef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A"/>
          <w:spacing w:val="0"/>
          <w:sz w:val="32"/>
          <w:szCs w:val="32"/>
        </w:rPr>
        <w:t>四、政府信息公开行政复议、行政诉讼情况</w:t>
      </w:r>
    </w:p>
    <w:tbl>
      <w:tblPr>
        <w:tblStyle w:val="3"/>
        <w:tblW w:w="4999"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390"/>
        <w:gridCol w:w="383"/>
        <w:gridCol w:w="383"/>
        <w:gridCol w:w="383"/>
        <w:gridCol w:w="1291"/>
        <w:gridCol w:w="339"/>
        <w:gridCol w:w="384"/>
        <w:gridCol w:w="384"/>
        <w:gridCol w:w="384"/>
        <w:gridCol w:w="1233"/>
        <w:gridCol w:w="384"/>
        <w:gridCol w:w="384"/>
        <w:gridCol w:w="384"/>
        <w:gridCol w:w="384"/>
        <w:gridCol w:w="14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1" w:hRule="atLeast"/>
          <w:jc w:val="center"/>
        </w:trPr>
        <w:tc>
          <w:tcPr>
            <w:tcW w:w="1657" w:type="pct"/>
            <w:gridSpan w:val="5"/>
            <w:tcBorders>
              <w:top w:val="single" w:color="00000A" w:sz="8" w:space="0"/>
              <w:left w:val="single" w:color="00000A" w:sz="8" w:space="0"/>
              <w:bottom w:val="single" w:color="00000A" w:sz="8" w:space="0"/>
              <w:right w:val="single" w:color="00000A"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行政复议</w:t>
            </w:r>
          </w:p>
        </w:tc>
        <w:tc>
          <w:tcPr>
            <w:tcW w:w="3342" w:type="pct"/>
            <w:gridSpan w:val="10"/>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25" w:type="pct"/>
            <w:vMerge w:val="restart"/>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19"/>
                <w:szCs w:val="19"/>
              </w:rPr>
            </w:pPr>
            <w:r>
              <w:rPr>
                <w:rFonts w:hint="eastAsia" w:ascii="仿宋_GB2312" w:eastAsia="仿宋_GB2312" w:cs="仿宋_GB2312"/>
                <w:color w:val="00000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19"/>
                <w:szCs w:val="19"/>
              </w:rPr>
            </w:pPr>
            <w:r>
              <w:rPr>
                <w:rFonts w:hint="eastAsia" w:ascii="仿宋_GB2312" w:eastAsia="仿宋_GB2312" w:cs="仿宋_GB2312"/>
                <w:color w:val="00000A"/>
                <w:sz w:val="32"/>
                <w:szCs w:val="32"/>
              </w:rPr>
              <w:t>维持</w:t>
            </w:r>
          </w:p>
        </w:tc>
        <w:tc>
          <w:tcPr>
            <w:tcW w:w="225" w:type="pct"/>
            <w:vMerge w:val="restar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firstLine="0"/>
              <w:jc w:val="center"/>
              <w:rPr>
                <w:sz w:val="19"/>
                <w:szCs w:val="19"/>
              </w:rPr>
            </w:pPr>
            <w:r>
              <w:rPr>
                <w:rFonts w:hint="eastAsia" w:ascii="仿宋_GB2312" w:eastAsia="仿宋_GB2312" w:cs="仿宋_GB2312"/>
                <w:color w:val="00000A"/>
                <w:sz w:val="32"/>
                <w:szCs w:val="32"/>
              </w:rPr>
              <w:t>结果纠正</w:t>
            </w:r>
          </w:p>
        </w:tc>
        <w:tc>
          <w:tcPr>
            <w:tcW w:w="225" w:type="pct"/>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101"/>
              <w:jc w:val="center"/>
              <w:rPr>
                <w:sz w:val="19"/>
                <w:szCs w:val="19"/>
              </w:rPr>
            </w:pPr>
            <w:r>
              <w:rPr>
                <w:rFonts w:hint="eastAsia" w:ascii="仿宋_GB2312" w:eastAsia="仿宋_GB2312" w:cs="仿宋_GB2312"/>
                <w:color w:val="00000A"/>
                <w:sz w:val="32"/>
                <w:szCs w:val="32"/>
              </w:rPr>
              <w:t>其他结果</w:t>
            </w:r>
          </w:p>
        </w:tc>
        <w:tc>
          <w:tcPr>
            <w:tcW w:w="225" w:type="pct"/>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仿宋_GB2312" w:eastAsia="仿宋_GB2312" w:cs="仿宋_GB2312"/>
                <w:color w:val="00000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仿宋_GB2312" w:eastAsia="仿宋_GB2312" w:cs="仿宋_GB2312"/>
                <w:color w:val="00000A"/>
                <w:sz w:val="32"/>
                <w:szCs w:val="32"/>
              </w:rPr>
              <w:t>审结</w:t>
            </w:r>
          </w:p>
        </w:tc>
        <w:tc>
          <w:tcPr>
            <w:tcW w:w="755" w:type="pct"/>
            <w:vMerge w:val="restar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计</w:t>
            </w:r>
          </w:p>
        </w:tc>
        <w:tc>
          <w:tcPr>
            <w:tcW w:w="1596" w:type="pct"/>
            <w:gridSpan w:val="5"/>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未经复议直接起诉</w:t>
            </w:r>
          </w:p>
        </w:tc>
        <w:tc>
          <w:tcPr>
            <w:tcW w:w="1745" w:type="pct"/>
            <w:gridSpan w:val="5"/>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25" w:type="pct"/>
            <w:vMerge w:val="continue"/>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rPr>
                <w:rFonts w:hint="eastAsia" w:ascii="宋体"/>
                <w:sz w:val="24"/>
                <w:szCs w:val="24"/>
              </w:rPr>
            </w:pPr>
          </w:p>
        </w:tc>
        <w:tc>
          <w:tcPr>
            <w:tcW w:w="225" w:type="pct"/>
            <w:vMerge w:val="continue"/>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225" w:type="pct"/>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225" w:type="pct"/>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755" w:type="pct"/>
            <w:vMerge w:val="continue"/>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rPr>
                <w:rFonts w:hint="eastAsia" w:ascii="宋体"/>
                <w:sz w:val="24"/>
                <w:szCs w:val="24"/>
              </w:rPr>
            </w:pPr>
          </w:p>
        </w:tc>
        <w:tc>
          <w:tcPr>
            <w:tcW w:w="199"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30"/>
              <w:jc w:val="center"/>
              <w:rPr>
                <w:sz w:val="19"/>
                <w:szCs w:val="19"/>
              </w:rPr>
            </w:pPr>
            <w:r>
              <w:rPr>
                <w:rFonts w:hint="eastAsia" w:ascii="仿宋_GB2312" w:eastAsia="仿宋_GB2312" w:cs="仿宋_GB2312"/>
                <w:color w:val="00000A"/>
                <w:sz w:val="32"/>
                <w:szCs w:val="32"/>
              </w:rPr>
              <w:t>结果维持</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rPr>
                <w:sz w:val="19"/>
                <w:szCs w:val="19"/>
              </w:rPr>
            </w:pPr>
            <w:r>
              <w:rPr>
                <w:rFonts w:hint="eastAsia" w:ascii="仿宋_GB2312" w:eastAsia="仿宋_GB2312" w:cs="仿宋_GB2312"/>
                <w:color w:val="00000A"/>
                <w:sz w:val="32"/>
                <w:szCs w:val="32"/>
              </w:rPr>
              <w:t>结果纠正</w:t>
            </w:r>
          </w:p>
        </w:tc>
        <w:tc>
          <w:tcPr>
            <w:tcW w:w="225"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rPr>
              <w:t>结果</w:t>
            </w:r>
          </w:p>
        </w:tc>
        <w:tc>
          <w:tcPr>
            <w:tcW w:w="225"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19"/>
                <w:szCs w:val="19"/>
              </w:rPr>
            </w:pPr>
            <w:r>
              <w:rPr>
                <w:rFonts w:hint="eastAsia" w:ascii="仿宋_GB2312" w:eastAsia="仿宋_GB2312" w:cs="仿宋_GB2312"/>
                <w:color w:val="00000A"/>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19"/>
                <w:szCs w:val="19"/>
              </w:rPr>
            </w:pPr>
            <w:r>
              <w:rPr>
                <w:rFonts w:hint="eastAsia" w:ascii="仿宋_GB2312" w:eastAsia="仿宋_GB2312" w:cs="仿宋_GB2312"/>
                <w:color w:val="00000A"/>
                <w:sz w:val="32"/>
                <w:szCs w:val="32"/>
              </w:rPr>
              <w:t>审结</w:t>
            </w:r>
          </w:p>
        </w:tc>
        <w:tc>
          <w:tcPr>
            <w:tcW w:w="721"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总计</w:t>
            </w:r>
          </w:p>
        </w:tc>
        <w:tc>
          <w:tcPr>
            <w:tcW w:w="225"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rPr>
                <w:sz w:val="19"/>
                <w:szCs w:val="19"/>
              </w:rPr>
            </w:pPr>
            <w:r>
              <w:rPr>
                <w:rFonts w:hint="eastAsia" w:ascii="仿宋_GB2312" w:eastAsia="仿宋_GB2312" w:cs="仿宋_GB2312"/>
                <w:color w:val="00000A"/>
                <w:sz w:val="32"/>
                <w:szCs w:val="32"/>
              </w:rPr>
              <w:t>结果维持</w:t>
            </w:r>
          </w:p>
        </w:tc>
        <w:tc>
          <w:tcPr>
            <w:tcW w:w="225"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仿宋_GB2312" w:eastAsia="仿宋_GB2312" w:cs="仿宋_GB2312"/>
                <w:color w:val="00000A"/>
                <w:sz w:val="32"/>
                <w:szCs w:val="32"/>
              </w:rPr>
              <w:t>纠正</w:t>
            </w:r>
          </w:p>
        </w:tc>
        <w:tc>
          <w:tcPr>
            <w:tcW w:w="225"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19"/>
                <w:szCs w:val="19"/>
              </w:rPr>
            </w:pPr>
            <w:r>
              <w:rPr>
                <w:rFonts w:hint="eastAsia" w:ascii="仿宋_GB2312" w:eastAsia="仿宋_GB2312" w:cs="仿宋_GB2312"/>
                <w:color w:val="00000A"/>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19"/>
                <w:szCs w:val="19"/>
              </w:rPr>
            </w:pPr>
            <w:r>
              <w:rPr>
                <w:rFonts w:hint="eastAsia" w:ascii="仿宋_GB2312" w:eastAsia="仿宋_GB2312" w:cs="仿宋_GB2312"/>
                <w:color w:val="00000A"/>
                <w:sz w:val="32"/>
                <w:szCs w:val="32"/>
              </w:rPr>
              <w:t>结果</w:t>
            </w:r>
          </w:p>
        </w:tc>
        <w:tc>
          <w:tcPr>
            <w:tcW w:w="225"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101" w:firstLine="0"/>
              <w:jc w:val="center"/>
              <w:rPr>
                <w:sz w:val="19"/>
                <w:szCs w:val="19"/>
              </w:rPr>
            </w:pPr>
            <w:r>
              <w:rPr>
                <w:rFonts w:hint="eastAsia" w:ascii="仿宋_GB2312" w:eastAsia="仿宋_GB2312" w:cs="仿宋_GB2312"/>
                <w:color w:val="00000A"/>
                <w:sz w:val="32"/>
                <w:szCs w:val="32"/>
              </w:rPr>
              <w:t>尚未审结</w:t>
            </w:r>
          </w:p>
        </w:tc>
        <w:tc>
          <w:tcPr>
            <w:tcW w:w="842" w:type="pct"/>
            <w:tcBorders>
              <w:top w:val="single" w:color="auto" w:sz="8" w:space="0"/>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225" w:type="pct"/>
            <w:tcBorders>
              <w:top w:val="nil"/>
              <w:left w:val="single" w:color="auto" w:sz="8" w:space="0"/>
              <w:bottom w:val="single" w:color="auto" w:sz="8" w:space="0"/>
              <w:right w:val="single" w:color="auto" w:sz="8" w:space="0"/>
            </w:tcBorders>
            <w:shd w:val="clear" w:color="auto" w:fill="FFFFFF"/>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75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199"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721"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225"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c>
          <w:tcPr>
            <w:tcW w:w="842" w:type="pct"/>
            <w:tcBorders>
              <w:top w:val="nil"/>
              <w:left w:val="nil"/>
              <w:bottom w:val="single" w:color="auto" w:sz="8" w:space="0"/>
              <w:right w:val="single" w:color="auto" w:sz="8" w:space="0"/>
            </w:tcBorders>
            <w:shd w:val="clear" w:color="auto" w:fill="FFFFFF"/>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A"/>
                <w:sz w:val="32"/>
                <w:szCs w:val="32"/>
              </w:rPr>
              <w:t>0</w:t>
            </w:r>
          </w:p>
        </w:tc>
      </w:tr>
    </w:tbl>
    <w:p>
      <w:pPr>
        <w:pStyle w:val="2"/>
        <w:keepNext w:val="0"/>
        <w:keepLines w:val="0"/>
        <w:widowControl/>
        <w:suppressLineNumbers w:val="0"/>
        <w:spacing w:after="0" w:afterAutospacing="0" w:line="605" w:lineRule="atLeast"/>
        <w:ind w:left="0" w:firstLine="0"/>
        <w:jc w:val="left"/>
        <w:rPr>
          <w:rFonts w:hint="eastAsia" w:ascii="黑体" w:hAnsi="黑体" w:eastAsia="黑体" w:cs="黑体"/>
          <w:i w:val="0"/>
          <w:iCs w:val="0"/>
          <w:caps w:val="0"/>
          <w:color w:val="00000A"/>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A"/>
          <w:spacing w:val="0"/>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shd w:val="clear" w:fill="FFFFFF"/>
        </w:rPr>
        <w:t>（一）存在问题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A"/>
          <w:spacing w:val="0"/>
          <w:sz w:val="32"/>
          <w:szCs w:val="32"/>
          <w:shd w:val="clear" w:fill="FFFFFF"/>
        </w:rPr>
      </w:pPr>
      <w:r>
        <w:rPr>
          <w:rFonts w:hint="eastAsia" w:ascii="仿宋_GB2312" w:hAnsi="仿宋_GB2312" w:eastAsia="仿宋_GB2312" w:cs="仿宋_GB2312"/>
          <w:i w:val="0"/>
          <w:iCs w:val="0"/>
          <w:caps w:val="0"/>
          <w:color w:val="00000A"/>
          <w:spacing w:val="0"/>
          <w:sz w:val="32"/>
          <w:szCs w:val="32"/>
          <w:shd w:val="clear" w:fill="FFFFFF"/>
        </w:rPr>
        <w:t>2023年度</w:t>
      </w:r>
      <w:r>
        <w:rPr>
          <w:rFonts w:hint="eastAsia" w:ascii="仿宋_GB2312" w:hAnsi="仿宋_GB2312" w:eastAsia="仿宋_GB2312" w:cs="仿宋_GB2312"/>
          <w:i w:val="0"/>
          <w:iCs w:val="0"/>
          <w:caps w:val="0"/>
          <w:color w:val="00000A"/>
          <w:spacing w:val="0"/>
          <w:sz w:val="32"/>
          <w:szCs w:val="32"/>
          <w:shd w:val="clear" w:fill="FFFFFF"/>
          <w:lang w:val="en-US" w:eastAsia="zh-CN"/>
        </w:rPr>
        <w:t>我局</w:t>
      </w:r>
      <w:r>
        <w:rPr>
          <w:rFonts w:hint="eastAsia" w:ascii="仿宋_GB2312" w:hAnsi="仿宋_GB2312" w:eastAsia="仿宋_GB2312" w:cs="仿宋_GB2312"/>
          <w:i w:val="0"/>
          <w:iCs w:val="0"/>
          <w:caps w:val="0"/>
          <w:color w:val="00000A"/>
          <w:spacing w:val="0"/>
          <w:sz w:val="32"/>
          <w:szCs w:val="32"/>
          <w:shd w:val="clear" w:fill="FFFFFF"/>
        </w:rPr>
        <w:t>政府信息公开工作与公众的需求还存在差距，公开内容的及时性、全面性以及公开形式的便民性等需要在今后工作中改进。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shd w:val="clear" w:fill="FFFFFF"/>
        </w:rPr>
        <w:t>（二）整改措施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A"/>
          <w:spacing w:val="0"/>
          <w:sz w:val="32"/>
          <w:szCs w:val="32"/>
          <w:shd w:val="clear" w:fill="FFFFFF"/>
        </w:rPr>
      </w:pPr>
      <w:r>
        <w:rPr>
          <w:rFonts w:hint="eastAsia" w:ascii="仿宋_GB2312" w:hAnsi="仿宋_GB2312" w:eastAsia="仿宋_GB2312" w:cs="仿宋_GB2312"/>
          <w:i w:val="0"/>
          <w:iCs w:val="0"/>
          <w:caps w:val="0"/>
          <w:color w:val="00000A"/>
          <w:spacing w:val="0"/>
          <w:sz w:val="32"/>
          <w:szCs w:val="32"/>
          <w:shd w:val="clear" w:fill="FFFFFF"/>
        </w:rPr>
        <w:t>1、加强学习，提高自身能力。积极参加各类信息公开培训，提高自身业务能力和水平。加强工作的责任感和自觉性，提高对政府信息公开工作重要性的认识，认真履行职责，为政务公开工作创造良好环境。确保各项工作任务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A"/>
          <w:spacing w:val="0"/>
          <w:sz w:val="32"/>
          <w:szCs w:val="32"/>
          <w:shd w:val="clear" w:fill="FFFFFF"/>
        </w:rPr>
      </w:pPr>
      <w:r>
        <w:rPr>
          <w:rFonts w:hint="eastAsia" w:ascii="仿宋_GB2312" w:hAnsi="仿宋_GB2312" w:eastAsia="仿宋_GB2312" w:cs="仿宋_GB2312"/>
          <w:i w:val="0"/>
          <w:iCs w:val="0"/>
          <w:caps w:val="0"/>
          <w:color w:val="00000A"/>
          <w:spacing w:val="0"/>
          <w:sz w:val="32"/>
          <w:szCs w:val="32"/>
          <w:shd w:val="clear" w:fill="FFFFFF"/>
        </w:rPr>
        <w:t>2、进一步健全政府信息公开工作机制和制度规范。不断规范政府信息主动公开工作机制、政府信息公开申请的受理机制和政府信息发布、保密、审查制度等。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A"/>
          <w:spacing w:val="0"/>
          <w:sz w:val="32"/>
          <w:szCs w:val="32"/>
          <w:shd w:val="clear" w:fill="FFFFFF"/>
        </w:rPr>
        <w:t>3、积极做好政府信息主动公开工作。坚持把主动公开作为一项常态工作，落实政府信息公开载体，加强政民互动，运用图解、视频等可视化方式，以多形式易了解的形式公开政府信息，使群众“看得见、听得懂”。进一步规范信息制作、发布流程。同时，继续按要求做好政府信息公开申请的答复和相关电话咨询，满足政府信息公开申请人的知情权。另外，做好日常工作自我检查，发现的问题及时整改，推进各项任务落实，提升我镇政务公开工作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default" w:ascii="sans-serif" w:hAnsi="sans-serif" w:eastAsia="sans-serif" w:cs="sans-serif"/>
          <w:i w:val="0"/>
          <w:iCs w:val="0"/>
          <w:caps w:val="0"/>
          <w:color w:val="000000"/>
          <w:spacing w:val="0"/>
          <w:sz w:val="32"/>
          <w:szCs w:val="32"/>
        </w:rPr>
      </w:pPr>
      <w:r>
        <w:rPr>
          <w:rFonts w:hint="eastAsia" w:ascii="黑体" w:hAnsi="黑体" w:eastAsia="黑体" w:cs="黑体"/>
          <w:i w:val="0"/>
          <w:iCs w:val="0"/>
          <w:caps w:val="0"/>
          <w:color w:val="00000A"/>
          <w:spacing w:val="0"/>
          <w:sz w:val="32"/>
          <w:szCs w:val="32"/>
        </w:rPr>
        <w:t>六、其他需要报告的事项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shd w:val="clear" w:fill="FFFFFF"/>
        </w:rPr>
        <w:t>（一）本年度，滕州市医保局未收取任何政府信息公开费用。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（二）本行政机关落实上级年度政务公开工作要点情况：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20</w:t>
      </w:r>
      <w:r>
        <w:rPr>
          <w:rFonts w:hint="eastAsia" w:ascii="仿宋_GB2312" w:hAnsi="sans-serif" w:eastAsia="仿宋_GB2312" w:cs="仿宋_GB2312"/>
          <w:i w:val="0"/>
          <w:iCs w:val="0"/>
          <w:caps w:val="0"/>
          <w:color w:val="00000A"/>
          <w:spacing w:val="0"/>
          <w:sz w:val="32"/>
          <w:szCs w:val="32"/>
          <w:lang w:val="en-US" w:eastAsia="zh-CN"/>
        </w:rPr>
        <w:t>23</w:t>
      </w:r>
      <w:r>
        <w:rPr>
          <w:rFonts w:hint="eastAsia" w:ascii="仿宋_GB2312" w:hAnsi="sans-serif" w:eastAsia="仿宋_GB2312" w:cs="仿宋_GB2312"/>
          <w:i w:val="0"/>
          <w:iCs w:val="0"/>
          <w:caps w:val="0"/>
          <w:color w:val="00000A"/>
          <w:spacing w:val="0"/>
          <w:sz w:val="32"/>
          <w:szCs w:val="32"/>
        </w:rPr>
        <w:t>年，滕州市医保局严格按照《中华人民共和国政府信息公开条例》和省政府办公厅、枣庄市政府办公室、滕州市政府办公室通知要求，认真对本部门承担的政务公开重点任务，进一步细化分解，将任务责任到人，确保应公开尽公开，不断提升政务公开能力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（三）本行政机关人大代表建议和政协提案办理结果公开情况：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shd w:val="clear" w:fill="FFFFFF"/>
        </w:rPr>
        <w:t>202</w:t>
      </w:r>
      <w:r>
        <w:rPr>
          <w:rFonts w:hint="eastAsia" w:ascii="仿宋_GB2312" w:hAnsi="sans-serif" w:eastAsia="仿宋_GB2312" w:cs="仿宋_GB2312"/>
          <w:i w:val="0"/>
          <w:iCs w:val="0"/>
          <w:caps w:val="0"/>
          <w:color w:val="00000A"/>
          <w:spacing w:val="0"/>
          <w:sz w:val="32"/>
          <w:szCs w:val="32"/>
          <w:shd w:val="clear" w:fill="FFFFFF"/>
          <w:lang w:val="en-US" w:eastAsia="zh-CN"/>
        </w:rPr>
        <w:t>3</w:t>
      </w:r>
      <w:r>
        <w:rPr>
          <w:rFonts w:hint="eastAsia" w:ascii="仿宋_GB2312" w:hAnsi="sans-serif" w:eastAsia="仿宋_GB2312" w:cs="仿宋_GB2312"/>
          <w:i w:val="0"/>
          <w:iCs w:val="0"/>
          <w:caps w:val="0"/>
          <w:color w:val="00000A"/>
          <w:spacing w:val="0"/>
          <w:sz w:val="32"/>
          <w:szCs w:val="32"/>
          <w:shd w:val="clear" w:fill="FFFFFF"/>
        </w:rPr>
        <w:t>年，滕州市医保局收到政协提案</w:t>
      </w:r>
      <w:r>
        <w:rPr>
          <w:rFonts w:hint="eastAsia" w:ascii="仿宋_GB2312" w:hAnsi="sans-serif" w:eastAsia="仿宋_GB2312" w:cs="仿宋_GB2312"/>
          <w:i w:val="0"/>
          <w:iCs w:val="0"/>
          <w:caps w:val="0"/>
          <w:color w:val="00000A"/>
          <w:spacing w:val="0"/>
          <w:sz w:val="32"/>
          <w:szCs w:val="32"/>
          <w:shd w:val="clear" w:fill="FFFFFF"/>
          <w:lang w:val="en-US" w:eastAsia="zh-CN"/>
        </w:rPr>
        <w:t>1</w:t>
      </w:r>
      <w:r>
        <w:rPr>
          <w:rFonts w:hint="eastAsia" w:ascii="仿宋_GB2312" w:hAnsi="sans-serif" w:eastAsia="仿宋_GB2312" w:cs="仿宋_GB2312"/>
          <w:i w:val="0"/>
          <w:iCs w:val="0"/>
          <w:caps w:val="0"/>
          <w:color w:val="00000A"/>
          <w:spacing w:val="0"/>
          <w:sz w:val="32"/>
          <w:szCs w:val="32"/>
          <w:shd w:val="clear" w:fill="FFFFFF"/>
        </w:rPr>
        <w:t>件，人大议案0件，都已办理完毕，逐一答复了代表本人，并将提案办理情况进行了公开。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（四）本行政机关年度政务公开工作创新情况：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shd w:val="clear" w:fill="FFFFFF"/>
        </w:rPr>
        <w:t>1.加强政务信息管理。细化工作任务，明确工作职责，形成齐抓共管、协同高效的政务公开工作态势，并定期对政务公开工作进行督促检查，确保政务公开工作有序开展。完善信息发布机制，确保第一时间发布重大政策、重要会议、重要活动信息。健全信息发布审核制度，落实工作人员、科室（中心）负责人、分管领导三级审核机制，把好政治关、政策关、文字关；对转载发布的信息，在发布的信息中注明信息来源。严格遵循“谁公开谁审查、谁审查谁负责、先审查后公开”的原则，规范保密审查程序，落实保密审查责任，确保涉密信息不公开、公开信息不涉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shd w:val="clear" w:fill="FFFFFF"/>
        </w:rPr>
        <w:t>2.深化重点领域信息公开。加大部门财政信息公开力度，及时做好部门预决算报表、重点项目支出预算安排情况的公开工作，按季度公开医疗救助费用信息，全年公开医疗救助</w:t>
      </w:r>
      <w:r>
        <w:rPr>
          <w:rFonts w:hint="eastAsia" w:ascii="仿宋_GB2312" w:hAnsi="sans-serif" w:eastAsia="仿宋_GB2312" w:cs="仿宋_GB2312"/>
          <w:i w:val="0"/>
          <w:iCs w:val="0"/>
          <w:caps w:val="0"/>
          <w:color w:val="auto"/>
          <w:spacing w:val="0"/>
          <w:sz w:val="32"/>
          <w:szCs w:val="32"/>
          <w:shd w:val="clear" w:fill="FFFFFF"/>
        </w:rPr>
        <w:t>信息7条、社会医疗生育保险信息6条。建</w:t>
      </w:r>
      <w:r>
        <w:rPr>
          <w:rFonts w:hint="eastAsia" w:ascii="仿宋_GB2312" w:hAnsi="sans-serif" w:eastAsia="仿宋_GB2312" w:cs="仿宋_GB2312"/>
          <w:i w:val="0"/>
          <w:iCs w:val="0"/>
          <w:caps w:val="0"/>
          <w:color w:val="00000A"/>
          <w:spacing w:val="0"/>
          <w:sz w:val="32"/>
          <w:szCs w:val="32"/>
          <w:shd w:val="clear" w:fill="FFFFFF"/>
        </w:rPr>
        <w:t>立健全政府信息依申请公开转主动公开机制，对依申请公开提供的政府信息同步开展审查研判，符合主动公开条件的及时转为主动公开。畅通依申请公开受理渠道，依法保障公众合理的信息需求。规范依申请公开答复工作，严格按照法定时限答复，满足群众和市场主体对政府信息的个性化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shd w:val="clear" w:fill="FFFFFF"/>
        </w:rPr>
        <w:t>3.强化政策解读回应。依托政府网站、滕州医保公众号、滕州医保抖音号、12345政务服务便民热线、医保中心服务大厅等载体，及时发布权威信息，积极引导社会舆论，召开发布会，聚焦民生热点，主动回应关切。加强与新闻媒体的沟通联系，充分发挥主流媒体在舆论引领方面的积极作用。全年局门户网站发布</w:t>
      </w:r>
      <w:r>
        <w:rPr>
          <w:rFonts w:hint="eastAsia" w:ascii="仿宋_GB2312" w:hAnsi="sans-serif" w:eastAsia="仿宋_GB2312" w:cs="仿宋_GB2312"/>
          <w:i w:val="0"/>
          <w:iCs w:val="0"/>
          <w:caps w:val="0"/>
          <w:color w:val="auto"/>
          <w:spacing w:val="0"/>
          <w:sz w:val="32"/>
          <w:szCs w:val="32"/>
          <w:shd w:val="clear" w:fill="FFFFFF"/>
        </w:rPr>
        <w:t>信息281余条、</w:t>
      </w:r>
      <w:r>
        <w:rPr>
          <w:rFonts w:hint="eastAsia" w:ascii="仿宋_GB2312" w:hAnsi="sans-serif" w:eastAsia="仿宋_GB2312" w:cs="仿宋_GB2312"/>
          <w:i w:val="0"/>
          <w:iCs w:val="0"/>
          <w:caps w:val="0"/>
          <w:color w:val="00000A"/>
          <w:spacing w:val="0"/>
          <w:sz w:val="32"/>
          <w:szCs w:val="32"/>
          <w:shd w:val="clear" w:fill="FFFFFF"/>
        </w:rPr>
        <w:t>滕州医保微信公众号发布</w:t>
      </w:r>
      <w:r>
        <w:rPr>
          <w:rFonts w:hint="eastAsia" w:ascii="仿宋_GB2312" w:hAnsi="sans-serif" w:eastAsia="仿宋_GB2312" w:cs="仿宋_GB2312"/>
          <w:i w:val="0"/>
          <w:iCs w:val="0"/>
          <w:caps w:val="0"/>
          <w:color w:val="00000A"/>
          <w:spacing w:val="0"/>
          <w:sz w:val="32"/>
          <w:szCs w:val="32"/>
          <w:shd w:val="clear" w:fill="FFFFFF"/>
          <w:lang w:val="en-US" w:eastAsia="zh-CN"/>
        </w:rPr>
        <w:t>406</w:t>
      </w:r>
      <w:r>
        <w:rPr>
          <w:rFonts w:hint="eastAsia" w:ascii="仿宋_GB2312" w:hAnsi="sans-serif" w:eastAsia="仿宋_GB2312" w:cs="仿宋_GB2312"/>
          <w:i w:val="0"/>
          <w:iCs w:val="0"/>
          <w:caps w:val="0"/>
          <w:color w:val="00000A"/>
          <w:spacing w:val="0"/>
          <w:sz w:val="32"/>
          <w:szCs w:val="32"/>
          <w:shd w:val="clear" w:fill="FFFFFF"/>
        </w:rPr>
        <w:t>余条、滕州医保官方抖音</w:t>
      </w:r>
      <w:r>
        <w:rPr>
          <w:rFonts w:hint="eastAsia" w:ascii="仿宋_GB2312" w:hAnsi="sans-serif" w:eastAsia="仿宋_GB2312" w:cs="仿宋_GB2312"/>
          <w:i w:val="0"/>
          <w:iCs w:val="0"/>
          <w:caps w:val="0"/>
          <w:color w:val="auto"/>
          <w:spacing w:val="0"/>
          <w:sz w:val="32"/>
          <w:szCs w:val="32"/>
          <w:shd w:val="clear" w:fill="FFFFFF"/>
        </w:rPr>
        <w:t>号发布6条。</w:t>
      </w:r>
      <w:r>
        <w:rPr>
          <w:rFonts w:hint="eastAsia" w:ascii="仿宋_GB2312" w:hAnsi="sans-serif" w:eastAsia="仿宋_GB2312" w:cs="仿宋_GB2312"/>
          <w:i w:val="0"/>
          <w:iCs w:val="0"/>
          <w:caps w:val="0"/>
          <w:color w:val="00000A"/>
          <w:spacing w:val="0"/>
          <w:sz w:val="32"/>
          <w:szCs w:val="32"/>
          <w:shd w:val="clear" w:fill="FFFFFF"/>
        </w:rPr>
        <w:t>充分发挥“滕州医保”微信公众号对外宣传、工作展示、信息交流的作用，严格审核、规范管理微信公众号内容发布，切实提高公众获取信息的便捷度。</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sans-serif" w:eastAsia="仿宋_GB2312" w:cs="仿宋_GB2312"/>
          <w:i w:val="0"/>
          <w:iCs w:val="0"/>
          <w:caps w:val="0"/>
          <w:color w:val="00000A"/>
          <w:spacing w:val="0"/>
          <w:sz w:val="32"/>
          <w:szCs w:val="32"/>
          <w:highlight w:val="none"/>
        </w:rPr>
        <w:t>4.强化医保政策宣传。</w:t>
      </w:r>
      <w:r>
        <w:rPr>
          <w:rFonts w:hint="eastAsia" w:ascii="仿宋_GB2312" w:hAnsi="sans-serif" w:eastAsia="仿宋_GB2312" w:cs="仿宋_GB2312"/>
          <w:i w:val="0"/>
          <w:iCs w:val="0"/>
          <w:caps w:val="0"/>
          <w:color w:val="00000A"/>
          <w:spacing w:val="0"/>
          <w:kern w:val="0"/>
          <w:sz w:val="32"/>
          <w:szCs w:val="32"/>
          <w:highlight w:val="none"/>
          <w:shd w:val="clear" w:fill="FFFFFF"/>
          <w:lang w:val="en-US" w:eastAsia="zh-CN" w:bidi="ar"/>
        </w:rPr>
        <w:t>坚持全方位、大密度、广覆盖的宣传思路开展医保政策解读，进一步提高了群众对医保政策知晓率和医保工作的满意度。</w:t>
      </w:r>
      <w:r>
        <w:rPr>
          <w:rFonts w:hint="eastAsia" w:ascii="仿宋_GB2312" w:hAnsi="仿宋_GB2312" w:eastAsia="仿宋_GB2312" w:cs="仿宋_GB2312"/>
          <w:b w:val="0"/>
          <w:bCs w:val="0"/>
          <w:color w:val="auto"/>
          <w:sz w:val="32"/>
          <w:szCs w:val="32"/>
          <w:highlight w:val="none"/>
          <w:lang w:val="en-US" w:eastAsia="zh-CN"/>
        </w:rPr>
        <w:t>注重宣传“精准滴灌”，聚焦参保筹资、门诊共济、异地就医等群众关心关切问题，通过深入浅出、通俗易懂的方式进行多层次宣传；在服务大厅、定点医药机构设置政策宣传专栏、服务指南，印发宣传资料，让办事群众“进门即见”、伸手可取；</w:t>
      </w:r>
      <w:r>
        <w:rPr>
          <w:rFonts w:hint="eastAsia" w:ascii="仿宋_GB2312" w:hAnsi="仿宋_GB2312" w:eastAsia="仿宋_GB2312" w:cs="仿宋_GB2312"/>
          <w:color w:val="auto"/>
          <w:sz w:val="32"/>
          <w:szCs w:val="32"/>
          <w:highlight w:val="none"/>
          <w:u w:val="none"/>
          <w:lang w:val="en-US" w:eastAsia="zh-CN"/>
        </w:rPr>
        <w:t>深入开展“医保干部进基层”“医保政策进万家”活动，定期</w:t>
      </w:r>
      <w:r>
        <w:rPr>
          <w:rFonts w:hint="eastAsia" w:ascii="仿宋_GB2312" w:hAnsi="仿宋_GB2312" w:eastAsia="仿宋_GB2312" w:cs="仿宋_GB2312"/>
          <w:sz w:val="32"/>
          <w:szCs w:val="32"/>
          <w:highlight w:val="none"/>
        </w:rPr>
        <w:t>深入镇（街道）进行医保政策宣传</w:t>
      </w:r>
      <w:r>
        <w:rPr>
          <w:rFonts w:hint="eastAsia" w:ascii="仿宋_GB2312" w:hAnsi="仿宋_GB2312" w:eastAsia="仿宋_GB2312" w:cs="仿宋_GB2312"/>
          <w:sz w:val="32"/>
          <w:szCs w:val="32"/>
          <w:highlight w:val="none"/>
          <w:lang w:eastAsia="zh-CN"/>
        </w:rPr>
        <w:t>，加强政策解读水平，</w:t>
      </w:r>
      <w:r>
        <w:rPr>
          <w:rFonts w:hint="eastAsia" w:ascii="仿宋_GB2312" w:hAnsi="仿宋_GB2312" w:eastAsia="仿宋_GB2312" w:cs="仿宋_GB2312"/>
          <w:b w:val="0"/>
          <w:bCs w:val="0"/>
          <w:color w:val="auto"/>
          <w:sz w:val="32"/>
          <w:szCs w:val="32"/>
          <w:highlight w:val="none"/>
          <w:lang w:val="en-US" w:eastAsia="zh-CN"/>
        </w:rPr>
        <w:t>提升人民群众满意度。</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sans-serif" w:eastAsia="仿宋_GB2312" w:cs="仿宋_GB2312"/>
          <w:i w:val="0"/>
          <w:iCs w:val="0"/>
          <w:caps w:val="0"/>
          <w:color w:val="00000A"/>
          <w:spacing w:val="0"/>
          <w:sz w:val="32"/>
          <w:szCs w:val="32"/>
        </w:rPr>
      </w:pPr>
      <w:r>
        <w:rPr>
          <w:rFonts w:hint="eastAsia" w:ascii="仿宋_GB2312" w:hAnsi="sans-serif" w:eastAsia="仿宋_GB2312" w:cs="仿宋_GB2312"/>
          <w:i w:val="0"/>
          <w:iCs w:val="0"/>
          <w:caps w:val="0"/>
          <w:color w:val="00000A"/>
          <w:spacing w:val="0"/>
          <w:sz w:val="32"/>
          <w:szCs w:val="32"/>
        </w:rPr>
        <w:t>（五）本行政机关政府信息公开工作年度报告数据统计需要说明的事项；滕州市医保局没有针对报告数据统计需要说明的事项。</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sans-serif" w:eastAsia="仿宋_GB2312" w:cs="仿宋_GB2312"/>
          <w:i w:val="0"/>
          <w:iCs w:val="0"/>
          <w:caps w:val="0"/>
          <w:color w:val="00000A"/>
          <w:spacing w:val="0"/>
          <w:sz w:val="32"/>
          <w:szCs w:val="32"/>
        </w:rPr>
      </w:pPr>
      <w:r>
        <w:rPr>
          <w:rFonts w:hint="eastAsia" w:ascii="仿宋_GB2312" w:hAnsi="sans-serif" w:eastAsia="仿宋_GB2312" w:cs="仿宋_GB2312"/>
          <w:i w:val="0"/>
          <w:iCs w:val="0"/>
          <w:caps w:val="0"/>
          <w:color w:val="00000A"/>
          <w:spacing w:val="0"/>
          <w:sz w:val="32"/>
          <w:szCs w:val="32"/>
        </w:rPr>
        <w:t>（六）本行政机关认为需要报告的其他事项；滕州市医保局没有需要报告的其他事项。</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before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A"/>
          <w:spacing w:val="0"/>
          <w:sz w:val="32"/>
          <w:szCs w:val="32"/>
        </w:rPr>
        <w:t>（七）如对本报告有任何疑问，请与滕州市医疗保障局联系（地址：滕州市善国北路79号，电话：0632-55</w:t>
      </w:r>
      <w:r>
        <w:rPr>
          <w:rFonts w:hint="eastAsia" w:ascii="仿宋_GB2312" w:hAnsi="sans-serif" w:eastAsia="仿宋_GB2312" w:cs="仿宋_GB2312"/>
          <w:i w:val="0"/>
          <w:iCs w:val="0"/>
          <w:caps w:val="0"/>
          <w:color w:val="00000A"/>
          <w:spacing w:val="0"/>
          <w:sz w:val="32"/>
          <w:szCs w:val="32"/>
          <w:lang w:val="en-US" w:eastAsia="zh-CN"/>
        </w:rPr>
        <w:t>03280</w:t>
      </w:r>
      <w:r>
        <w:rPr>
          <w:rFonts w:hint="eastAsia" w:ascii="仿宋_GB2312" w:hAnsi="sans-serif" w:eastAsia="仿宋_GB2312" w:cs="仿宋_GB2312"/>
          <w:i w:val="0"/>
          <w:iCs w:val="0"/>
          <w:caps w:val="0"/>
          <w:color w:val="00000A"/>
          <w:spacing w:val="0"/>
          <w:sz w:val="32"/>
          <w:szCs w:val="32"/>
        </w:rPr>
        <w:t>；电子邮箱：</w:t>
      </w:r>
      <w:r>
        <w:rPr>
          <w:rFonts w:hint="eastAsia" w:ascii="仿宋_GB2312" w:hAnsi="sans-serif" w:eastAsia="仿宋_GB2312" w:cs="仿宋_GB2312"/>
          <w:i w:val="0"/>
          <w:iCs w:val="0"/>
          <w:caps w:val="0"/>
          <w:color w:val="auto"/>
          <w:spacing w:val="0"/>
          <w:sz w:val="32"/>
          <w:szCs w:val="32"/>
          <w:u w:val="none"/>
        </w:rPr>
        <w:fldChar w:fldCharType="begin"/>
      </w:r>
      <w:r>
        <w:rPr>
          <w:rFonts w:hint="eastAsia" w:ascii="仿宋_GB2312" w:hAnsi="sans-serif" w:eastAsia="仿宋_GB2312" w:cs="仿宋_GB2312"/>
          <w:i w:val="0"/>
          <w:iCs w:val="0"/>
          <w:caps w:val="0"/>
          <w:color w:val="auto"/>
          <w:spacing w:val="0"/>
          <w:sz w:val="32"/>
          <w:szCs w:val="32"/>
          <w:u w:val="none"/>
        </w:rPr>
        <w:instrText xml:space="preserve"> HYPERLINK "mailto:tzsybj@126.com）。" </w:instrText>
      </w:r>
      <w:r>
        <w:rPr>
          <w:rFonts w:hint="eastAsia" w:ascii="仿宋_GB2312" w:hAnsi="sans-serif" w:eastAsia="仿宋_GB2312" w:cs="仿宋_GB2312"/>
          <w:i w:val="0"/>
          <w:iCs w:val="0"/>
          <w:caps w:val="0"/>
          <w:color w:val="auto"/>
          <w:spacing w:val="0"/>
          <w:sz w:val="32"/>
          <w:szCs w:val="32"/>
          <w:u w:val="none"/>
        </w:rPr>
        <w:fldChar w:fldCharType="separate"/>
      </w:r>
      <w:r>
        <w:rPr>
          <w:rStyle w:val="6"/>
          <w:rFonts w:hint="eastAsia" w:ascii="仿宋_GB2312" w:hAnsi="sans-serif" w:eastAsia="仿宋_GB2312" w:cs="仿宋_GB2312"/>
          <w:i w:val="0"/>
          <w:iCs w:val="0"/>
          <w:caps w:val="0"/>
          <w:color w:val="auto"/>
          <w:spacing w:val="0"/>
          <w:sz w:val="32"/>
          <w:szCs w:val="32"/>
          <w:u w:val="none"/>
        </w:rPr>
        <w:t>tzsybj@126.com）。</w:t>
      </w:r>
      <w:r>
        <w:rPr>
          <w:rFonts w:hint="eastAsia" w:ascii="仿宋_GB2312" w:hAnsi="sans-serif" w:eastAsia="仿宋_GB2312" w:cs="仿宋_GB2312"/>
          <w:i w:val="0"/>
          <w:iCs w:val="0"/>
          <w:caps w:val="0"/>
          <w:color w:val="auto"/>
          <w:spacing w:val="0"/>
          <w:sz w:val="32"/>
          <w:szCs w:val="32"/>
          <w:u w:val="none"/>
        </w:rPr>
        <w:fldChar w:fldCharType="end"/>
      </w:r>
      <w:r>
        <w:rPr>
          <w:rFonts w:hint="eastAsia" w:ascii="仿宋_GB2312" w:hAnsi="sans-serif" w:eastAsia="仿宋_GB2312" w:cs="仿宋_GB2312"/>
          <w:i w:val="0"/>
          <w:iCs w:val="0"/>
          <w:caps w:val="0"/>
          <w:color w:val="00000A"/>
          <w:spacing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TIxOGE2OGMwZjM0N2E2Y2IwOGU4N2E0OTE0ODkifQ=="/>
  </w:docVars>
  <w:rsids>
    <w:rsidRoot w:val="1CC238CE"/>
    <w:rsid w:val="1CC238CE"/>
    <w:rsid w:val="3E115C35"/>
    <w:rsid w:val="5342378F"/>
    <w:rsid w:val="BEFFF7BA"/>
    <w:rsid w:val="EAFFA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2024-01-17T15:04:00Z</dcterms:created>
  <dc:creator>admin</dc:creator>
  <cp:lastModifiedBy>user</cp:lastModifiedBy>
  <dcterms:modified xsi:type="dcterms:W3CDTF">2024-02-07T09:47:08Z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C1DCC741FCFE4824BB54208F15BBAA95_13</vt:lpwstr>
  </property>
</Properties>
</file>