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t>滕州市姜屯镇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t>2023年度政府信息公开工作年度报告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根据《中华人民共和国政府信息公开条例》规定和省政府办公厅、枣庄市政府办公室、滕州市政府办公室《关于做好2023年政府信息公开工作年度报告编制发布工作的通知》要求和有关文件要求，结合姜屯镇人民政府2023年度信息公开工作实际，编制本报告。报告主要内容包括:主动公开政府信息情况、依申请公开政府信息情况、建议提案办理公开情况、政府信息管理情况、公开平台建设情况、监督保障情况、政府信息公开工作存在的主要问题及改进情况等。现向社会公开姜屯镇人民政府2023年政府信息公开工作年度报告。本报告所列数据的统计时限自2023年1月1日起至2023年12月31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shd w:val="clear" w:fill="FFFFFF"/>
        </w:rPr>
        <w:drawing>
          <wp:inline distT="0" distB="0" distL="114300" distR="114300">
            <wp:extent cx="3942080" cy="2666365"/>
            <wp:effectExtent l="0" t="0" r="5080" b="635"/>
            <wp:docPr id="1" name="图片 1" descr="微信图片_2024012211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2112713.jpg"/>
                    <pic:cNvPicPr>
                      <a:picLocks noChangeAspect="1"/>
                    </pic:cNvPicPr>
                  </pic:nvPicPr>
                  <pic:blipFill>
                    <a:blip r:embed="rId5"/>
                    <a:stretch>
                      <a:fillRect/>
                    </a:stretch>
                  </pic:blipFill>
                  <pic:spPr>
                    <a:xfrm>
                      <a:off x="0" y="0"/>
                      <a:ext cx="3942080" cy="266636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2023年以来，姜屯镇坚持以习近平新时代中国特色社会主义思想为指导，秉持“以人为本、服务群众”的工作思路，不断加强组织领导，明确责任分工，夯实工作基础，提升服务质量，优化政府信息公开及公民的依申请公开内容，提升政府工作透明度，保障公民知情权、监督权，另外，紧紧围绕上级关于全面深化政务公开的有关部署，准确把握新时代政务公开工作的职责定位和面临的新形势，细化分解任务，加大督导力度，坚持“以公开为常态、不公开为例外”原则，全面提升政务公开质量和实效，有效地保障了公民的知情权，努力打造法治政府、创新政府、廉洁政府和服务型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shd w:val="clear" w:fill="FFFFFF"/>
        </w:rPr>
        <w:drawing>
          <wp:inline distT="0" distB="0" distL="114300" distR="114300">
            <wp:extent cx="5349875" cy="4095750"/>
            <wp:effectExtent l="0" t="0" r="3175" b="0"/>
            <wp:docPr id="4" name="图片 2" descr="微信图片_2024012209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40122095126.jpg"/>
                    <pic:cNvPicPr>
                      <a:picLocks noChangeAspect="1"/>
                    </pic:cNvPicPr>
                  </pic:nvPicPr>
                  <pic:blipFill>
                    <a:blip r:embed="rId6"/>
                    <a:stretch>
                      <a:fillRect/>
                    </a:stretch>
                  </pic:blipFill>
                  <pic:spPr>
                    <a:xfrm>
                      <a:off x="0" y="0"/>
                      <a:ext cx="5349875" cy="4095750"/>
                    </a:xfrm>
                    <a:prstGeom prst="rect">
                      <a:avLst/>
                    </a:prstGeom>
                    <a:noFill/>
                    <a:ln w="9525">
                      <a:noFill/>
                    </a:ln>
                  </pic:spPr>
                </pic:pic>
              </a:graphicData>
            </a:graphic>
          </wp:inline>
        </w:drawing>
      </w:r>
    </w:p>
    <w:p>
      <w:pPr>
        <w:pStyle w:val="4"/>
        <w:keepNext w:val="0"/>
        <w:keepLines w:val="0"/>
        <w:widowControl/>
        <w:suppressLineNumbers w:val="0"/>
        <w:shd w:val="clear" w:fill="FFFFFF"/>
        <w:spacing w:line="315" w:lineRule="atLeast"/>
        <w:ind w:left="0" w:firstLine="0"/>
        <w:jc w:val="center"/>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（一）政府信息主动公开情况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bookmarkStart w:id="0" w:name="OLE_LINK1"/>
      <w:bookmarkEnd w:id="0"/>
      <w:r>
        <w:rPr>
          <w:rFonts w:hint="eastAsia" w:ascii="仿宋_GB2312" w:hAnsi="仿宋_GB2312" w:eastAsia="仿宋_GB2312" w:cs="仿宋_GB2312"/>
          <w:color w:val="000000"/>
          <w:sz w:val="32"/>
          <w:szCs w:val="32"/>
          <w:shd w:val="clear" w:color="auto" w:fill="FFFFFF"/>
          <w:lang w:bidi="ar-SA"/>
        </w:rPr>
        <w:t>姜屯镇通过滕州市</w:t>
      </w:r>
      <w:r>
        <w:rPr>
          <w:rFonts w:hint="eastAsia" w:ascii="仿宋_GB2312" w:hAnsi="仿宋_GB2312" w:eastAsia="仿宋_GB2312" w:cs="仿宋_GB2312"/>
          <w:color w:val="000000"/>
          <w:sz w:val="32"/>
          <w:szCs w:val="32"/>
          <w:shd w:val="clear" w:color="auto" w:fill="FFFFFF"/>
          <w:lang w:val="en-US" w:eastAsia="zh-CN" w:bidi="ar-SA"/>
        </w:rPr>
        <w:t>政府信息公开页面</w:t>
      </w:r>
      <w:r>
        <w:rPr>
          <w:rFonts w:hint="eastAsia" w:ascii="仿宋_GB2312" w:hAnsi="仿宋_GB2312" w:eastAsia="仿宋_GB2312" w:cs="仿宋_GB2312"/>
          <w:color w:val="000000"/>
          <w:sz w:val="32"/>
          <w:szCs w:val="32"/>
          <w:shd w:val="clear" w:color="auto" w:fill="FFFFFF"/>
          <w:lang w:bidi="ar-SA"/>
        </w:rPr>
        <w:t>、姜屯镇人民政府网站、微信</w:t>
      </w:r>
      <w:r>
        <w:rPr>
          <w:rFonts w:hint="eastAsia" w:ascii="仿宋_GB2312" w:hAnsi="仿宋_GB2312" w:eastAsia="仿宋_GB2312" w:cs="仿宋_GB2312"/>
          <w:color w:val="000000"/>
          <w:sz w:val="32"/>
          <w:szCs w:val="32"/>
          <w:shd w:val="clear" w:color="auto" w:fill="FFFFFF"/>
          <w:lang w:val="en-US" w:eastAsia="zh-CN" w:bidi="ar-SA"/>
        </w:rPr>
        <w:t>公众号</w:t>
      </w:r>
      <w:r>
        <w:rPr>
          <w:rFonts w:hint="eastAsia" w:ascii="仿宋_GB2312" w:hAnsi="仿宋_GB2312" w:eastAsia="仿宋_GB2312" w:cs="仿宋_GB2312"/>
          <w:color w:val="000000"/>
          <w:sz w:val="32"/>
          <w:szCs w:val="32"/>
          <w:shd w:val="clear" w:color="auto" w:fill="FFFFFF"/>
          <w:lang w:bidi="ar-SA"/>
        </w:rPr>
        <w:t>等多种途径，及时准确地公开政府信息，共累计更新发布政务信息1200余篇，姜屯镇人民政府网站1000余篇，通过微信公众平台发布信息1300余条。其中，通知公告29条，政策文件3条，规划计划1条，组织管理11条，公开基本目录2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shd w:val="clear" w:fill="FFFFFF"/>
        </w:rPr>
        <w:drawing>
          <wp:inline distT="0" distB="0" distL="114300" distR="114300">
            <wp:extent cx="4970145" cy="3288665"/>
            <wp:effectExtent l="0" t="0" r="1905" b="6985"/>
            <wp:docPr id="3" name="图片 3" descr="微信图片_20240122100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22100300.jpg"/>
                    <pic:cNvPicPr>
                      <a:picLocks noChangeAspect="1"/>
                    </pic:cNvPicPr>
                  </pic:nvPicPr>
                  <pic:blipFill>
                    <a:blip r:embed="rId7"/>
                    <a:stretch>
                      <a:fillRect/>
                    </a:stretch>
                  </pic:blipFill>
                  <pic:spPr>
                    <a:xfrm>
                      <a:off x="0" y="0"/>
                      <a:ext cx="4970145" cy="328866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一是突出重点领域信息公开。2023年，主动公开重点领域信息共21条。</w:t>
      </w:r>
    </w:p>
    <w:p>
      <w:pPr>
        <w:ind w:firstLine="640" w:firstLineChars="200"/>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kern w:val="0"/>
          <w:sz w:val="32"/>
          <w:szCs w:val="32"/>
          <w:shd w:val="clear" w:color="auto" w:fill="FFFFFF"/>
          <w:lang w:val="en-US" w:eastAsia="zh-CN" w:bidi="ar-SA"/>
        </w:rPr>
        <w:t>二是完善政务信息公开工作制度。为提高政务信息公开和社会服务信息化管理水平，让更多的群众方便了解政府政策，参与监督工作，制定完善了政府信息主动公开、依申请公开和保密审查等相关制度。审核严格把关，建立政务信息公开审查程序，公开的政务信息由分管领导严格把关，由党政办统一上报、审核，保证符合国家法律政策规定、公开内容真实。</w:t>
      </w:r>
      <w:bookmarkStart w:id="2" w:name="_GoBack"/>
      <w:bookmarkEnd w:id="2"/>
    </w:p>
    <w:p>
      <w:pPr>
        <w:pStyle w:val="4"/>
        <w:keepNext w:val="0"/>
        <w:keepLines w:val="0"/>
        <w:widowControl/>
        <w:suppressLineNumbers w:val="0"/>
        <w:shd w:val="clear" w:fill="FFFFFF"/>
        <w:spacing w:line="315" w:lineRule="atLeast"/>
        <w:ind w:left="0" w:firstLine="240" w:firstLineChars="100"/>
        <w:jc w:val="both"/>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shd w:val="clear" w:fill="FFFFFF"/>
        </w:rPr>
        <w:drawing>
          <wp:inline distT="0" distB="0" distL="114300" distR="114300">
            <wp:extent cx="6019800" cy="4981575"/>
            <wp:effectExtent l="0" t="0" r="0" b="9525"/>
            <wp:docPr id="2" name="图片 4" descr="微信图片_20240122111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微信图片_20240122111629.png"/>
                    <pic:cNvPicPr>
                      <a:picLocks noChangeAspect="1"/>
                    </pic:cNvPicPr>
                  </pic:nvPicPr>
                  <pic:blipFill>
                    <a:blip r:embed="rId8"/>
                    <a:stretch>
                      <a:fillRect/>
                    </a:stretch>
                  </pic:blipFill>
                  <pic:spPr>
                    <a:xfrm>
                      <a:off x="0" y="0"/>
                      <a:ext cx="6019800" cy="4981575"/>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(二)收到和处理政府信息公开申请情况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2023年以来，坚持“归口办理、依法有据、严谨规范、慎重稳妥”的原则，完善受理、审查、处理、答复以及保存备查等各环节流程,保证依申请公开流程科学、程序合法、答复规范，示范指引，真正提升效能、服务于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2023年，滕州市姜屯镇未收到和处理政府信息公开依申请事项。与往年相比数量持平。没有因政府信息公开产生的行政复议和行政诉讼。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(三)政府信息管理情况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2023年以来，姜屯镇坚持依规范管理政府信息公开情况，一方面严格落实公文公开属性源头认定机制，各部门报请镇政府发文的，须明确标识主动公开、依申请公开、不予公开属性，并同步报送政策解读稿件。另一方面明确信息公开时限要求，确保信息上传及时、避免出现空白栏目，扎实做好信息上传维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四)公开平台建设情况2023年，我镇对政务公开网站各栏目进行全面核查，确保信息上传及时、避免出现空白栏目，扎实做好信息上传维护工作。同时，以姜屯镇人民政府门户网站为第一平台，完善了镇政务信息公开栏，通过微信、今日头条等公众号及时收集社情民意，及时回答并解决公众关心的热点、难点、焦点问题，增强了公众对政府的信任度。在工作执行上,能够认真落实市政府信息公开领导小组及其办公室的各项部署，较好地完成了信息公开办交办的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五)监督保障情况为加强对政府信息公开工作的领导，成立了由镇长为组长，分管领导为副组长，宣传信息科科长为成员的领导小组，明确政务公开信息发布员，切实履行本镇政府信息公开的指导协调和督促检查职责。下设办公室，由镇宣传科负责推进、指导、协调、监督全镇政府信息公开工作，积极与上级对接，形成了上下联动、覆盖面广的信息公开网络体系，保证工作的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w:t>
      </w:r>
      <w:r>
        <w:rPr>
          <w:rFonts w:hint="eastAsia" w:ascii="仿宋_GB2312" w:hAnsi="仿宋_GB2312" w:eastAsia="仿宋_GB2312" w:cs="仿宋_GB2312"/>
          <w:color w:val="000000"/>
          <w:sz w:val="32"/>
          <w:szCs w:val="32"/>
          <w:shd w:val="clear" w:color="auto" w:fill="FFFFFF"/>
          <w:lang w:val="en-US" w:eastAsia="zh-CN" w:bidi="ar-SA"/>
        </w:rPr>
        <w:t>3</w:t>
      </w:r>
      <w:r>
        <w:rPr>
          <w:rFonts w:hint="eastAsia" w:ascii="仿宋_GB2312" w:hAnsi="仿宋_GB2312" w:eastAsia="仿宋_GB2312" w:cs="仿宋_GB2312"/>
          <w:color w:val="000000"/>
          <w:sz w:val="32"/>
          <w:szCs w:val="32"/>
          <w:shd w:val="clear" w:color="auto" w:fill="FFFFFF"/>
          <w:lang w:bidi="ar-SA"/>
        </w:rPr>
        <w:t>年，</w:t>
      </w:r>
      <w:r>
        <w:rPr>
          <w:rFonts w:hint="eastAsia" w:ascii="仿宋_GB2312" w:hAnsi="仿宋_GB2312" w:eastAsia="仿宋_GB2312" w:cs="仿宋_GB2312"/>
          <w:color w:val="000000"/>
          <w:sz w:val="32"/>
          <w:szCs w:val="32"/>
          <w:shd w:val="clear" w:color="auto" w:fill="FFFFFF"/>
          <w:lang w:val="en-US" w:eastAsia="zh-CN" w:bidi="ar-SA"/>
        </w:rPr>
        <w:t>本单位</w:t>
      </w:r>
      <w:r>
        <w:rPr>
          <w:rFonts w:hint="eastAsia" w:ascii="仿宋_GB2312" w:hAnsi="仿宋_GB2312" w:eastAsia="仿宋_GB2312" w:cs="仿宋_GB2312"/>
          <w:color w:val="000000"/>
          <w:sz w:val="32"/>
          <w:szCs w:val="32"/>
          <w:shd w:val="clear" w:color="auto" w:fill="FFFFFF"/>
          <w:lang w:bidi="ar-SA"/>
        </w:rPr>
        <w:t>未发生因信息公开审查不当或保密审查机构未履行保密审查职责而引起的失泄密情况。202</w:t>
      </w:r>
      <w:r>
        <w:rPr>
          <w:rFonts w:hint="eastAsia" w:ascii="仿宋_GB2312" w:hAnsi="仿宋_GB2312" w:eastAsia="仿宋_GB2312" w:cs="仿宋_GB2312"/>
          <w:color w:val="000000"/>
          <w:sz w:val="32"/>
          <w:szCs w:val="32"/>
          <w:shd w:val="clear" w:color="auto" w:fill="FFFFFF"/>
          <w:lang w:val="en-US" w:eastAsia="zh-CN" w:bidi="ar-SA"/>
        </w:rPr>
        <w:t>3</w:t>
      </w:r>
      <w:r>
        <w:rPr>
          <w:rFonts w:hint="eastAsia" w:ascii="仿宋_GB2312" w:hAnsi="仿宋_GB2312" w:eastAsia="仿宋_GB2312" w:cs="仿宋_GB2312"/>
          <w:color w:val="000000"/>
          <w:sz w:val="32"/>
          <w:szCs w:val="32"/>
          <w:shd w:val="clear" w:color="auto" w:fill="FFFFFF"/>
          <w:lang w:bidi="ar-SA"/>
        </w:rPr>
        <w:t>年度未进行社会评议，未发生责任追究情况。</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600" w:lineRule="exact"/>
        <w:ind w:right="0" w:rightChars="0" w:firstLine="640" w:firstLineChars="200"/>
        <w:jc w:val="both"/>
        <w:textAlignment w:val="auto"/>
        <w:rPr>
          <w:rStyle w:val="7"/>
          <w:rFonts w:hint="eastAsia" w:ascii="黑体" w:hAnsi="黑体" w:eastAsia="黑体" w:cs="黑体"/>
          <w:b w:val="0"/>
          <w:bCs/>
          <w:i w:val="0"/>
          <w:iCs w:val="0"/>
          <w:caps w:val="0"/>
          <w:color w:val="000000"/>
          <w:spacing w:val="0"/>
          <w:sz w:val="32"/>
          <w:szCs w:val="32"/>
          <w:shd w:val="clear" w:fill="FFFFFF"/>
        </w:rPr>
      </w:pPr>
      <w:r>
        <w:rPr>
          <w:rStyle w:val="7"/>
          <w:rFonts w:hint="eastAsia" w:ascii="黑体" w:hAnsi="黑体" w:eastAsia="黑体" w:cs="黑体"/>
          <w:b w:val="0"/>
          <w:bCs/>
          <w:i w:val="0"/>
          <w:iCs w:val="0"/>
          <w:caps w:val="0"/>
          <w:color w:val="000000"/>
          <w:spacing w:val="0"/>
          <w:sz w:val="32"/>
          <w:szCs w:val="32"/>
          <w:shd w:val="clear" w:fill="FFFFFF"/>
          <w:lang w:eastAsia="zh-CN"/>
        </w:rPr>
        <w:t>二、</w:t>
      </w:r>
      <w:r>
        <w:rPr>
          <w:rStyle w:val="7"/>
          <w:rFonts w:hint="eastAsia" w:ascii="黑体" w:hAnsi="黑体" w:eastAsia="黑体" w:cs="黑体"/>
          <w:b w:val="0"/>
          <w:bCs/>
          <w:i w:val="0"/>
          <w:iCs w:val="0"/>
          <w:caps w:val="0"/>
          <w:color w:val="000000"/>
          <w:spacing w:val="0"/>
          <w:sz w:val="32"/>
          <w:szCs w:val="32"/>
          <w:shd w:val="clear" w:fill="FFFFFF"/>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FF0000"/>
                <w:kern w:val="0"/>
                <w:szCs w:val="21"/>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Calibri" w:eastAsia="仿宋_GB2312" w:cs="Calibri"/>
                <w:color w:val="FF0000"/>
                <w:kern w:val="0"/>
                <w:szCs w:val="21"/>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FF0000"/>
                <w:kern w:val="0"/>
                <w:szCs w:val="21"/>
                <w:lang w:eastAsia="zh-CN"/>
              </w:rPr>
            </w:pPr>
            <w:r>
              <w:rPr>
                <w:rFonts w:hint="eastAsia" w:ascii="仿宋_GB2312" w:hAnsi="Times New Roman" w:eastAsia="仿宋_GB2312"/>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FF0000"/>
                <w:kern w:val="0"/>
                <w:szCs w:val="21"/>
                <w:lang w:eastAsia="zh-CN"/>
              </w:rPr>
            </w:pPr>
            <w:r>
              <w:rPr>
                <w:rFonts w:hint="eastAsia" w:ascii="仿宋_GB2312" w:hAnsi="Times New Roman" w:eastAsia="仿宋_GB2312"/>
                <w:szCs w:val="21"/>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both"/>
        <w:rPr>
          <w:rStyle w:val="7"/>
          <w:rFonts w:hint="eastAsia" w:ascii="黑体" w:hAnsi="黑体" w:eastAsia="黑体" w:cs="黑体"/>
          <w:b w:val="0"/>
          <w:bCs/>
          <w:i w:val="0"/>
          <w:iCs w:val="0"/>
          <w:caps w:val="0"/>
          <w:color w:val="000000"/>
          <w:spacing w:val="0"/>
          <w:sz w:val="32"/>
          <w:szCs w:val="32"/>
          <w:shd w:val="clear" w:fill="FFFFFF"/>
        </w:rPr>
      </w:pPr>
      <w:r>
        <w:rPr>
          <w:rStyle w:val="7"/>
          <w:rFonts w:hint="default" w:ascii="黑体" w:hAnsi="黑体" w:eastAsia="黑体" w:cs="黑体"/>
          <w:b w:val="0"/>
          <w:bCs/>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lang w:val="en-US" w:eastAsia="zh-CN"/>
        </w:rPr>
        <w:t xml:space="preserve">   </w:t>
      </w:r>
      <w:r>
        <w:rPr>
          <w:rStyle w:val="7"/>
          <w:rFonts w:hint="default" w:ascii="黑体" w:hAnsi="黑体" w:eastAsia="黑体" w:cs="黑体"/>
          <w:b w:val="0"/>
          <w:bCs/>
          <w:i w:val="0"/>
          <w:iCs w:val="0"/>
          <w:caps w:val="0"/>
          <w:color w:val="000000"/>
          <w:spacing w:val="0"/>
          <w:sz w:val="32"/>
          <w:szCs w:val="32"/>
          <w:shd w:val="clear" w:fill="FFFFFF"/>
        </w:rPr>
        <w:t>三、收到和处理政府信息公开申请情况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0"/>
        <w:gridCol w:w="1260"/>
        <w:gridCol w:w="2419"/>
        <w:gridCol w:w="605"/>
        <w:gridCol w:w="4"/>
        <w:gridCol w:w="471"/>
        <w:gridCol w:w="475"/>
        <w:gridCol w:w="588"/>
        <w:gridCol w:w="560"/>
        <w:gridCol w:w="467"/>
        <w:gridCol w:w="103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430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hint="default" w:ascii="Calibri" w:hAnsi="Calibri" w:cs="Calibri"/>
                <w:sz w:val="21"/>
                <w:szCs w:val="21"/>
              </w:rPr>
            </w:pPr>
            <w:r>
              <w:rPr>
                <w:rFonts w:hint="eastAsia" w:ascii="楷体_GB2312" w:hAnsi="黑体" w:eastAsia="楷体_GB2312"/>
                <w:kern w:val="0"/>
                <w:szCs w:val="21"/>
              </w:rPr>
              <w:t>等于第三项加第四项之和）</w:t>
            </w:r>
          </w:p>
        </w:tc>
        <w:tc>
          <w:tcPr>
            <w:tcW w:w="4207" w:type="dxa"/>
            <w:gridSpan w:val="8"/>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20" w:lineRule="exact"/>
              <w:jc w:val="center"/>
              <w:rPr>
                <w:rFonts w:hint="default" w:ascii="Calibri" w:hAnsi="Calibri" w:cs="Calibri"/>
                <w:sz w:val="21"/>
                <w:szCs w:val="21"/>
              </w:rPr>
            </w:pPr>
            <w:r>
              <w:rPr>
                <w:rFonts w:hint="eastAsia" w:ascii="黑体" w:hAnsi="黑体" w:eastAsia="黑体"/>
                <w:kern w:val="0"/>
                <w:szCs w:val="21"/>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30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6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default" w:ascii="Calibri" w:hAnsi="Calibri" w:cs="Calibri"/>
                <w:sz w:val="21"/>
                <w:szCs w:val="21"/>
              </w:rPr>
            </w:pPr>
            <w:r>
              <w:rPr>
                <w:rFonts w:hint="eastAsia" w:ascii="黑体" w:hAnsi="黑体" w:eastAsia="黑体"/>
                <w:kern w:val="0"/>
                <w:szCs w:val="21"/>
              </w:rPr>
              <w:t>自然人</w:t>
            </w:r>
          </w:p>
        </w:tc>
        <w:tc>
          <w:tcPr>
            <w:tcW w:w="2565"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20" w:lineRule="exact"/>
              <w:jc w:val="center"/>
              <w:rPr>
                <w:rFonts w:hint="default" w:ascii="Calibri" w:hAnsi="Calibri" w:cs="Calibri"/>
                <w:sz w:val="21"/>
                <w:szCs w:val="21"/>
              </w:rPr>
            </w:pPr>
            <w:r>
              <w:rPr>
                <w:rFonts w:hint="eastAsia" w:ascii="黑体" w:hAnsi="黑体" w:eastAsia="黑体"/>
                <w:kern w:val="0"/>
                <w:szCs w:val="21"/>
              </w:rPr>
              <w:t>法人或其他组织</w:t>
            </w:r>
          </w:p>
        </w:tc>
        <w:tc>
          <w:tcPr>
            <w:tcW w:w="103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center"/>
              <w:rPr>
                <w:rFonts w:hint="default" w:ascii="Calibri" w:hAnsi="Calibri" w:cs="Calibri"/>
                <w:sz w:val="21"/>
                <w:szCs w:val="21"/>
              </w:rPr>
            </w:pPr>
            <w:r>
              <w:rPr>
                <w:rFonts w:hint="eastAsia" w:ascii="黑体" w:hAnsi="黑体" w:eastAsia="黑体"/>
                <w:kern w:val="0"/>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430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6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20" w:lineRule="exact"/>
              <w:ind w:left="-106" w:leftChars="-51" w:right="-107" w:rightChars="-51" w:hanging="1" w:firstLineChars="0"/>
              <w:jc w:val="center"/>
              <w:rPr>
                <w:rFonts w:hint="default" w:ascii="Calibri" w:hAnsi="Calibri" w:cs="Calibri"/>
                <w:sz w:val="21"/>
                <w:szCs w:val="21"/>
              </w:rPr>
            </w:pPr>
            <w:r>
              <w:rPr>
                <w:rFonts w:hint="eastAsia" w:ascii="黑体" w:hAnsi="黑体" w:eastAsia="黑体"/>
                <w:kern w:val="0"/>
                <w:szCs w:val="21"/>
              </w:rPr>
              <w:t>商业企业</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20" w:lineRule="exact"/>
              <w:ind w:left="-107" w:leftChars="-51" w:right="-107" w:rightChars="-51"/>
              <w:jc w:val="center"/>
              <w:rPr>
                <w:rFonts w:hint="default" w:ascii="Calibri" w:hAnsi="Calibri" w:cs="Calibri"/>
                <w:sz w:val="21"/>
                <w:szCs w:val="21"/>
              </w:rPr>
            </w:pPr>
            <w:r>
              <w:rPr>
                <w:rFonts w:hint="eastAsia" w:ascii="黑体" w:hAnsi="黑体" w:eastAsia="黑体"/>
                <w:kern w:val="0"/>
                <w:szCs w:val="21"/>
              </w:rPr>
              <w:t>科研机构</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20" w:lineRule="exact"/>
              <w:ind w:left="-107" w:leftChars="-51" w:right="-107" w:rightChars="-51"/>
              <w:jc w:val="center"/>
              <w:rPr>
                <w:rFonts w:hint="default" w:ascii="Calibri" w:hAnsi="Calibri" w:cs="Calibri"/>
                <w:sz w:val="21"/>
                <w:szCs w:val="21"/>
              </w:rPr>
            </w:pPr>
            <w:r>
              <w:rPr>
                <w:rFonts w:hint="eastAsia" w:ascii="黑体" w:hAnsi="黑体" w:eastAsia="黑体"/>
                <w:kern w:val="0"/>
                <w:szCs w:val="21"/>
              </w:rPr>
              <w:t>社会公益组织</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20" w:lineRule="exact"/>
              <w:ind w:left="-106" w:leftChars="-51" w:right="-107" w:rightChars="-51" w:hanging="1" w:firstLineChars="0"/>
              <w:jc w:val="center"/>
              <w:rPr>
                <w:rFonts w:hint="default" w:ascii="Calibri" w:hAnsi="Calibri" w:cs="Calibri"/>
                <w:sz w:val="21"/>
                <w:szCs w:val="21"/>
              </w:rPr>
            </w:pPr>
            <w:r>
              <w:rPr>
                <w:rFonts w:hint="eastAsia" w:ascii="黑体" w:hAnsi="黑体" w:eastAsia="黑体"/>
                <w:kern w:val="0"/>
                <w:szCs w:val="21"/>
              </w:rPr>
              <w:t>法律服务机构</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60" w:lineRule="exact"/>
              <w:ind w:left="-63" w:leftChars="-30" w:right="-134" w:rightChars="-64"/>
              <w:jc w:val="center"/>
              <w:rPr>
                <w:rFonts w:hint="default" w:ascii="Calibri" w:hAnsi="Calibri" w:cs="Calibri"/>
                <w:sz w:val="21"/>
                <w:szCs w:val="21"/>
              </w:rPr>
            </w:pPr>
            <w:r>
              <w:rPr>
                <w:rFonts w:hint="eastAsia" w:ascii="黑体" w:hAnsi="黑体" w:eastAsia="黑体"/>
                <w:kern w:val="0"/>
                <w:szCs w:val="21"/>
              </w:rPr>
              <w:t>其他</w:t>
            </w:r>
          </w:p>
        </w:tc>
        <w:tc>
          <w:tcPr>
            <w:tcW w:w="103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430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hint="default" w:ascii="Calibri" w:hAnsi="Calibri" w:cs="Calibri"/>
                <w:sz w:val="21"/>
                <w:szCs w:val="21"/>
              </w:rPr>
            </w:pPr>
            <w:r>
              <w:rPr>
                <w:rFonts w:hint="eastAsia" w:ascii="黑体" w:hAnsi="黑体" w:eastAsia="黑体"/>
                <w:kern w:val="0"/>
                <w:szCs w:val="21"/>
              </w:rPr>
              <w:t>一、本年新收政府信息公开申请数量</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sz w:val="21"/>
                <w:szCs w:val="21"/>
                <w:lang w:val="en-US" w:eastAsia="zh-CN"/>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430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hint="default" w:ascii="Calibri" w:hAnsi="Calibri" w:cs="Calibri"/>
                <w:sz w:val="21"/>
                <w:szCs w:val="21"/>
              </w:rPr>
            </w:pPr>
            <w:r>
              <w:rPr>
                <w:rFonts w:hint="eastAsia" w:ascii="黑体" w:hAnsi="黑体" w:eastAsia="黑体"/>
                <w:kern w:val="0"/>
                <w:szCs w:val="21"/>
              </w:rPr>
              <w:t>二、上年结转政府信息公开申请数量</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after="180"/>
              <w:rPr>
                <w:rFonts w:hint="default" w:ascii="Calibri" w:hAnsi="Calibri" w:cs="Calibri"/>
                <w:sz w:val="21"/>
                <w:szCs w:val="21"/>
              </w:rPr>
            </w:pPr>
            <w:r>
              <w:rPr>
                <w:rFonts w:hint="eastAsia" w:ascii="黑体" w:hAnsi="黑体" w:eastAsia="黑体"/>
                <w:kern w:val="0"/>
                <w:szCs w:val="21"/>
              </w:rPr>
              <w:t>三、本年度办理结果</w:t>
            </w:r>
          </w:p>
        </w:tc>
        <w:tc>
          <w:tcPr>
            <w:tcW w:w="367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hint="default" w:ascii="Calibri" w:hAnsi="Calibri" w:cs="Calibri"/>
                <w:sz w:val="21"/>
                <w:szCs w:val="21"/>
              </w:rPr>
            </w:pPr>
            <w:r>
              <w:rPr>
                <w:rFonts w:hint="eastAsia" w:ascii="黑体" w:hAnsi="黑体" w:eastAsia="黑体"/>
                <w:kern w:val="0"/>
                <w:szCs w:val="21"/>
              </w:rPr>
              <w:t>（一）予以公开</w:t>
            </w:r>
          </w:p>
        </w:tc>
        <w:tc>
          <w:tcPr>
            <w:tcW w:w="6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67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rPr>
                <w:rFonts w:hint="default" w:ascii="Calibri" w:hAnsi="Calibri" w:cs="Calibri"/>
                <w:sz w:val="21"/>
                <w:szCs w:val="21"/>
              </w:rPr>
            </w:pPr>
            <w:r>
              <w:rPr>
                <w:rFonts w:hint="eastAsia" w:ascii="黑体" w:hAnsi="黑体" w:eastAsia="黑体"/>
                <w:kern w:val="0"/>
                <w:szCs w:val="21"/>
              </w:rPr>
              <w:t>（二）部分公开（区分处理的，只计这一情形，不计其他情形）</w:t>
            </w:r>
          </w:p>
        </w:tc>
        <w:tc>
          <w:tcPr>
            <w:tcW w:w="6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ind w:left="-107" w:leftChars="-51"/>
              <w:rPr>
                <w:rFonts w:hint="default" w:ascii="Calibri" w:hAnsi="Calibri" w:cs="Calibri"/>
                <w:sz w:val="21"/>
                <w:szCs w:val="21"/>
              </w:rPr>
            </w:pPr>
            <w:r>
              <w:rPr>
                <w:rFonts w:hint="eastAsia" w:ascii="黑体" w:hAnsi="黑体" w:eastAsia="黑体"/>
                <w:kern w:val="0"/>
                <w:szCs w:val="21"/>
              </w:rPr>
              <w:t>（三）不予公开</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1.属于国家秘密</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2.其他法律行政法规禁止公开</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3.危及“三安全一稳定”</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4.保护第三方合法权益</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5.属于三类内部事务信息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6.属于四类过程性信息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7.属于行政执法案卷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8.属于行政查询事项</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ind w:left="-107" w:leftChars="-51"/>
              <w:rPr>
                <w:rFonts w:hint="default" w:ascii="Calibri" w:hAnsi="Calibri" w:cs="Calibri"/>
                <w:sz w:val="21"/>
                <w:szCs w:val="21"/>
              </w:rPr>
            </w:pPr>
            <w:r>
              <w:rPr>
                <w:rFonts w:hint="eastAsia" w:ascii="黑体" w:hAnsi="黑体" w:eastAsia="黑体"/>
                <w:kern w:val="0"/>
                <w:szCs w:val="21"/>
              </w:rPr>
              <w:t>（四）无法提供</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1.本机关不掌握相关政府信息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ind w:left="-107" w:leftChars="-51"/>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2.没有现成信息需要另行制作</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ind w:left="-107" w:leftChars="-51"/>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3.补正后申请内容仍不明确</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ind w:left="-107" w:leftChars="-51"/>
              <w:rPr>
                <w:rFonts w:hint="default" w:ascii="Calibri" w:hAnsi="Calibri" w:cs="Calibri"/>
                <w:sz w:val="21"/>
                <w:szCs w:val="21"/>
              </w:rPr>
            </w:pPr>
            <w:r>
              <w:rPr>
                <w:rFonts w:hint="eastAsia" w:ascii="黑体" w:hAnsi="黑体" w:eastAsia="黑体"/>
                <w:kern w:val="0"/>
                <w:szCs w:val="21"/>
              </w:rPr>
              <w:t>（五）不予处理</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1.信访举报投诉类申请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2.重复申请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3.要求提供公开出版物</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200" w:lineRule="exact"/>
              <w:rPr>
                <w:rFonts w:hint="default" w:ascii="Calibri" w:hAnsi="Calibri" w:cs="Calibri"/>
                <w:sz w:val="21"/>
                <w:szCs w:val="21"/>
              </w:rPr>
            </w:pPr>
            <w:r>
              <w:rPr>
                <w:rFonts w:hint="eastAsia" w:ascii="仿宋_GB2312" w:hAnsi="黑体" w:eastAsia="仿宋_GB2312"/>
                <w:kern w:val="0"/>
                <w:szCs w:val="21"/>
              </w:rPr>
              <w:t>4.无正当理由大量反复申请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hint="default" w:ascii="Calibri" w:hAnsi="Calibri" w:cs="Calibri"/>
                <w:sz w:val="21"/>
                <w:szCs w:val="21"/>
              </w:rPr>
            </w:pPr>
            <w:r>
              <w:rPr>
                <w:rFonts w:hint="eastAsia" w:ascii="仿宋_GB2312" w:hAnsi="黑体" w:eastAsia="仿宋_GB2312"/>
                <w:kern w:val="0"/>
                <w:szCs w:val="21"/>
              </w:rPr>
              <w:t>出具已获取信息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exact"/>
              <w:rPr>
                <w:rFonts w:hint="default" w:ascii="Calibri" w:hAnsi="Calibri" w:cs="Calibri"/>
                <w:sz w:val="21"/>
                <w:szCs w:val="21"/>
              </w:rPr>
            </w:pPr>
            <w:r>
              <w:rPr>
                <w:rFonts w:hint="eastAsia" w:ascii="黑体" w:hAnsi="黑体" w:eastAsia="黑体"/>
                <w:kern w:val="0"/>
                <w:szCs w:val="21"/>
              </w:rPr>
              <w:t>（六）其他处理</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spacing w:line="300" w:lineRule="exact"/>
              <w:rPr>
                <w:rFonts w:hint="default" w:ascii="Calibri" w:hAnsi="Calibri" w:cs="Calibri"/>
                <w:sz w:val="21"/>
                <w:szCs w:val="21"/>
              </w:rPr>
            </w:pPr>
            <w:r>
              <w:rPr>
                <w:rFonts w:hint="eastAsia" w:ascii="仿宋_GB2312" w:hAnsi="楷体" w:eastAsia="仿宋_GB2312"/>
              </w:rPr>
              <w:t>1.申请人无正当理由逾期不补正、行政机关不再处理其政府信息公开申请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spacing w:line="300" w:lineRule="exact"/>
              <w:rPr>
                <w:rFonts w:hint="default" w:ascii="Calibri" w:hAnsi="Calibri" w:cs="Calibri"/>
                <w:sz w:val="21"/>
                <w:szCs w:val="21"/>
              </w:rPr>
            </w:pPr>
            <w:r>
              <w:rPr>
                <w:rFonts w:hint="eastAsia" w:ascii="仿宋_GB2312" w:hAnsi="楷体" w:eastAsia="仿宋_GB2312"/>
              </w:rPr>
              <w:t>2.申请人逾期未按收费通知要求缴纳费用、行政机关不再处理其政府信息公开申请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widowControl/>
              <w:spacing w:line="300" w:lineRule="exact"/>
              <w:rPr>
                <w:rFonts w:hint="default" w:ascii="Calibri" w:hAnsi="Calibri" w:cs="Calibri"/>
                <w:sz w:val="21"/>
                <w:szCs w:val="21"/>
              </w:rPr>
            </w:pPr>
            <w:r>
              <w:rPr>
                <w:rFonts w:hint="eastAsia" w:ascii="仿宋_GB2312" w:hAnsi="楷体" w:eastAsia="仿宋_GB2312"/>
              </w:rPr>
              <w:t>3.其他</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367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exact"/>
              <w:rPr>
                <w:rFonts w:hint="default" w:ascii="Calibri" w:hAnsi="Calibri" w:cs="Calibri"/>
                <w:sz w:val="21"/>
                <w:szCs w:val="21"/>
              </w:rPr>
            </w:pPr>
            <w:r>
              <w:rPr>
                <w:rFonts w:hint="eastAsia" w:ascii="黑体" w:hAnsi="黑体" w:eastAsia="黑体"/>
                <w:kern w:val="0"/>
                <w:szCs w:val="21"/>
              </w:rPr>
              <w:t>（七）总计</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30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00" w:lineRule="exact"/>
              <w:rPr>
                <w:rFonts w:hint="default" w:ascii="Calibri" w:hAnsi="Calibri" w:cs="Calibri"/>
                <w:sz w:val="21"/>
                <w:szCs w:val="21"/>
              </w:rPr>
            </w:pPr>
            <w:r>
              <w:rPr>
                <w:rFonts w:hint="eastAsia" w:ascii="黑体" w:hAnsi="黑体" w:eastAsia="黑体"/>
                <w:kern w:val="0"/>
                <w:szCs w:val="21"/>
              </w:rPr>
              <w:t>四、结转下年度继续办理</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both"/>
        <w:rPr>
          <w:rStyle w:val="7"/>
          <w:rFonts w:hint="eastAsia" w:ascii="黑体" w:hAnsi="黑体" w:eastAsia="黑体" w:cs="黑体"/>
          <w:b w:val="0"/>
          <w:bCs/>
          <w:i w:val="0"/>
          <w:iCs w:val="0"/>
          <w:caps w:val="0"/>
          <w:color w:val="000000"/>
          <w:spacing w:val="0"/>
          <w:sz w:val="32"/>
          <w:szCs w:val="32"/>
          <w:shd w:val="clear" w:fill="FFFFFF"/>
        </w:rPr>
      </w:pPr>
      <w:r>
        <w:rPr>
          <w:rFonts w:hint="eastAsia" w:ascii="微软雅黑" w:hAnsi="微软雅黑" w:eastAsia="微软雅黑" w:cs="微软雅黑"/>
          <w:i w:val="0"/>
          <w:iCs w:val="0"/>
          <w:caps w:val="0"/>
          <w:color w:val="000000"/>
          <w:spacing w:val="0"/>
          <w:sz w:val="24"/>
          <w:szCs w:val="24"/>
          <w:shd w:val="clear" w:fill="FFFFFF"/>
        </w:rPr>
        <w:t>  </w:t>
      </w:r>
      <w:r>
        <w:rPr>
          <w:rStyle w:val="7"/>
          <w:rFonts w:hint="eastAsia" w:ascii="黑体" w:hAnsi="黑体" w:eastAsia="黑体" w:cs="黑体"/>
          <w:b w:val="0"/>
          <w:bCs/>
          <w:i w:val="0"/>
          <w:iCs w:val="0"/>
          <w:caps w:val="0"/>
          <w:color w:val="000000"/>
          <w:spacing w:val="0"/>
          <w:sz w:val="32"/>
          <w:szCs w:val="32"/>
          <w:shd w:val="clear" w:fill="FFFFFF"/>
        </w:rPr>
        <w:t>  四、政府信息公开行政复议、行政诉讼情况</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4"/>
        <w:gridCol w:w="534"/>
        <w:gridCol w:w="535"/>
        <w:gridCol w:w="535"/>
        <w:gridCol w:w="585"/>
        <w:gridCol w:w="518"/>
        <w:gridCol w:w="569"/>
        <w:gridCol w:w="570"/>
        <w:gridCol w:w="570"/>
        <w:gridCol w:w="572"/>
        <w:gridCol w:w="569"/>
        <w:gridCol w:w="570"/>
        <w:gridCol w:w="570"/>
        <w:gridCol w:w="571"/>
        <w:gridCol w:w="65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3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jc w:val="center"/>
            </w:pPr>
            <w:r>
              <w:rPr>
                <w:rFonts w:ascii="黑体" w:hAnsi="黑体" w:eastAsia="黑体"/>
                <w:kern w:val="0"/>
                <w:sz w:val="20"/>
                <w:szCs w:val="20"/>
              </w:rPr>
              <w:t>行政复议</w:t>
            </w:r>
          </w:p>
        </w:tc>
        <w:tc>
          <w:tcPr>
            <w:tcW w:w="5790" w:type="dxa"/>
            <w:gridSpan w:val="10"/>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jc w:val="center"/>
            </w:pPr>
            <w:r>
              <w:rPr>
                <w:rFonts w:ascii="黑体" w:hAnsi="黑体" w:eastAsia="黑体"/>
                <w:kern w:val="0"/>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pPr>
            <w:r>
              <w:rPr>
                <w:rFonts w:ascii="黑体" w:hAnsi="黑体" w:eastAsia="黑体"/>
                <w:kern w:val="0"/>
                <w:sz w:val="20"/>
                <w:szCs w:val="20"/>
              </w:rPr>
              <w:t>维持</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43" w:leftChars="-21" w:right="-132" w:rightChars="-63" w:hanging="1" w:firstLineChars="0"/>
              <w:jc w:val="center"/>
            </w:pPr>
            <w:r>
              <w:rPr>
                <w:rFonts w:ascii="黑体" w:hAnsi="黑体" w:eastAsia="黑体"/>
                <w:kern w:val="0"/>
                <w:sz w:val="20"/>
                <w:szCs w:val="20"/>
              </w:rPr>
              <w:t>结果纠正</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82" w:leftChars="-39" w:right="-97" w:rightChars="-46"/>
              <w:jc w:val="center"/>
            </w:pPr>
            <w:r>
              <w:rPr>
                <w:rFonts w:ascii="黑体" w:hAnsi="黑体" w:eastAsia="黑体"/>
                <w:kern w:val="0"/>
                <w:sz w:val="20"/>
                <w:szCs w:val="20"/>
              </w:rPr>
              <w:t>其他结果</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pPr>
            <w:r>
              <w:rPr>
                <w:rFonts w:ascii="黑体" w:hAnsi="黑体" w:eastAsia="黑体"/>
                <w:kern w:val="0"/>
                <w:sz w:val="20"/>
                <w:szCs w:val="20"/>
              </w:rPr>
              <w:t>审结</w:t>
            </w:r>
          </w:p>
        </w:tc>
        <w:tc>
          <w:tcPr>
            <w:tcW w:w="58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pPr>
            <w:r>
              <w:rPr>
                <w:rFonts w:ascii="黑体" w:hAnsi="黑体" w:eastAsia="黑体"/>
                <w:kern w:val="0"/>
                <w:sz w:val="20"/>
                <w:szCs w:val="20"/>
              </w:rPr>
              <w:t>计</w:t>
            </w:r>
          </w:p>
        </w:tc>
        <w:tc>
          <w:tcPr>
            <w:tcW w:w="2826"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jc w:val="center"/>
            </w:pPr>
            <w:r>
              <w:rPr>
                <w:rFonts w:ascii="黑体" w:hAnsi="黑体" w:eastAsia="黑体"/>
                <w:kern w:val="0"/>
                <w:sz w:val="20"/>
                <w:szCs w:val="20"/>
              </w:rPr>
              <w:t>未经复议直接起诉</w:t>
            </w:r>
          </w:p>
        </w:tc>
        <w:tc>
          <w:tcPr>
            <w:tcW w:w="2881"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jc w:val="center"/>
            </w:pPr>
            <w:bookmarkStart w:id="1" w:name="_Hlk67039688"/>
            <w:bookmarkEnd w:id="1"/>
            <w:r>
              <w:rPr>
                <w:rFonts w:ascii="黑体" w:hAnsi="黑体" w:eastAsia="黑体"/>
                <w:kern w:val="0"/>
                <w:sz w:val="20"/>
                <w:szCs w:val="2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rPr>
                <w:rFonts w:hint="eastAsia" w:ascii="宋体"/>
                <w:sz w:val="24"/>
                <w:szCs w:val="24"/>
              </w:rPr>
            </w:pPr>
          </w:p>
        </w:tc>
        <w:tc>
          <w:tcPr>
            <w:tcW w:w="58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tc>
        <w:tc>
          <w:tcPr>
            <w:tcW w:w="52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05" w:leftChars="-50" w:right="-126" w:rightChars="-60"/>
              <w:jc w:val="center"/>
            </w:pPr>
            <w:r>
              <w:rPr>
                <w:rFonts w:ascii="黑体" w:hAnsi="黑体" w:eastAsia="黑体"/>
                <w:kern w:val="0"/>
                <w:sz w:val="20"/>
                <w:szCs w:val="20"/>
              </w:rPr>
              <w:t>结果维持</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86" w:leftChars="-41" w:right="-88" w:rightChars="-42"/>
              <w:jc w:val="center"/>
            </w:pPr>
            <w:r>
              <w:rPr>
                <w:rFonts w:ascii="黑体" w:hAnsi="黑体" w:eastAsia="黑体"/>
                <w:kern w:val="0"/>
                <w:sz w:val="20"/>
                <w:szCs w:val="20"/>
              </w:rPr>
              <w:t>结果纠正</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pPr>
            <w:r>
              <w:rPr>
                <w:rFonts w:ascii="黑体" w:hAnsi="黑体" w:eastAsia="黑体"/>
                <w:kern w:val="0"/>
                <w:sz w:val="20"/>
                <w:szCs w:val="20"/>
              </w:rPr>
              <w:t>结果</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pPr>
            <w:r>
              <w:rPr>
                <w:rFonts w:ascii="黑体" w:hAnsi="黑体" w:eastAsia="黑体"/>
                <w:kern w:val="0"/>
                <w:sz w:val="20"/>
                <w:szCs w:val="20"/>
              </w:rPr>
              <w:t>审结</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jc w:val="center"/>
            </w:pPr>
            <w:r>
              <w:rPr>
                <w:rFonts w:ascii="黑体" w:hAnsi="黑体" w:eastAsia="黑体"/>
                <w:kern w:val="0"/>
                <w:sz w:val="20"/>
                <w:szCs w:val="20"/>
              </w:rPr>
              <w:t>总计</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99" w:leftChars="-47" w:right="-78" w:rightChars="-37"/>
              <w:jc w:val="center"/>
            </w:pPr>
            <w:r>
              <w:rPr>
                <w:rFonts w:ascii="黑体" w:hAnsi="黑体" w:eastAsia="黑体"/>
                <w:kern w:val="0"/>
                <w:sz w:val="20"/>
                <w:szCs w:val="20"/>
              </w:rPr>
              <w:t>结果维持</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pPr>
            <w:r>
              <w:rPr>
                <w:rFonts w:ascii="黑体" w:hAnsi="黑体" w:eastAsia="黑体"/>
                <w:kern w:val="0"/>
                <w:sz w:val="20"/>
                <w:szCs w:val="20"/>
              </w:rPr>
              <w:t>纠正</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firstLineChars="0"/>
              <w:jc w:val="center"/>
            </w:pPr>
            <w:r>
              <w:rPr>
                <w:rFonts w:ascii="黑体" w:hAnsi="黑体" w:eastAsia="黑体"/>
                <w:kern w:val="0"/>
                <w:sz w:val="20"/>
                <w:szCs w:val="20"/>
              </w:rPr>
              <w:t>结果</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ind w:left="-67" w:leftChars="-33" w:right="-105" w:rightChars="-50" w:hanging="2" w:hangingChars="1"/>
              <w:jc w:val="center"/>
            </w:pPr>
            <w:r>
              <w:rPr>
                <w:rFonts w:ascii="黑体" w:hAnsi="黑体" w:eastAsia="黑体"/>
                <w:kern w:val="0"/>
                <w:sz w:val="20"/>
                <w:szCs w:val="20"/>
              </w:rPr>
              <w:t>尚未审结</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jc w:val="center"/>
            </w:pPr>
            <w:r>
              <w:rPr>
                <w:rFonts w:ascii="黑体" w:hAnsi="黑体" w:eastAsia="黑体"/>
                <w:kern w:val="0"/>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8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2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widowControl/>
              <w:spacing w:after="180"/>
              <w:jc w:val="center"/>
            </w:pPr>
            <w:r>
              <w:rPr>
                <w:rFonts w:hint="eastAsia" w:ascii="仿宋_GB2312" w:hAnsi="Times New Roman" w:eastAsia="仿宋_GB2312"/>
                <w:szCs w:val="21"/>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bidi="ar-SA"/>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针对政务公开工作中存在的公开意识有待提高、工作力量有待加强、监督形式被动</w:t>
      </w:r>
      <w:r>
        <w:rPr>
          <w:rFonts w:hint="eastAsia" w:ascii="仿宋_GB2312" w:hAnsi="仿宋_GB2312" w:eastAsia="仿宋_GB2312" w:cs="仿宋_GB2312"/>
          <w:color w:val="000000"/>
          <w:sz w:val="32"/>
          <w:szCs w:val="32"/>
          <w:shd w:val="clear" w:color="auto" w:fill="FFFFFF"/>
          <w:lang w:eastAsia="zh-CN" w:bidi="ar-SA"/>
        </w:rPr>
        <w:t>等</w:t>
      </w:r>
      <w:r>
        <w:rPr>
          <w:rFonts w:hint="eastAsia" w:ascii="仿宋_GB2312" w:hAnsi="仿宋_GB2312" w:eastAsia="仿宋_GB2312" w:cs="仿宋_GB2312"/>
          <w:color w:val="000000"/>
          <w:sz w:val="32"/>
          <w:szCs w:val="32"/>
          <w:shd w:val="clear" w:color="auto" w:fill="FFFFFF"/>
          <w:lang w:bidi="ar-SA"/>
        </w:rPr>
        <w:t xml:space="preserve">问题，下一步，我们将采取多种措施，力促政务公开工作再上新台阶。 </w:t>
      </w:r>
      <w:r>
        <w:rPr>
          <w:rFonts w:hint="eastAsia" w:ascii="仿宋_GB2312" w:hAnsi="仿宋_GB2312" w:eastAsia="仿宋_GB2312" w:cs="仿宋_GB2312"/>
          <w:color w:val="000000"/>
          <w:sz w:val="32"/>
          <w:szCs w:val="32"/>
          <w:shd w:val="clear" w:color="auto" w:fill="FFFFFF"/>
          <w:lang w:eastAsia="zh-CN" w:bidi="ar-SA"/>
        </w:rPr>
        <w:t>一是</w:t>
      </w:r>
      <w:r>
        <w:rPr>
          <w:rFonts w:hint="eastAsia" w:ascii="仿宋_GB2312" w:hAnsi="仿宋_GB2312" w:eastAsia="仿宋_GB2312" w:cs="仿宋_GB2312"/>
          <w:color w:val="000000"/>
          <w:sz w:val="32"/>
          <w:szCs w:val="32"/>
          <w:shd w:val="clear" w:color="auto" w:fill="FFFFFF"/>
          <w:lang w:bidi="ar-SA"/>
        </w:rPr>
        <w:t>持续加强队伍建设。定期组织开展政务公开业务培训和研讨交流，重点围绕政务公开测评反馈问题，剖析工作短板，梳理亟待改进的公开领域，明确重点任务，提高公开内容质量。</w:t>
      </w:r>
      <w:r>
        <w:rPr>
          <w:rFonts w:hint="eastAsia" w:ascii="仿宋_GB2312" w:hAnsi="仿宋_GB2312" w:eastAsia="仿宋_GB2312" w:cs="仿宋_GB2312"/>
          <w:color w:val="000000"/>
          <w:sz w:val="32"/>
          <w:szCs w:val="32"/>
          <w:shd w:val="clear" w:color="auto" w:fill="FFFFFF"/>
          <w:lang w:eastAsia="zh-CN" w:bidi="ar-SA"/>
        </w:rPr>
        <w:t>二是</w:t>
      </w:r>
      <w:r>
        <w:rPr>
          <w:rFonts w:hint="eastAsia" w:ascii="仿宋_GB2312" w:hAnsi="仿宋_GB2312" w:eastAsia="仿宋_GB2312" w:cs="仿宋_GB2312"/>
          <w:color w:val="000000"/>
          <w:sz w:val="32"/>
          <w:szCs w:val="32"/>
          <w:shd w:val="clear" w:color="auto" w:fill="FFFFFF"/>
          <w:lang w:bidi="ar-SA"/>
        </w:rPr>
        <w:t>强化部门沟通协作。强化与</w:t>
      </w:r>
      <w:r>
        <w:rPr>
          <w:rFonts w:hint="eastAsia" w:ascii="仿宋_GB2312" w:hAnsi="仿宋_GB2312" w:eastAsia="仿宋_GB2312" w:cs="仿宋_GB2312"/>
          <w:color w:val="000000"/>
          <w:sz w:val="32"/>
          <w:szCs w:val="32"/>
          <w:shd w:val="clear" w:color="auto" w:fill="FFFFFF"/>
          <w:lang w:eastAsia="zh-CN" w:bidi="ar-SA"/>
        </w:rPr>
        <w:t>相关</w:t>
      </w:r>
      <w:r>
        <w:rPr>
          <w:rFonts w:hint="eastAsia" w:ascii="仿宋_GB2312" w:hAnsi="仿宋_GB2312" w:eastAsia="仿宋_GB2312" w:cs="仿宋_GB2312"/>
          <w:color w:val="000000"/>
          <w:sz w:val="32"/>
          <w:szCs w:val="32"/>
          <w:shd w:val="clear" w:color="auto" w:fill="FFFFFF"/>
          <w:lang w:bidi="ar-SA"/>
        </w:rPr>
        <w:t>部门联动，增强信息发布时效性、准确性，以标准化规范化公开不断满足群众信息需求。</w:t>
      </w:r>
      <w:r>
        <w:rPr>
          <w:rFonts w:hint="eastAsia" w:ascii="仿宋_GB2312" w:hAnsi="仿宋_GB2312" w:eastAsia="仿宋_GB2312" w:cs="仿宋_GB2312"/>
          <w:color w:val="000000"/>
          <w:sz w:val="32"/>
          <w:szCs w:val="32"/>
          <w:shd w:val="clear" w:color="auto" w:fill="FFFFFF"/>
          <w:lang w:eastAsia="zh-CN" w:bidi="ar-SA"/>
        </w:rPr>
        <w:t>三是</w:t>
      </w:r>
      <w:r>
        <w:rPr>
          <w:rFonts w:hint="eastAsia" w:ascii="仿宋_GB2312" w:hAnsi="仿宋_GB2312" w:eastAsia="仿宋_GB2312" w:cs="仿宋_GB2312"/>
          <w:color w:val="000000"/>
          <w:sz w:val="32"/>
          <w:szCs w:val="32"/>
          <w:shd w:val="clear" w:color="auto" w:fill="FFFFFF"/>
          <w:lang w:bidi="ar-SA"/>
        </w:rPr>
        <w:t>健全监督考核机制。完善常态化检查考核机制，实施动态管理，发布日常监测整改通报，以监督促公开，以公开促落实。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bidi="ar-SA"/>
        </w:rPr>
        <w:t>1.收取信息处理费情况方面。2023年度，姜屯镇未收取信息公开处理费</w:t>
      </w:r>
      <w:r>
        <w:rPr>
          <w:rFonts w:hint="eastAsia" w:ascii="仿宋_GB2312" w:hAnsi="仿宋_GB2312" w:eastAsia="仿宋_GB2312" w:cs="仿宋_GB2312"/>
          <w:color w:val="000000"/>
          <w:sz w:val="32"/>
          <w:szCs w:val="32"/>
          <w:shd w:val="clear" w:color="auto" w:fill="FFFFFF"/>
          <w:lang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2.落实上级年度政务公开工作要点情况。</w:t>
      </w:r>
      <w:r>
        <w:rPr>
          <w:rFonts w:hint="eastAsia" w:ascii="仿宋_GB2312" w:hAnsi="仿宋_GB2312" w:eastAsia="仿宋_GB2312" w:cs="仿宋_GB2312"/>
          <w:color w:val="000000"/>
          <w:sz w:val="32"/>
          <w:szCs w:val="32"/>
          <w:shd w:val="clear" w:color="auto" w:fill="FFFFFF"/>
          <w:lang w:eastAsia="zh-CN" w:bidi="ar-SA"/>
        </w:rPr>
        <w:t>按照</w:t>
      </w:r>
      <w:r>
        <w:rPr>
          <w:rFonts w:hint="eastAsia" w:ascii="仿宋_GB2312" w:hAnsi="仿宋_GB2312" w:eastAsia="仿宋_GB2312" w:cs="仿宋_GB2312"/>
          <w:color w:val="000000"/>
          <w:sz w:val="32"/>
          <w:szCs w:val="32"/>
          <w:shd w:val="clear" w:color="auto" w:fill="FFFFFF"/>
          <w:lang w:bidi="ar-SA"/>
        </w:rPr>
        <w:t>《滕州市2023年政务公开工作要点》，围绕重点领域信息公开、政策发布解读与回应、政民互动、基层政务公开标准化规范化建设和工作保障和落实逐项明确责任主体和完成时限。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3.人大代表建议和政协提案办理情况方面。2023年，姜屯镇未承办人大</w:t>
      </w:r>
      <w:r>
        <w:rPr>
          <w:rFonts w:hint="eastAsia" w:ascii="仿宋_GB2312" w:hAnsi="仿宋_GB2312" w:eastAsia="仿宋_GB2312" w:cs="仿宋_GB2312"/>
          <w:color w:val="000000"/>
          <w:sz w:val="32"/>
          <w:szCs w:val="32"/>
          <w:shd w:val="clear" w:color="auto" w:fill="FFFFFF"/>
          <w:lang w:eastAsia="zh-CN" w:bidi="ar-SA"/>
        </w:rPr>
        <w:t>代表</w:t>
      </w:r>
      <w:r>
        <w:rPr>
          <w:rFonts w:hint="eastAsia" w:ascii="仿宋_GB2312" w:hAnsi="仿宋_GB2312" w:eastAsia="仿宋_GB2312" w:cs="仿宋_GB2312"/>
          <w:color w:val="000000"/>
          <w:sz w:val="32"/>
          <w:szCs w:val="32"/>
          <w:shd w:val="clear" w:color="auto" w:fill="FFFFFF"/>
          <w:lang w:val="en-US" w:eastAsia="zh-CN" w:bidi="ar-SA"/>
        </w:rPr>
        <w:t>建议</w:t>
      </w:r>
      <w:r>
        <w:rPr>
          <w:rFonts w:hint="eastAsia" w:ascii="仿宋_GB2312" w:hAnsi="仿宋_GB2312" w:eastAsia="仿宋_GB2312" w:cs="仿宋_GB2312"/>
          <w:color w:val="000000"/>
          <w:sz w:val="32"/>
          <w:szCs w:val="32"/>
          <w:shd w:val="clear" w:color="auto" w:fill="FFFFFF"/>
          <w:lang w:bidi="ar-SA"/>
        </w:rPr>
        <w:t>和政协提案。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3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ascii="仿宋_GB2312" w:hAnsi="宋体" w:eastAsia="仿宋_GB2312" w:cs="仿宋_GB2312"/>
          <w:i w:val="0"/>
          <w:iCs w:val="0"/>
          <w:caps w:val="0"/>
          <w:color w:val="000000"/>
          <w:spacing w:val="0"/>
          <w:sz w:val="31"/>
          <w:szCs w:val="31"/>
          <w:shd w:val="clear" w:fill="FFFFFF"/>
        </w:rPr>
        <w:t>4.</w:t>
      </w:r>
      <w:r>
        <w:rPr>
          <w:rFonts w:hint="eastAsia" w:ascii="仿宋_GB2312" w:hAnsi="宋体" w:eastAsia="仿宋_GB2312" w:cs="仿宋_GB2312"/>
          <w:i w:val="0"/>
          <w:iCs w:val="0"/>
          <w:caps w:val="0"/>
          <w:color w:val="000000"/>
          <w:spacing w:val="0"/>
          <w:sz w:val="31"/>
          <w:szCs w:val="31"/>
          <w:shd w:val="clear" w:fill="FFFFFF"/>
        </w:rPr>
        <w:t>开展政务公开创新方面。建设高标准数字乡村系统应用平台，涵盖互联网+政务服务、智慧党建、数字政府、智慧民生、数字法治、智慧交通新场景，目前已覆盖62个村级平台，让数据充分流动，消除信息壁垒，搭建民情沟通、政策宣传、便民服务等应用场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bidi="ar-SA"/>
        </w:rPr>
        <w:t>5.本单位政府信息公开工作年度报告数据统计需要说明的事项:无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bidi="ar-SA"/>
        </w:rPr>
        <w:t>6.其他有关文件专门要求通过政府信息公开工作年度报告予以报告的事项:无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7.本报告的电子版可在“中国滕州网”(http://www.tengzhou.gov.cn/)网站查询和下载。如对本报告有任何疑问，请与姜屯镇政务信息公开办公室联系。(地址:山东省滕州市姜屯镇政府，联系电话:0632—5011168)</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TgwMjgyODkyMjY1MDkxNzE3ZWI0MGM3Y2VlZmQifQ=="/>
  </w:docVars>
  <w:rsids>
    <w:rsidRoot w:val="68255494"/>
    <w:rsid w:val="4F4F32AA"/>
    <w:rsid w:val="50A226CF"/>
    <w:rsid w:val="65886E23"/>
    <w:rsid w:val="68255494"/>
    <w:rsid w:val="6E88353E"/>
    <w:rsid w:val="79EC3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2024-01-22T07:07:00Z</dcterms:created>
  <dc:creator>菇凉与过儿</dc:creator>
  <cp:lastModifiedBy>菇凉与过儿</cp:lastModifiedBy>
  <dcterms:modified xsi:type="dcterms:W3CDTF">2024-01-31T07:38:51Z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7512E9AE470E4CE4AA87DC773D448813_13</vt:lpwstr>
  </property>
</Properties>
</file>