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bookmarkStart w:id="0" w:name="_GoBack"/>
      <w:r>
        <w:rPr>
          <w:rFonts w:hint="eastAsia" w:ascii="黑体" w:hAnsi="黑体" w:eastAsia="黑体" w:cs="黑体"/>
          <w:b/>
          <w:bCs/>
          <w:sz w:val="36"/>
          <w:szCs w:val="36"/>
        </w:rPr>
        <w:t>滕州市官桥镇</w:t>
      </w:r>
    </w:p>
    <w:p>
      <w:pPr>
        <w:jc w:val="center"/>
        <w:rPr>
          <w:rFonts w:hint="eastAsia" w:ascii="黑体" w:hAnsi="黑体" w:eastAsia="黑体" w:cs="黑体"/>
          <w:b/>
          <w:bCs/>
          <w:sz w:val="36"/>
          <w:szCs w:val="36"/>
        </w:rPr>
      </w:pPr>
      <w:r>
        <w:rPr>
          <w:rFonts w:hint="eastAsia" w:ascii="黑体" w:hAnsi="黑体" w:eastAsia="黑体" w:cs="黑体"/>
          <w:b/>
          <w:bCs/>
          <w:sz w:val="36"/>
          <w:szCs w:val="36"/>
        </w:rPr>
        <w:t>2023年度政府信息公开工作年度报告</w:t>
      </w:r>
    </w:p>
    <w:bookmarkEnd w:id="0"/>
    <w:p>
      <w:pPr>
        <w:ind w:firstLine="560" w:firstLineChars="200"/>
        <w:rPr>
          <w:rFonts w:hint="eastAsia" w:ascii="仿宋" w:hAnsi="仿宋" w:eastAsia="仿宋" w:cs="仿宋"/>
          <w:sz w:val="28"/>
          <w:szCs w:val="28"/>
        </w:rPr>
      </w:pPr>
      <w:r>
        <w:rPr>
          <w:rFonts w:hint="eastAsia" w:ascii="仿宋" w:hAnsi="仿宋" w:eastAsia="仿宋" w:cs="仿宋"/>
          <w:sz w:val="28"/>
          <w:szCs w:val="28"/>
        </w:rPr>
        <w:t>根据《中华人民共和国政府信息公开条例》第五十条规定和《国务院办公厅政府信息与政务公开办公室关于政府信息公开年度报告有关事项的通知》规定，按照省政府办公厅和枣庄政府办公室、滕州市政府办公室要求，特编制官桥镇2023年政府信息公开工作年度报告并向社会公布。年度报告中所列数据的统计期限自2023年1月1日起至2023年12月31日止。</w:t>
      </w:r>
    </w:p>
    <w:p>
      <w:pPr>
        <w:rPr>
          <w:rFonts w:hint="default"/>
        </w:rPr>
      </w:pPr>
      <w:r>
        <w:rPr>
          <w:rFonts w:hint="default"/>
        </w:rPr>
        <w:drawing>
          <wp:inline distT="0" distB="0" distL="114300" distR="114300">
            <wp:extent cx="6096000" cy="3886200"/>
            <wp:effectExtent l="0" t="0" r="0" b="0"/>
            <wp:docPr id="1" name="图片 1" descr="360截图2024012509191895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240125091918950_副本.jpg"/>
                    <pic:cNvPicPr>
                      <a:picLocks noChangeAspect="1"/>
                    </pic:cNvPicPr>
                  </pic:nvPicPr>
                  <pic:blipFill>
                    <a:blip r:embed="rId4"/>
                    <a:stretch>
                      <a:fillRect/>
                    </a:stretch>
                  </pic:blipFill>
                  <pic:spPr>
                    <a:xfrm>
                      <a:off x="0" y="0"/>
                      <a:ext cx="6096000" cy="3886200"/>
                    </a:xfrm>
                    <a:prstGeom prst="rect">
                      <a:avLst/>
                    </a:prstGeom>
                    <a:noFill/>
                    <a:ln w="9525">
                      <a:noFill/>
                    </a:ln>
                  </pic:spPr>
                </pic:pic>
              </a:graphicData>
            </a:graphic>
          </wp:inline>
        </w:drawing>
      </w:r>
    </w:p>
    <w:p>
      <w:pPr>
        <w:rPr>
          <w:rFonts w:hint="eastAsia" w:ascii="仿宋" w:hAnsi="仿宋" w:eastAsia="仿宋" w:cs="仿宋"/>
          <w:b/>
          <w:bCs/>
          <w:sz w:val="28"/>
          <w:szCs w:val="28"/>
        </w:rPr>
      </w:pPr>
      <w:r>
        <w:rPr>
          <w:rFonts w:hint="eastAsia" w:ascii="仿宋" w:hAnsi="仿宋" w:eastAsia="仿宋" w:cs="仿宋"/>
          <w:b/>
          <w:bCs/>
          <w:sz w:val="28"/>
          <w:szCs w:val="28"/>
        </w:rPr>
        <w:t>一、总体情况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2023年以来，官桥镇高度重视政府信息公开工作，认真贯彻落实中央、省、市政府信息公开工作会议精神，准确把握新时代政务公开工作的职责定位和面临的新形势。一是搭建平台、惠民服务“零距离”。加强组织领导，明确责任分工，以信息化、新媒体手段为载体，为党建宣传、服务惠民、综合治理、等方面提供更加舒适、便捷的应用场景，全面深入推进政府信息公开工作。二是数据归集、共建共享“一条线”。坚持“以公开为常态、不公开为例外”原则，强化信息公开组织机构建设，借助平台数据归集与共享能力，基本实现各个平台的共建共享、智慧应用。三是结果运用、提升质效“一盘棋”。保障群众的知情权、参与权和监督权，围绕“工业强镇、物流重镇、文旅靓镇、幸福美镇”建设，努力打造法治政府、创新政府、数字政府、廉洁政府和服务型政府。</w:t>
      </w:r>
    </w:p>
    <w:p>
      <w:pPr>
        <w:rPr>
          <w:rFonts w:hint="eastAsia" w:ascii="仿宋" w:hAnsi="仿宋" w:eastAsia="仿宋" w:cs="仿宋"/>
          <w:sz w:val="28"/>
          <w:szCs w:val="28"/>
        </w:rPr>
      </w:pPr>
      <w:r>
        <w:rPr>
          <w:rFonts w:hint="eastAsia" w:ascii="仿宋" w:hAnsi="仿宋" w:eastAsia="仿宋" w:cs="仿宋"/>
          <w:b/>
          <w:bCs/>
          <w:sz w:val="28"/>
          <w:szCs w:val="28"/>
        </w:rPr>
        <w:t>（一）主动公开政府信息情况</w:t>
      </w:r>
    </w:p>
    <w:p>
      <w:pPr>
        <w:rPr>
          <w:rFonts w:hint="default"/>
        </w:rPr>
      </w:pPr>
      <w:r>
        <w:rPr>
          <w:rFonts w:hint="eastAsia" w:ascii="仿宋" w:hAnsi="仿宋" w:eastAsia="仿宋" w:cs="仿宋"/>
          <w:sz w:val="28"/>
          <w:szCs w:val="28"/>
        </w:rPr>
        <w:t>作为政府信息公开的第一载体，“官桥镇人民政府门户网站”通过及时发布工作动态，并将可对外公开的公告通知、政策文件、工作动态等上网公布，增强了公众对政府的了解。2023年，官桥镇通过滕州市政务公开网、官桥镇人民政府网站、微信等多种途径，及时准确地公开政府信息，累计更新发布政务信息2254余条。其中主动公开重点领域信息28余条，官桥镇人民政府网站1060余条，通过微信公众平台发布信息1080余条，微博发布86余条。</w:t>
      </w:r>
    </w:p>
    <w:p>
      <w:pPr>
        <w:rPr>
          <w:rFonts w:hint="default"/>
        </w:rPr>
      </w:pPr>
      <w:r>
        <w:rPr>
          <w:rFonts w:hint="default"/>
        </w:rPr>
        <w:drawing>
          <wp:inline distT="0" distB="0" distL="114300" distR="114300">
            <wp:extent cx="6572250" cy="4029075"/>
            <wp:effectExtent l="0" t="0" r="0" b="9525"/>
            <wp:docPr id="2" name="图片 2" descr="微信图片_20231208161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208161336.png"/>
                    <pic:cNvPicPr>
                      <a:picLocks noChangeAspect="1"/>
                    </pic:cNvPicPr>
                  </pic:nvPicPr>
                  <pic:blipFill>
                    <a:blip r:embed="rId5"/>
                    <a:stretch>
                      <a:fillRect/>
                    </a:stretch>
                  </pic:blipFill>
                  <pic:spPr>
                    <a:xfrm>
                      <a:off x="0" y="0"/>
                      <a:ext cx="6572250" cy="4029075"/>
                    </a:xfrm>
                    <a:prstGeom prst="rect">
                      <a:avLst/>
                    </a:prstGeom>
                    <a:noFill/>
                    <a:ln w="9525">
                      <a:noFill/>
                    </a:ln>
                  </pic:spPr>
                </pic:pic>
              </a:graphicData>
            </a:graphic>
          </wp:inline>
        </w:drawing>
      </w:r>
    </w:p>
    <w:p>
      <w:pPr>
        <w:rPr>
          <w:rFonts w:hint="eastAsia" w:ascii="仿宋" w:hAnsi="仿宋" w:eastAsia="仿宋" w:cs="仿宋"/>
          <w:b/>
          <w:bCs/>
          <w:sz w:val="28"/>
          <w:szCs w:val="28"/>
        </w:rPr>
      </w:pPr>
      <w:r>
        <w:rPr>
          <w:rFonts w:hint="eastAsia" w:ascii="仿宋" w:hAnsi="仿宋" w:eastAsia="仿宋" w:cs="仿宋"/>
          <w:b/>
          <w:bCs/>
          <w:sz w:val="28"/>
          <w:szCs w:val="28"/>
        </w:rPr>
        <w:t>（二）依申请公开政府信息情况</w:t>
      </w:r>
    </w:p>
    <w:p>
      <w:pPr>
        <w:rPr>
          <w:rFonts w:hint="eastAsia" w:ascii="仿宋" w:hAnsi="仿宋" w:eastAsia="仿宋" w:cs="仿宋"/>
          <w:sz w:val="28"/>
          <w:szCs w:val="28"/>
        </w:rPr>
      </w:pPr>
      <w:r>
        <w:rPr>
          <w:rFonts w:hint="eastAsia" w:ascii="仿宋" w:hAnsi="仿宋" w:eastAsia="仿宋" w:cs="仿宋"/>
          <w:sz w:val="28"/>
          <w:szCs w:val="28"/>
        </w:rPr>
        <w:t>坚持“归口办理、依法有据、严谨规范、慎重稳妥”的原则，完善受理、审查、处理、答复以及保存备查等各环节流程，保证政府信息依申请公开渠道畅通、流程科学，依法保障公民、法人和其他组织获取政府信息的权利，真正提升效能、服务于民。</w:t>
      </w:r>
    </w:p>
    <w:p>
      <w:pPr>
        <w:rPr>
          <w:rFonts w:hint="eastAsia" w:ascii="仿宋" w:hAnsi="仿宋" w:eastAsia="仿宋" w:cs="仿宋"/>
          <w:sz w:val="28"/>
          <w:szCs w:val="28"/>
        </w:rPr>
      </w:pPr>
      <w:r>
        <w:rPr>
          <w:rFonts w:hint="eastAsia" w:ascii="仿宋" w:hAnsi="仿宋" w:eastAsia="仿宋" w:cs="仿宋"/>
          <w:sz w:val="28"/>
          <w:szCs w:val="28"/>
        </w:rPr>
        <w:t>1、公开概况。2023年，官桥镇共受理1件政府信息公开申请，结转上年政府信息公开申请0件，均为自然人提交。</w:t>
      </w:r>
    </w:p>
    <w:p>
      <w:pPr>
        <w:rPr>
          <w:rFonts w:hint="eastAsia" w:ascii="仿宋" w:hAnsi="仿宋" w:eastAsia="仿宋" w:cs="仿宋"/>
          <w:sz w:val="28"/>
          <w:szCs w:val="28"/>
        </w:rPr>
      </w:pPr>
      <w:r>
        <w:rPr>
          <w:rFonts w:hint="eastAsia" w:ascii="仿宋" w:hAnsi="仿宋" w:eastAsia="仿宋" w:cs="仿宋"/>
          <w:sz w:val="28"/>
          <w:szCs w:val="28"/>
        </w:rPr>
        <w:t>2、处理情况。共答复政府信息公开申请1件，按时办结1件，按时办结率100%,比去年增加1件。</w:t>
      </w:r>
    </w:p>
    <w:p>
      <w:pPr>
        <w:rPr>
          <w:rFonts w:hint="eastAsia" w:ascii="仿宋" w:hAnsi="仿宋" w:eastAsia="仿宋" w:cs="仿宋"/>
          <w:b/>
          <w:bCs/>
          <w:sz w:val="28"/>
          <w:szCs w:val="28"/>
        </w:rPr>
      </w:pPr>
      <w:r>
        <w:rPr>
          <w:rFonts w:hint="eastAsia" w:ascii="仿宋" w:hAnsi="仿宋" w:eastAsia="仿宋" w:cs="仿宋"/>
          <w:b/>
          <w:bCs/>
          <w:sz w:val="28"/>
          <w:szCs w:val="28"/>
        </w:rPr>
        <w:t>（三）政府信息管理情况</w:t>
      </w:r>
    </w:p>
    <w:p>
      <w:pPr>
        <w:rPr>
          <w:rFonts w:hint="eastAsia" w:ascii="仿宋" w:hAnsi="仿宋" w:eastAsia="仿宋" w:cs="仿宋"/>
          <w:sz w:val="28"/>
          <w:szCs w:val="28"/>
        </w:rPr>
      </w:pPr>
      <w:r>
        <w:rPr>
          <w:rFonts w:hint="eastAsia" w:ascii="仿宋" w:hAnsi="仿宋" w:eastAsia="仿宋" w:cs="仿宋"/>
          <w:sz w:val="28"/>
          <w:szCs w:val="28"/>
        </w:rPr>
        <w:t>成立了政府信息公开工作领导小组，加强对政府信息公开工作的领导和实施，负责推进、指导、协调、监督全镇政府信息公开工作，具体负责信息公开的汇总、审核、公布和受理申请等工作，严格把关政府信息公开内容审查。同时，扎实做好信息公开各项保障工作，严格按照信息发布流程开展工作，积极参加市级信息公开培训，推进和规范政府信息公开工作。2023年度无违反规定和失泄密情况。</w:t>
      </w:r>
    </w:p>
    <w:p>
      <w:pPr>
        <w:rPr>
          <w:rFonts w:hint="eastAsia" w:ascii="仿宋" w:hAnsi="仿宋" w:eastAsia="仿宋" w:cs="仿宋"/>
          <w:b/>
          <w:bCs/>
          <w:sz w:val="28"/>
          <w:szCs w:val="28"/>
        </w:rPr>
      </w:pPr>
      <w:r>
        <w:rPr>
          <w:rFonts w:hint="eastAsia" w:ascii="仿宋" w:hAnsi="仿宋" w:eastAsia="仿宋" w:cs="仿宋"/>
          <w:b/>
          <w:bCs/>
          <w:sz w:val="28"/>
          <w:szCs w:val="28"/>
        </w:rPr>
        <w:t>（四）公开平台建设情况</w:t>
      </w:r>
    </w:p>
    <w:p>
      <w:pPr>
        <w:rPr>
          <w:rFonts w:hint="eastAsia" w:ascii="仿宋" w:hAnsi="仿宋" w:eastAsia="仿宋" w:cs="仿宋"/>
          <w:sz w:val="28"/>
          <w:szCs w:val="28"/>
        </w:rPr>
      </w:pPr>
      <w:r>
        <w:rPr>
          <w:rFonts w:hint="eastAsia" w:ascii="仿宋" w:hAnsi="仿宋" w:eastAsia="仿宋" w:cs="仿宋"/>
          <w:sz w:val="28"/>
          <w:szCs w:val="28"/>
        </w:rPr>
        <w:t>结合《2023年山东省政务公开工作要点》，加强网站内容建设，规范栏目设置，做好政府信息公开网站与官桥镇人民政府门户网站联动关系，做到栏目及时更新。</w:t>
      </w:r>
    </w:p>
    <w:p>
      <w:pPr>
        <w:rPr>
          <w:rFonts w:hint="eastAsia" w:ascii="仿宋" w:hAnsi="仿宋" w:eastAsia="仿宋" w:cs="仿宋"/>
          <w:b/>
          <w:bCs/>
          <w:sz w:val="28"/>
          <w:szCs w:val="28"/>
        </w:rPr>
      </w:pPr>
      <w:r>
        <w:rPr>
          <w:rFonts w:hint="eastAsia" w:ascii="仿宋" w:hAnsi="仿宋" w:eastAsia="仿宋" w:cs="仿宋"/>
          <w:b/>
          <w:bCs/>
          <w:sz w:val="28"/>
          <w:szCs w:val="28"/>
        </w:rPr>
        <w:t>（五）监督保障情况</w:t>
      </w:r>
    </w:p>
    <w:p>
      <w:pPr>
        <w:rPr>
          <w:rFonts w:hint="eastAsia" w:ascii="仿宋" w:hAnsi="仿宋" w:eastAsia="仿宋" w:cs="仿宋"/>
          <w:sz w:val="28"/>
          <w:szCs w:val="28"/>
        </w:rPr>
      </w:pPr>
      <w:r>
        <w:rPr>
          <w:rFonts w:hint="eastAsia" w:ascii="仿宋" w:hAnsi="仿宋" w:eastAsia="仿宋" w:cs="仿宋"/>
          <w:sz w:val="28"/>
          <w:szCs w:val="28"/>
        </w:rPr>
        <w:t>建立了政府信息公开工作考核制度和责任追究制度，邀请市镇人大代表；政协委员积极开展政府开放日活动，定期对政府信息公开工作进行考核、评议。对未按照要求开展信息公开工作的，予以督促整改或通报批评。目前，市政府办公室制定了2023年滕州市政务公开评估细则，将开展对镇街评估排名。</w:t>
      </w:r>
    </w:p>
    <w:p>
      <w:pPr>
        <w:rPr>
          <w:rFonts w:hint="eastAsia" w:ascii="仿宋" w:hAnsi="仿宋" w:eastAsia="仿宋" w:cs="仿宋"/>
          <w:sz w:val="28"/>
          <w:szCs w:val="28"/>
        </w:rPr>
      </w:pPr>
      <w:r>
        <w:rPr>
          <w:rFonts w:hint="eastAsia" w:ascii="仿宋" w:hAnsi="仿宋" w:eastAsia="仿宋" w:cs="仿宋"/>
          <w:sz w:val="28"/>
          <w:szCs w:val="28"/>
        </w:rPr>
        <w:t>2023年，本单位未发生因信息公开审查不当或保密审查机构未履行保密审查职责而引起泄密情况，未发生责任追究情况。</w:t>
      </w:r>
    </w:p>
    <w:p>
      <w:pPr>
        <w:rPr>
          <w:rFonts w:hint="eastAsia" w:ascii="仿宋" w:hAnsi="仿宋" w:eastAsia="仿宋" w:cs="仿宋"/>
          <w:b/>
          <w:bCs/>
          <w:sz w:val="28"/>
          <w:szCs w:val="28"/>
        </w:rPr>
      </w:pPr>
      <w:r>
        <w:rPr>
          <w:rFonts w:hint="eastAsia" w:ascii="仿宋" w:hAnsi="仿宋" w:eastAsia="仿宋" w:cs="仿宋"/>
          <w:b/>
          <w:bCs/>
          <w:sz w:val="28"/>
          <w:szCs w:val="28"/>
        </w:rPr>
        <w:t>二、主动公开政府信息情况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400"/>
        <w:gridCol w:w="1515"/>
        <w:gridCol w:w="1500"/>
        <w:gridCol w:w="250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270" w:hRule="atLeast"/>
        </w:trPr>
        <w:tc>
          <w:tcPr>
            <w:tcW w:w="7920" w:type="dxa"/>
            <w:gridSpan w:val="4"/>
            <w:tcBorders>
              <w:top w:val="single" w:color="000000" w:sz="6" w:space="0"/>
              <w:left w:val="single" w:color="000000" w:sz="6" w:space="0"/>
              <w:bottom w:val="single" w:color="000000" w:sz="6" w:space="0"/>
              <w:right w:val="single" w:color="000000" w:sz="6" w:space="0"/>
            </w:tcBorders>
            <w:shd w:val="clear" w:color="auto" w:fill="C6D9F1"/>
            <w:tcMar>
              <w:left w:w="75" w:type="dxa"/>
              <w:right w:w="75" w:type="dxa"/>
            </w:tcMar>
            <w:vAlign w:val="center"/>
          </w:tcPr>
          <w:p>
            <w: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7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信息内容</w:t>
            </w:r>
          </w:p>
        </w:tc>
        <w:tc>
          <w:tcPr>
            <w:tcW w:w="1515" w:type="dxa"/>
            <w:tcBorders>
              <w:top w:val="single" w:color="000000" w:sz="6" w:space="0"/>
              <w:left w:val="single" w:color="000000" w:sz="6" w:space="0"/>
              <w:bottom w:val="single" w:color="000000" w:sz="6" w:space="0"/>
              <w:right w:val="nil"/>
            </w:tcBorders>
            <w:shd w:val="clear"/>
            <w:tcMar>
              <w:left w:w="75" w:type="dxa"/>
              <w:right w:w="75" w:type="dxa"/>
            </w:tcMar>
            <w:vAlign w:val="center"/>
          </w:tcPr>
          <w:p>
            <w:r>
              <w:t>本年制发件数</w:t>
            </w:r>
          </w:p>
        </w:tc>
        <w:tc>
          <w:tcPr>
            <w:tcW w:w="1500" w:type="dxa"/>
            <w:tcBorders>
              <w:top w:val="single" w:color="000000" w:sz="6" w:space="0"/>
              <w:left w:val="single" w:color="000000" w:sz="6" w:space="0"/>
              <w:bottom w:val="single" w:color="000000" w:sz="6" w:space="0"/>
              <w:right w:val="nil"/>
            </w:tcBorders>
            <w:shd w:val="clear"/>
            <w:tcMar>
              <w:left w:w="75" w:type="dxa"/>
              <w:right w:w="75" w:type="dxa"/>
            </w:tcMar>
            <w:vAlign w:val="center"/>
          </w:tcPr>
          <w:p>
            <w:r>
              <w:t>本年废止件数</w:t>
            </w:r>
          </w:p>
        </w:tc>
        <w:tc>
          <w:tcPr>
            <w:tcW w:w="1875"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规章</w:t>
            </w:r>
          </w:p>
        </w:tc>
        <w:tc>
          <w:tcPr>
            <w:tcW w:w="15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150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1875"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5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行政规范性文件</w:t>
            </w:r>
          </w:p>
        </w:tc>
        <w:tc>
          <w:tcPr>
            <w:tcW w:w="15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150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1875"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0" w:hRule="atLeast"/>
        </w:trPr>
        <w:tc>
          <w:tcPr>
            <w:tcW w:w="7920" w:type="dxa"/>
            <w:gridSpan w:val="4"/>
            <w:tcBorders>
              <w:top w:val="nil"/>
              <w:left w:val="single" w:color="000000" w:sz="6" w:space="0"/>
              <w:bottom w:val="single" w:color="000000" w:sz="6" w:space="0"/>
              <w:right w:val="single" w:color="000000" w:sz="6" w:space="0"/>
            </w:tcBorders>
            <w:shd w:val="clear" w:color="auto" w:fill="C6D9F1"/>
            <w:tcMar>
              <w:left w:w="75" w:type="dxa"/>
              <w:right w:w="75" w:type="dxa"/>
            </w:tcMar>
            <w:vAlign w:val="center"/>
          </w:tcPr>
          <w:p>
            <w: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信息内容</w:t>
            </w:r>
          </w:p>
        </w:tc>
        <w:tc>
          <w:tcPr>
            <w:tcW w:w="5310" w:type="dxa"/>
            <w:gridSpan w:val="3"/>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1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行政许可</w:t>
            </w:r>
          </w:p>
        </w:tc>
        <w:tc>
          <w:tcPr>
            <w:tcW w:w="5310" w:type="dxa"/>
            <w:gridSpan w:val="3"/>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5" w:hRule="atLeast"/>
        </w:trPr>
        <w:tc>
          <w:tcPr>
            <w:tcW w:w="7920" w:type="dxa"/>
            <w:gridSpan w:val="4"/>
            <w:tcBorders>
              <w:top w:val="nil"/>
              <w:left w:val="single" w:color="000000" w:sz="6" w:space="0"/>
              <w:bottom w:val="single" w:color="000000" w:sz="6" w:space="0"/>
              <w:right w:val="single" w:color="000000" w:sz="6" w:space="0"/>
            </w:tcBorders>
            <w:shd w:val="clear" w:color="auto" w:fill="C6D9F1"/>
            <w:tcMar>
              <w:left w:w="75" w:type="dxa"/>
              <w:right w:w="75" w:type="dxa"/>
            </w:tcMar>
            <w:vAlign w:val="center"/>
          </w:tcPr>
          <w:p>
            <w: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20"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信息内容</w:t>
            </w:r>
          </w:p>
        </w:tc>
        <w:tc>
          <w:tcPr>
            <w:tcW w:w="5310" w:type="dxa"/>
            <w:gridSpan w:val="3"/>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2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行政处罚</w:t>
            </w:r>
          </w:p>
        </w:tc>
        <w:tc>
          <w:tcPr>
            <w:tcW w:w="5310" w:type="dxa"/>
            <w:gridSpan w:val="3"/>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5"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行政强制</w:t>
            </w:r>
          </w:p>
        </w:tc>
        <w:tc>
          <w:tcPr>
            <w:tcW w:w="5310" w:type="dxa"/>
            <w:gridSpan w:val="3"/>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0" w:hRule="atLeast"/>
        </w:trPr>
        <w:tc>
          <w:tcPr>
            <w:tcW w:w="7920" w:type="dxa"/>
            <w:gridSpan w:val="4"/>
            <w:tcBorders>
              <w:top w:val="nil"/>
              <w:left w:val="single" w:color="000000" w:sz="6" w:space="0"/>
              <w:bottom w:val="single" w:color="000000" w:sz="6" w:space="0"/>
              <w:right w:val="single" w:color="000000" w:sz="6" w:space="0"/>
            </w:tcBorders>
            <w:shd w:val="clear" w:color="auto" w:fill="C6D9F1"/>
            <w:tcMar>
              <w:left w:w="75" w:type="dxa"/>
              <w:right w:w="75" w:type="dxa"/>
            </w:tcMar>
            <w:vAlign w:val="center"/>
          </w:tcPr>
          <w:p>
            <w: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信息内容</w:t>
            </w:r>
          </w:p>
        </w:tc>
        <w:tc>
          <w:tcPr>
            <w:tcW w:w="5310" w:type="dxa"/>
            <w:gridSpan w:val="3"/>
            <w:tcBorders>
              <w:top w:val="nil"/>
              <w:left w:val="single" w:color="000000" w:sz="6" w:space="0"/>
              <w:bottom w:val="single" w:color="000000" w:sz="6" w:space="0"/>
              <w:right w:val="single" w:color="000000" w:sz="6" w:space="0"/>
            </w:tcBorders>
            <w:shd w:val="clear"/>
            <w:tcMar>
              <w:left w:w="75" w:type="dxa"/>
              <w:right w:w="75" w:type="dxa"/>
            </w:tcMar>
            <w:vAlign w:val="center"/>
          </w:tcPr>
          <w:p>
            <w: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trPr>
        <w:tc>
          <w:tcPr>
            <w:tcW w:w="2400" w:type="dxa"/>
            <w:tcBorders>
              <w:top w:val="nil"/>
              <w:left w:val="single" w:color="000000" w:sz="6" w:space="0"/>
              <w:bottom w:val="single" w:color="000000" w:sz="6" w:space="0"/>
              <w:right w:val="nil"/>
            </w:tcBorders>
            <w:shd w:val="clear"/>
            <w:tcMar>
              <w:left w:w="75" w:type="dxa"/>
              <w:right w:w="75" w:type="dxa"/>
            </w:tcMar>
            <w:vAlign w:val="center"/>
          </w:tcPr>
          <w:p>
            <w:r>
              <w:t>行政事业性收费</w:t>
            </w:r>
          </w:p>
        </w:tc>
        <w:tc>
          <w:tcPr>
            <w:tcW w:w="5310" w:type="dxa"/>
            <w:gridSpan w:val="3"/>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bl>
    <w:p>
      <w:pPr>
        <w:rPr>
          <w:rFonts w:hint="default"/>
          <w:b/>
          <w:bCs/>
          <w:sz w:val="28"/>
          <w:szCs w:val="28"/>
        </w:rPr>
      </w:pPr>
      <w:r>
        <w:rPr>
          <w:rFonts w:hint="default"/>
          <w:b/>
          <w:bCs/>
          <w:sz w:val="28"/>
          <w:szCs w:val="28"/>
        </w:rPr>
        <w:t>三、收到和处理政府信息公开申请情况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70"/>
        <w:gridCol w:w="780"/>
        <w:gridCol w:w="1961"/>
        <w:gridCol w:w="532"/>
        <w:gridCol w:w="948"/>
        <w:gridCol w:w="604"/>
        <w:gridCol w:w="848"/>
        <w:gridCol w:w="704"/>
        <w:gridCol w:w="747"/>
        <w:gridCol w:w="7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3135" w:type="dxa"/>
            <w:gridSpan w:val="3"/>
            <w:vMerge w:val="restart"/>
            <w:tcBorders>
              <w:top w:val="single" w:color="000000" w:sz="6" w:space="0"/>
              <w:left w:val="single" w:color="000000" w:sz="6" w:space="0"/>
              <w:bottom w:val="single" w:color="000000" w:sz="6" w:space="0"/>
              <w:right w:val="nil"/>
            </w:tcBorders>
            <w:shd w:val="clear"/>
            <w:tcMar>
              <w:left w:w="75" w:type="dxa"/>
              <w:right w:w="75" w:type="dxa"/>
            </w:tcMar>
            <w:vAlign w:val="center"/>
          </w:tcPr>
          <w:p>
            <w:r>
              <w:t>（本列数据的勾稽关系为：第一项加第二项之和，等于第三项加第四项之和）</w:t>
            </w:r>
          </w:p>
        </w:tc>
        <w:tc>
          <w:tcPr>
            <w:tcW w:w="5250" w:type="dxa"/>
            <w:gridSpan w:val="7"/>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135" w:type="dxa"/>
            <w:gridSpan w:val="3"/>
            <w:vMerge w:val="continue"/>
            <w:tcBorders>
              <w:top w:val="single" w:color="000000" w:sz="6" w:space="0"/>
              <w:left w:val="single" w:color="000000" w:sz="6" w:space="0"/>
              <w:bottom w:val="single" w:color="000000" w:sz="6" w:space="0"/>
              <w:right w:val="nil"/>
            </w:tcBorders>
            <w:shd w:val="clear"/>
            <w:tcMar>
              <w:left w:w="75" w:type="dxa"/>
              <w:right w:w="75" w:type="dxa"/>
            </w:tcMar>
            <w:vAlign w:val="center"/>
          </w:tcPr>
          <w:p>
            <w:pPr>
              <w:rPr>
                <w:rFonts w:hint="eastAsia"/>
              </w:rPr>
            </w:pPr>
          </w:p>
        </w:tc>
        <w:tc>
          <w:tcPr>
            <w:tcW w:w="540" w:type="dxa"/>
            <w:vMerge w:val="restart"/>
            <w:tcBorders>
              <w:top w:val="nil"/>
              <w:left w:val="single" w:color="000000" w:sz="6" w:space="0"/>
              <w:bottom w:val="single" w:color="000000" w:sz="6" w:space="0"/>
              <w:right w:val="nil"/>
            </w:tcBorders>
            <w:shd w:val="clear"/>
            <w:tcMar>
              <w:left w:w="75" w:type="dxa"/>
              <w:right w:w="75" w:type="dxa"/>
            </w:tcMar>
            <w:vAlign w:val="center"/>
          </w:tcPr>
          <w:p>
            <w:r>
              <w:t>自然人</w:t>
            </w:r>
          </w:p>
        </w:tc>
        <w:tc>
          <w:tcPr>
            <w:tcW w:w="3945" w:type="dxa"/>
            <w:gridSpan w:val="5"/>
            <w:tcBorders>
              <w:top w:val="single" w:color="000000" w:sz="6" w:space="0"/>
              <w:left w:val="single" w:color="000000" w:sz="6" w:space="0"/>
              <w:bottom w:val="single" w:color="000000" w:sz="6" w:space="0"/>
              <w:right w:val="nil"/>
            </w:tcBorders>
            <w:shd w:val="clear"/>
            <w:tcMar>
              <w:left w:w="75" w:type="dxa"/>
              <w:right w:w="75" w:type="dxa"/>
            </w:tcMar>
            <w:vAlign w:val="center"/>
          </w:tcPr>
          <w:p>
            <w:r>
              <w:t>法人或其他组织</w:t>
            </w:r>
          </w:p>
        </w:tc>
        <w:tc>
          <w:tcPr>
            <w:tcW w:w="750" w:type="dxa"/>
            <w:vMerge w:val="restart"/>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135" w:type="dxa"/>
            <w:gridSpan w:val="3"/>
            <w:vMerge w:val="continue"/>
            <w:tcBorders>
              <w:top w:val="single" w:color="000000" w:sz="6" w:space="0"/>
              <w:left w:val="single" w:color="000000" w:sz="6" w:space="0"/>
              <w:bottom w:val="single" w:color="000000" w:sz="6" w:space="0"/>
              <w:right w:val="nil"/>
            </w:tcBorders>
            <w:shd w:val="clear"/>
            <w:tcMar>
              <w:left w:w="75" w:type="dxa"/>
              <w:right w:w="75" w:type="dxa"/>
            </w:tcMar>
            <w:vAlign w:val="center"/>
          </w:tcPr>
          <w:p>
            <w:pPr>
              <w:rPr>
                <w:rFonts w:hint="eastAsia"/>
              </w:rPr>
            </w:pPr>
          </w:p>
        </w:tc>
        <w:tc>
          <w:tcPr>
            <w:tcW w:w="540"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商业</w:t>
            </w:r>
          </w:p>
          <w:p>
            <w:r>
              <w:t>企业</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科研机构</w:t>
            </w:r>
          </w:p>
        </w:tc>
        <w:tc>
          <w:tcPr>
            <w:tcW w:w="870" w:type="dxa"/>
            <w:tcBorders>
              <w:top w:val="single" w:color="000000" w:sz="6" w:space="0"/>
              <w:left w:val="single" w:color="000000" w:sz="6" w:space="0"/>
              <w:bottom w:val="single" w:color="000000" w:sz="6" w:space="0"/>
              <w:right w:val="nil"/>
            </w:tcBorders>
            <w:shd w:val="clear"/>
            <w:tcMar>
              <w:left w:w="75" w:type="dxa"/>
              <w:right w:w="75" w:type="dxa"/>
            </w:tcMar>
            <w:vAlign w:val="center"/>
          </w:tcPr>
          <w:p>
            <w:r>
              <w:t>社会公益组织</w:t>
            </w:r>
          </w:p>
        </w:tc>
        <w:tc>
          <w:tcPr>
            <w:tcW w:w="720" w:type="dxa"/>
            <w:tcBorders>
              <w:top w:val="single" w:color="000000" w:sz="6" w:space="0"/>
              <w:left w:val="single" w:color="000000" w:sz="6" w:space="0"/>
              <w:bottom w:val="single" w:color="000000" w:sz="6" w:space="0"/>
              <w:right w:val="nil"/>
            </w:tcBorders>
            <w:shd w:val="clear"/>
            <w:tcMar>
              <w:left w:w="75" w:type="dxa"/>
              <w:right w:w="75" w:type="dxa"/>
            </w:tcMar>
            <w:vAlign w:val="center"/>
          </w:tcPr>
          <w:p>
            <w:r>
              <w:t>法律</w:t>
            </w:r>
          </w:p>
          <w:p>
            <w:r>
              <w:t>服务</w:t>
            </w:r>
          </w:p>
          <w:p>
            <w:r>
              <w:t>机构</w:t>
            </w:r>
          </w:p>
        </w:tc>
        <w:tc>
          <w:tcPr>
            <w:tcW w:w="750" w:type="dxa"/>
            <w:tcBorders>
              <w:top w:val="single" w:color="000000" w:sz="6" w:space="0"/>
              <w:left w:val="single" w:color="000000" w:sz="6" w:space="0"/>
              <w:bottom w:val="single" w:color="000000" w:sz="6" w:space="0"/>
              <w:right w:val="nil"/>
            </w:tcBorders>
            <w:shd w:val="clear"/>
            <w:tcMar>
              <w:left w:w="75" w:type="dxa"/>
              <w:right w:w="75" w:type="dxa"/>
            </w:tcMar>
            <w:vAlign w:val="center"/>
          </w:tcPr>
          <w:p>
            <w:r>
              <w:t>其他</w:t>
            </w:r>
          </w:p>
        </w:tc>
        <w:tc>
          <w:tcPr>
            <w:tcW w:w="750" w:type="dxa"/>
            <w:vMerge w:val="continue"/>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pPr>
              <w:rPr>
                <w:rFonts w:hint="eastAsia"/>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20" w:hRule="atLeast"/>
        </w:trPr>
        <w:tc>
          <w:tcPr>
            <w:tcW w:w="3135" w:type="dxa"/>
            <w:gridSpan w:val="3"/>
            <w:tcBorders>
              <w:top w:val="nil"/>
              <w:left w:val="single" w:color="000000" w:sz="6" w:space="0"/>
              <w:bottom w:val="single" w:color="000000" w:sz="6" w:space="0"/>
              <w:right w:val="nil"/>
            </w:tcBorders>
            <w:shd w:val="clear"/>
            <w:tcMar>
              <w:left w:w="75" w:type="dxa"/>
              <w:right w:w="75" w:type="dxa"/>
            </w:tcMar>
            <w:vAlign w:val="center"/>
          </w:tcPr>
          <w:p>
            <w:r>
              <w:t>一、本年新收政府信息公开申请数量</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1</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20" w:hRule="atLeast"/>
        </w:trPr>
        <w:tc>
          <w:tcPr>
            <w:tcW w:w="3135" w:type="dxa"/>
            <w:gridSpan w:val="3"/>
            <w:tcBorders>
              <w:top w:val="nil"/>
              <w:left w:val="single" w:color="000000" w:sz="6" w:space="0"/>
              <w:bottom w:val="single" w:color="000000" w:sz="6" w:space="0"/>
              <w:right w:val="nil"/>
            </w:tcBorders>
            <w:shd w:val="clear"/>
            <w:tcMar>
              <w:left w:w="75" w:type="dxa"/>
              <w:right w:w="75" w:type="dxa"/>
            </w:tcMar>
            <w:vAlign w:val="center"/>
          </w:tcPr>
          <w:p>
            <w:r>
              <w:t>二、上年结转政府信息公开申请数量</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restart"/>
            <w:tcBorders>
              <w:top w:val="nil"/>
              <w:left w:val="single" w:color="000000" w:sz="6" w:space="0"/>
              <w:bottom w:val="single" w:color="000000" w:sz="6" w:space="0"/>
              <w:right w:val="nil"/>
            </w:tcBorders>
            <w:shd w:val="clear"/>
            <w:tcMar>
              <w:left w:w="75" w:type="dxa"/>
              <w:right w:w="75" w:type="dxa"/>
            </w:tcMar>
            <w:vAlign w:val="center"/>
          </w:tcPr>
          <w:p>
            <w:r>
              <w:t>三、本年度办理结果</w:t>
            </w:r>
          </w:p>
        </w:tc>
        <w:tc>
          <w:tcPr>
            <w:tcW w:w="2670" w:type="dxa"/>
            <w:gridSpan w:val="2"/>
            <w:tcBorders>
              <w:top w:val="nil"/>
              <w:left w:val="single" w:color="000000" w:sz="6" w:space="0"/>
              <w:bottom w:val="single" w:color="000000" w:sz="6" w:space="0"/>
              <w:right w:val="nil"/>
            </w:tcBorders>
            <w:shd w:val="clear"/>
            <w:tcMar>
              <w:left w:w="75" w:type="dxa"/>
              <w:right w:w="75" w:type="dxa"/>
            </w:tcMar>
            <w:vAlign w:val="center"/>
          </w:tcPr>
          <w:p>
            <w:r>
              <w:t>（一）予以公开</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670" w:type="dxa"/>
            <w:gridSpan w:val="2"/>
            <w:tcBorders>
              <w:top w:val="nil"/>
              <w:left w:val="single" w:color="000000" w:sz="6" w:space="0"/>
              <w:bottom w:val="single" w:color="000000" w:sz="6" w:space="0"/>
              <w:right w:val="nil"/>
            </w:tcBorders>
            <w:shd w:val="clear"/>
            <w:tcMar>
              <w:left w:w="75" w:type="dxa"/>
              <w:right w:w="75" w:type="dxa"/>
            </w:tcMar>
            <w:vAlign w:val="center"/>
          </w:tcPr>
          <w:p>
            <w:r>
              <w:t>（二）部分公开（区分处理的，只计这一情形，不计其他情形）</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restart"/>
            <w:tcBorders>
              <w:top w:val="nil"/>
              <w:left w:val="single" w:color="000000" w:sz="6" w:space="0"/>
              <w:bottom w:val="single" w:color="000000" w:sz="6" w:space="0"/>
              <w:right w:val="nil"/>
            </w:tcBorders>
            <w:shd w:val="clear"/>
            <w:tcMar>
              <w:left w:w="75" w:type="dxa"/>
              <w:right w:w="75" w:type="dxa"/>
            </w:tcMar>
            <w:vAlign w:val="center"/>
          </w:tcPr>
          <w:p>
            <w:r>
              <w:t>（三）不予公开</w:t>
            </w: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1.属于国家秘密</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single" w:color="000000" w:sz="6" w:space="0"/>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2.其他法律行政法规禁止公开</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3.危及“三安全一稳定”</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4.保护第三方合法权益</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5.属于三类内部事务信息</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6.属于四类过程性信息</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7.属于行政执法案卷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8.属于行政查询事项</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1</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restart"/>
            <w:tcBorders>
              <w:top w:val="nil"/>
              <w:left w:val="single" w:color="000000" w:sz="6" w:space="0"/>
              <w:bottom w:val="single" w:color="000000" w:sz="6" w:space="0"/>
              <w:right w:val="nil"/>
            </w:tcBorders>
            <w:shd w:val="clear"/>
            <w:tcMar>
              <w:left w:w="75" w:type="dxa"/>
              <w:right w:w="75" w:type="dxa"/>
            </w:tcMar>
            <w:vAlign w:val="center"/>
          </w:tcPr>
          <w:p>
            <w:r>
              <w:t>（四）无法提供</w:t>
            </w: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1.本机关不掌握相关政府信息</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2.没有现成信息需要另行制作</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3.补正后申请内容仍不明确</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restart"/>
            <w:tcBorders>
              <w:top w:val="nil"/>
              <w:left w:val="single" w:color="000000" w:sz="6" w:space="0"/>
              <w:bottom w:val="single" w:color="000000" w:sz="6" w:space="0"/>
              <w:right w:val="nil"/>
            </w:tcBorders>
            <w:shd w:val="clear"/>
            <w:tcMar>
              <w:left w:w="75" w:type="dxa"/>
              <w:right w:w="75" w:type="dxa"/>
            </w:tcMar>
            <w:vAlign w:val="center"/>
          </w:tcPr>
          <w:p>
            <w:r>
              <w:t>（五）不予处理</w:t>
            </w: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1.信访举报投诉类申请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2.重复申请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3.要求提供公开出版物</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4.无正当理由大量反复申请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5.要求行政机关确认或重新出具已获取信息</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restart"/>
            <w:tcBorders>
              <w:top w:val="nil"/>
              <w:left w:val="single" w:color="000000" w:sz="6" w:space="0"/>
              <w:bottom w:val="double" w:color="C0C0C0" w:sz="2" w:space="0"/>
              <w:right w:val="nil"/>
            </w:tcBorders>
            <w:shd w:val="clear"/>
            <w:tcMar>
              <w:left w:w="75" w:type="dxa"/>
              <w:right w:w="75" w:type="dxa"/>
            </w:tcMar>
            <w:vAlign w:val="center"/>
          </w:tcPr>
          <w:p>
            <w:r>
              <w:t>（六）其他处理</w:t>
            </w: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1.申请人无正当理由逾期不补正、行政机关不再处理其政府信息公开申请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double" w:color="C0C0C0" w:sz="2"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2.申请人逾期未按收费通知要求缴纳费用、行政机关不再处理其政府信息公开申请</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645" w:type="dxa"/>
            <w:vMerge w:val="continue"/>
            <w:tcBorders>
              <w:top w:val="nil"/>
              <w:left w:val="single" w:color="000000" w:sz="6" w:space="0"/>
              <w:bottom w:val="double" w:color="C0C0C0" w:sz="2" w:space="0"/>
              <w:right w:val="nil"/>
            </w:tcBorders>
            <w:shd w:val="clear"/>
            <w:tcMar>
              <w:left w:w="75" w:type="dxa"/>
              <w:right w:w="75" w:type="dxa"/>
            </w:tcMar>
            <w:vAlign w:val="center"/>
          </w:tcPr>
          <w:p>
            <w:pPr>
              <w:rPr>
                <w:rFonts w:hint="eastAsia"/>
              </w:rPr>
            </w:pPr>
          </w:p>
        </w:tc>
        <w:tc>
          <w:tcPr>
            <w:tcW w:w="2025" w:type="dxa"/>
            <w:tcBorders>
              <w:top w:val="nil"/>
              <w:left w:val="single" w:color="000000" w:sz="6" w:space="0"/>
              <w:bottom w:val="single" w:color="000000" w:sz="6" w:space="0"/>
              <w:right w:val="nil"/>
            </w:tcBorders>
            <w:shd w:val="clear"/>
            <w:tcMar>
              <w:left w:w="75" w:type="dxa"/>
              <w:right w:w="75" w:type="dxa"/>
            </w:tcMar>
            <w:vAlign w:val="center"/>
          </w:tcPr>
          <w:p>
            <w:r>
              <w:t>3.其他</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0 </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65" w:type="dxa"/>
            <w:vMerge w:val="continue"/>
            <w:tcBorders>
              <w:top w:val="nil"/>
              <w:left w:val="single" w:color="000000" w:sz="6" w:space="0"/>
              <w:bottom w:val="single" w:color="000000" w:sz="6" w:space="0"/>
              <w:right w:val="nil"/>
            </w:tcBorders>
            <w:shd w:val="clear"/>
            <w:tcMar>
              <w:left w:w="75" w:type="dxa"/>
              <w:right w:w="75" w:type="dxa"/>
            </w:tcMar>
            <w:vAlign w:val="center"/>
          </w:tcPr>
          <w:p>
            <w:pPr>
              <w:rPr>
                <w:rFonts w:hint="eastAsia"/>
              </w:rPr>
            </w:pPr>
          </w:p>
        </w:tc>
        <w:tc>
          <w:tcPr>
            <w:tcW w:w="2670" w:type="dxa"/>
            <w:gridSpan w:val="2"/>
            <w:tcBorders>
              <w:top w:val="nil"/>
              <w:left w:val="single" w:color="000000" w:sz="6" w:space="0"/>
              <w:bottom w:val="single" w:color="000000" w:sz="6" w:space="0"/>
              <w:right w:val="nil"/>
            </w:tcBorders>
            <w:shd w:val="clear"/>
            <w:tcMar>
              <w:left w:w="75" w:type="dxa"/>
              <w:right w:w="75" w:type="dxa"/>
            </w:tcMar>
            <w:vAlign w:val="center"/>
          </w:tcPr>
          <w:p>
            <w:r>
              <w:t>（七）总计</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1</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40" w:hRule="atLeast"/>
        </w:trPr>
        <w:tc>
          <w:tcPr>
            <w:tcW w:w="3135" w:type="dxa"/>
            <w:gridSpan w:val="3"/>
            <w:tcBorders>
              <w:top w:val="nil"/>
              <w:left w:val="single" w:color="000000" w:sz="6" w:space="0"/>
              <w:bottom w:val="single" w:color="000000" w:sz="6" w:space="0"/>
              <w:right w:val="nil"/>
            </w:tcBorders>
            <w:shd w:val="clear"/>
            <w:tcMar>
              <w:left w:w="75" w:type="dxa"/>
              <w:right w:w="75" w:type="dxa"/>
            </w:tcMar>
            <w:vAlign w:val="center"/>
          </w:tcPr>
          <w:p>
            <w:r>
              <w:t>四、结转下年度继续办理</w:t>
            </w:r>
          </w:p>
        </w:tc>
        <w:tc>
          <w:tcPr>
            <w:tcW w:w="54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97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615"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87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2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nil"/>
            </w:tcBorders>
            <w:shd w:val="clear"/>
            <w:tcMar>
              <w:left w:w="75" w:type="dxa"/>
              <w:right w:w="75" w:type="dxa"/>
            </w:tcMar>
            <w:vAlign w:val="center"/>
          </w:tcPr>
          <w:p>
            <w:r>
              <w:t>0</w:t>
            </w:r>
          </w:p>
        </w:tc>
        <w:tc>
          <w:tcPr>
            <w:tcW w:w="750" w:type="dxa"/>
            <w:tcBorders>
              <w:top w:val="nil"/>
              <w:left w:val="single" w:color="000000" w:sz="6" w:space="0"/>
              <w:bottom w:val="single" w:color="000000" w:sz="6" w:space="0"/>
              <w:right w:val="single" w:color="000000" w:sz="6" w:space="0"/>
            </w:tcBorders>
            <w:shd w:val="clear"/>
            <w:tcMar>
              <w:left w:w="75" w:type="dxa"/>
              <w:right w:w="75" w:type="dxa"/>
            </w:tcMar>
            <w:vAlign w:val="center"/>
          </w:tcPr>
          <w:p>
            <w:r>
              <w:t>0</w:t>
            </w:r>
          </w:p>
        </w:tc>
      </w:tr>
    </w:tbl>
    <w:p>
      <w:pPr>
        <w:rPr>
          <w:rFonts w:hint="default"/>
          <w:b/>
          <w:bCs/>
          <w:sz w:val="28"/>
          <w:szCs w:val="28"/>
        </w:rPr>
      </w:pPr>
      <w:r>
        <w:rPr>
          <w:rFonts w:hint="default"/>
          <w:b/>
          <w:bCs/>
          <w:sz w:val="28"/>
          <w:szCs w:val="28"/>
        </w:rPr>
        <w:t>四、政府信息公开行政复议、行政诉讼情况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60"/>
        <w:gridCol w:w="360"/>
        <w:gridCol w:w="360"/>
        <w:gridCol w:w="360"/>
        <w:gridCol w:w="1285"/>
        <w:gridCol w:w="360"/>
        <w:gridCol w:w="360"/>
        <w:gridCol w:w="360"/>
        <w:gridCol w:w="360"/>
        <w:gridCol w:w="1261"/>
        <w:gridCol w:w="360"/>
        <w:gridCol w:w="360"/>
        <w:gridCol w:w="360"/>
        <w:gridCol w:w="360"/>
        <w:gridCol w:w="15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2835"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r>
              <w:t>行政复议</w:t>
            </w:r>
          </w:p>
        </w:tc>
        <w:tc>
          <w:tcPr>
            <w:tcW w:w="6210" w:type="dxa"/>
            <w:gridSpan w:val="10"/>
            <w:tcBorders>
              <w:top w:val="outset" w:color="auto" w:sz="6" w:space="0"/>
              <w:left w:val="nil"/>
              <w:bottom w:val="outset" w:color="auto" w:sz="6" w:space="0"/>
              <w:right w:val="outset" w:color="auto" w:sz="6" w:space="0"/>
            </w:tcBorders>
            <w:shd w:val="clear"/>
            <w:tcMar>
              <w:left w:w="75" w:type="dxa"/>
              <w:right w:w="75" w:type="dxa"/>
            </w:tcMar>
            <w:vAlign w:val="center"/>
          </w:tcPr>
          <w:p>
            <w: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65" w:type="dxa"/>
            <w:vMerge w:val="restart"/>
            <w:tcBorders>
              <w:top w:val="nil"/>
              <w:left w:val="outset" w:color="auto" w:sz="6" w:space="0"/>
              <w:bottom w:val="outset" w:color="auto" w:sz="6" w:space="0"/>
              <w:right w:val="outset" w:color="auto" w:sz="6" w:space="0"/>
            </w:tcBorders>
            <w:shd w:val="clear"/>
            <w:tcMar>
              <w:left w:w="75" w:type="dxa"/>
              <w:right w:w="75" w:type="dxa"/>
            </w:tcMar>
            <w:vAlign w:val="center"/>
          </w:tcPr>
          <w:p>
            <w:r>
              <w:t>结果维持</w:t>
            </w:r>
          </w:p>
        </w:tc>
        <w:tc>
          <w:tcPr>
            <w:tcW w:w="195" w:type="dxa"/>
            <w:vMerge w:val="restart"/>
            <w:tcBorders>
              <w:top w:val="nil"/>
              <w:left w:val="nil"/>
              <w:bottom w:val="outset" w:color="auto" w:sz="6" w:space="0"/>
              <w:right w:val="outset" w:color="auto" w:sz="6" w:space="0"/>
            </w:tcBorders>
            <w:shd w:val="clear"/>
            <w:tcMar>
              <w:left w:w="75" w:type="dxa"/>
              <w:right w:w="75" w:type="dxa"/>
            </w:tcMar>
            <w:vAlign w:val="center"/>
          </w:tcPr>
          <w:p>
            <w:r>
              <w:t>结果纠正</w:t>
            </w:r>
          </w:p>
        </w:tc>
        <w:tc>
          <w:tcPr>
            <w:tcW w:w="195" w:type="dxa"/>
            <w:vMerge w:val="restart"/>
            <w:tcBorders>
              <w:top w:val="outset" w:color="auto" w:sz="6" w:space="0"/>
              <w:left w:val="nil"/>
              <w:bottom w:val="outset" w:color="auto" w:sz="6" w:space="0"/>
              <w:right w:val="outset" w:color="auto" w:sz="6" w:space="0"/>
            </w:tcBorders>
            <w:shd w:val="clear"/>
            <w:tcMar>
              <w:left w:w="75" w:type="dxa"/>
              <w:right w:w="75" w:type="dxa"/>
            </w:tcMar>
            <w:vAlign w:val="center"/>
          </w:tcPr>
          <w:p>
            <w:r>
              <w:t>其他结果</w:t>
            </w:r>
          </w:p>
        </w:tc>
        <w:tc>
          <w:tcPr>
            <w:tcW w:w="195" w:type="dxa"/>
            <w:vMerge w:val="restart"/>
            <w:tcBorders>
              <w:top w:val="outset" w:color="auto" w:sz="6" w:space="0"/>
              <w:left w:val="nil"/>
              <w:bottom w:val="outset" w:color="auto" w:sz="6" w:space="0"/>
              <w:right w:val="outset" w:color="auto" w:sz="6" w:space="0"/>
            </w:tcBorders>
            <w:shd w:val="clear"/>
            <w:tcMar>
              <w:left w:w="75" w:type="dxa"/>
              <w:right w:w="75" w:type="dxa"/>
            </w:tcMar>
            <w:vAlign w:val="center"/>
          </w:tcPr>
          <w:p>
            <w:r>
              <w:t>尚未审结</w:t>
            </w:r>
          </w:p>
        </w:tc>
        <w:tc>
          <w:tcPr>
            <w:tcW w:w="1110" w:type="dxa"/>
            <w:vMerge w:val="restart"/>
            <w:tcBorders>
              <w:top w:val="outset" w:color="auto" w:sz="6" w:space="0"/>
              <w:left w:val="nil"/>
              <w:bottom w:val="outset" w:color="auto" w:sz="6" w:space="0"/>
              <w:right w:val="outset" w:color="auto" w:sz="6" w:space="0"/>
            </w:tcBorders>
            <w:shd w:val="clear"/>
            <w:tcMar>
              <w:left w:w="75" w:type="dxa"/>
              <w:right w:w="75" w:type="dxa"/>
            </w:tcMar>
            <w:vAlign w:val="center"/>
          </w:tcPr>
          <w:p>
            <w:r>
              <w:t>总计</w:t>
            </w:r>
          </w:p>
        </w:tc>
        <w:tc>
          <w:tcPr>
            <w:tcW w:w="2775" w:type="dxa"/>
            <w:gridSpan w:val="5"/>
            <w:tcBorders>
              <w:top w:val="outset" w:color="auto" w:sz="6" w:space="0"/>
              <w:left w:val="nil"/>
              <w:bottom w:val="outset" w:color="auto" w:sz="6" w:space="0"/>
              <w:right w:val="outset" w:color="auto" w:sz="6" w:space="0"/>
            </w:tcBorders>
            <w:shd w:val="clear"/>
            <w:tcMar>
              <w:left w:w="75" w:type="dxa"/>
              <w:right w:w="75" w:type="dxa"/>
            </w:tcMar>
            <w:vAlign w:val="center"/>
          </w:tcPr>
          <w:p>
            <w:r>
              <w:t>未经复议直接起诉</w:t>
            </w:r>
          </w:p>
        </w:tc>
        <w:tc>
          <w:tcPr>
            <w:tcW w:w="2940" w:type="dxa"/>
            <w:gridSpan w:val="5"/>
            <w:tcBorders>
              <w:top w:val="outset" w:color="auto" w:sz="6" w:space="0"/>
              <w:left w:val="nil"/>
              <w:bottom w:val="outset" w:color="auto" w:sz="6" w:space="0"/>
              <w:right w:val="outset" w:color="auto" w:sz="6" w:space="0"/>
            </w:tcBorders>
            <w:shd w:val="clear"/>
            <w:tcMar>
              <w:left w:w="75" w:type="dxa"/>
              <w:right w:w="75" w:type="dxa"/>
            </w:tcMar>
            <w:vAlign w:val="center"/>
          </w:tcPr>
          <w:p>
            <w: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65" w:type="dxa"/>
            <w:vMerge w:val="continue"/>
            <w:tcBorders>
              <w:top w:val="nil"/>
              <w:left w:val="outset" w:color="auto" w:sz="6" w:space="0"/>
              <w:bottom w:val="outset" w:color="auto" w:sz="6" w:space="0"/>
              <w:right w:val="outset" w:color="auto" w:sz="6" w:space="0"/>
            </w:tcBorders>
            <w:shd w:val="clear"/>
            <w:tcMar>
              <w:left w:w="75" w:type="dxa"/>
              <w:right w:w="75" w:type="dxa"/>
            </w:tcMar>
            <w:vAlign w:val="center"/>
          </w:tcPr>
          <w:p>
            <w:pPr>
              <w:rPr>
                <w:rFonts w:hint="eastAsia"/>
              </w:rPr>
            </w:pPr>
          </w:p>
        </w:tc>
        <w:tc>
          <w:tcPr>
            <w:tcW w:w="195" w:type="dxa"/>
            <w:vMerge w:val="continue"/>
            <w:tcBorders>
              <w:top w:val="nil"/>
              <w:left w:val="nil"/>
              <w:bottom w:val="outset" w:color="auto" w:sz="6" w:space="0"/>
              <w:right w:val="outset" w:color="auto" w:sz="6" w:space="0"/>
            </w:tcBorders>
            <w:shd w:val="clear"/>
            <w:tcMar>
              <w:left w:w="75" w:type="dxa"/>
              <w:right w:w="75" w:type="dxa"/>
            </w:tcMar>
            <w:vAlign w:val="center"/>
          </w:tcPr>
          <w:p>
            <w:pPr>
              <w:rPr>
                <w:rFonts w:hint="eastAsia"/>
              </w:rPr>
            </w:pPr>
          </w:p>
        </w:tc>
        <w:tc>
          <w:tcPr>
            <w:tcW w:w="195" w:type="dxa"/>
            <w:vMerge w:val="continue"/>
            <w:tcBorders>
              <w:top w:val="outset" w:color="auto" w:sz="6" w:space="0"/>
              <w:left w:val="nil"/>
              <w:bottom w:val="outset" w:color="auto" w:sz="6" w:space="0"/>
              <w:right w:val="outset" w:color="auto" w:sz="6" w:space="0"/>
            </w:tcBorders>
            <w:shd w:val="clear"/>
            <w:tcMar>
              <w:left w:w="75" w:type="dxa"/>
              <w:right w:w="75" w:type="dxa"/>
            </w:tcMar>
            <w:vAlign w:val="center"/>
          </w:tcPr>
          <w:p>
            <w:pPr>
              <w:rPr>
                <w:rFonts w:hint="eastAsia"/>
              </w:rPr>
            </w:pPr>
          </w:p>
        </w:tc>
        <w:tc>
          <w:tcPr>
            <w:tcW w:w="195" w:type="dxa"/>
            <w:vMerge w:val="continue"/>
            <w:tcBorders>
              <w:top w:val="outset" w:color="auto" w:sz="6" w:space="0"/>
              <w:left w:val="nil"/>
              <w:bottom w:val="outset" w:color="auto" w:sz="6" w:space="0"/>
              <w:right w:val="outset" w:color="auto" w:sz="6" w:space="0"/>
            </w:tcBorders>
            <w:shd w:val="clear"/>
            <w:tcMar>
              <w:left w:w="75" w:type="dxa"/>
              <w:right w:w="75" w:type="dxa"/>
            </w:tcMar>
            <w:vAlign w:val="center"/>
          </w:tcPr>
          <w:p>
            <w:pPr>
              <w:rPr>
                <w:rFonts w:hint="eastAsia"/>
              </w:rPr>
            </w:pPr>
          </w:p>
        </w:tc>
        <w:tc>
          <w:tcPr>
            <w:tcW w:w="1110" w:type="dxa"/>
            <w:vMerge w:val="continue"/>
            <w:tcBorders>
              <w:top w:val="outset" w:color="auto" w:sz="6" w:space="0"/>
              <w:left w:val="nil"/>
              <w:bottom w:val="outset" w:color="auto" w:sz="6" w:space="0"/>
              <w:right w:val="outset" w:color="auto" w:sz="6" w:space="0"/>
            </w:tcBorders>
            <w:shd w:val="clear"/>
            <w:tcMar>
              <w:left w:w="75" w:type="dxa"/>
              <w:right w:w="75" w:type="dxa"/>
            </w:tcMar>
            <w:vAlign w:val="center"/>
          </w:tcPr>
          <w:p>
            <w:pPr>
              <w:rPr>
                <w:rFonts w:hint="eastAsia"/>
              </w:rPr>
            </w:pPr>
          </w:p>
        </w:tc>
        <w:tc>
          <w:tcPr>
            <w:tcW w:w="150" w:type="dxa"/>
            <w:tcBorders>
              <w:top w:val="nil"/>
              <w:left w:val="nil"/>
              <w:bottom w:val="outset" w:color="auto" w:sz="6" w:space="0"/>
              <w:right w:val="outset" w:color="auto" w:sz="6" w:space="0"/>
            </w:tcBorders>
            <w:shd w:val="clear"/>
            <w:tcMar>
              <w:left w:w="75" w:type="dxa"/>
              <w:right w:w="75" w:type="dxa"/>
            </w:tcMar>
            <w:vAlign w:val="center"/>
          </w:tcPr>
          <w:p>
            <w:r>
              <w:t>结果维持</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结果纠正</w:t>
            </w:r>
          </w:p>
        </w:tc>
        <w:tc>
          <w:tcPr>
            <w:tcW w:w="195" w:type="dxa"/>
            <w:tcBorders>
              <w:top w:val="outset" w:color="auto" w:sz="6" w:space="0"/>
              <w:left w:val="nil"/>
              <w:bottom w:val="outset" w:color="auto" w:sz="6" w:space="0"/>
              <w:right w:val="outset" w:color="auto" w:sz="6" w:space="0"/>
            </w:tcBorders>
            <w:shd w:val="clear"/>
            <w:tcMar>
              <w:left w:w="75" w:type="dxa"/>
              <w:right w:w="75" w:type="dxa"/>
            </w:tcMar>
            <w:vAlign w:val="center"/>
          </w:tcPr>
          <w:p>
            <w:r>
              <w:t>其他结果</w:t>
            </w:r>
          </w:p>
        </w:tc>
        <w:tc>
          <w:tcPr>
            <w:tcW w:w="195" w:type="dxa"/>
            <w:tcBorders>
              <w:top w:val="outset" w:color="auto" w:sz="6" w:space="0"/>
              <w:left w:val="nil"/>
              <w:bottom w:val="outset" w:color="auto" w:sz="6" w:space="0"/>
              <w:right w:val="outset" w:color="auto" w:sz="6" w:space="0"/>
            </w:tcBorders>
            <w:shd w:val="clear"/>
            <w:tcMar>
              <w:left w:w="75" w:type="dxa"/>
              <w:right w:w="75" w:type="dxa"/>
            </w:tcMar>
            <w:vAlign w:val="center"/>
          </w:tcPr>
          <w:p>
            <w:r>
              <w:t>尚未审结</w:t>
            </w:r>
          </w:p>
        </w:tc>
        <w:tc>
          <w:tcPr>
            <w:tcW w:w="1185" w:type="dxa"/>
            <w:tcBorders>
              <w:top w:val="outset" w:color="auto" w:sz="6" w:space="0"/>
              <w:left w:val="nil"/>
              <w:bottom w:val="outset" w:color="auto" w:sz="6" w:space="0"/>
              <w:right w:val="outset" w:color="auto" w:sz="6" w:space="0"/>
            </w:tcBorders>
            <w:shd w:val="clear"/>
            <w:tcMar>
              <w:left w:w="75" w:type="dxa"/>
              <w:right w:w="75" w:type="dxa"/>
            </w:tcMar>
            <w:vAlign w:val="center"/>
          </w:tcPr>
          <w:p>
            <w:r>
              <w:t>总计</w:t>
            </w:r>
          </w:p>
        </w:tc>
        <w:tc>
          <w:tcPr>
            <w:tcW w:w="75" w:type="dxa"/>
            <w:tcBorders>
              <w:top w:val="outset" w:color="auto" w:sz="6" w:space="0"/>
              <w:left w:val="nil"/>
              <w:bottom w:val="outset" w:color="auto" w:sz="6" w:space="0"/>
              <w:right w:val="outset" w:color="auto" w:sz="6" w:space="0"/>
            </w:tcBorders>
            <w:shd w:val="clear"/>
            <w:tcMar>
              <w:left w:w="75" w:type="dxa"/>
              <w:right w:w="75" w:type="dxa"/>
            </w:tcMar>
            <w:vAlign w:val="center"/>
          </w:tcPr>
          <w:p>
            <w:r>
              <w:t>结果维持</w:t>
            </w:r>
          </w:p>
        </w:tc>
        <w:tc>
          <w:tcPr>
            <w:tcW w:w="195" w:type="dxa"/>
            <w:tcBorders>
              <w:top w:val="outset" w:color="auto" w:sz="6" w:space="0"/>
              <w:left w:val="nil"/>
              <w:bottom w:val="outset" w:color="auto" w:sz="6" w:space="0"/>
              <w:right w:val="outset" w:color="auto" w:sz="6" w:space="0"/>
            </w:tcBorders>
            <w:shd w:val="clear"/>
            <w:tcMar>
              <w:left w:w="75" w:type="dxa"/>
              <w:right w:w="75" w:type="dxa"/>
            </w:tcMar>
            <w:vAlign w:val="center"/>
          </w:tcPr>
          <w:p>
            <w:r>
              <w:t>结果纠正</w:t>
            </w:r>
          </w:p>
        </w:tc>
        <w:tc>
          <w:tcPr>
            <w:tcW w:w="195" w:type="dxa"/>
            <w:tcBorders>
              <w:top w:val="outset" w:color="auto" w:sz="6" w:space="0"/>
              <w:left w:val="nil"/>
              <w:bottom w:val="outset" w:color="auto" w:sz="6" w:space="0"/>
              <w:right w:val="outset" w:color="auto" w:sz="6" w:space="0"/>
            </w:tcBorders>
            <w:shd w:val="clear"/>
            <w:tcMar>
              <w:left w:w="75" w:type="dxa"/>
              <w:right w:w="75" w:type="dxa"/>
            </w:tcMar>
            <w:vAlign w:val="center"/>
          </w:tcPr>
          <w:p>
            <w:r>
              <w:t>其他结果</w:t>
            </w:r>
          </w:p>
        </w:tc>
        <w:tc>
          <w:tcPr>
            <w:tcW w:w="195" w:type="dxa"/>
            <w:tcBorders>
              <w:top w:val="outset" w:color="auto" w:sz="6" w:space="0"/>
              <w:left w:val="nil"/>
              <w:bottom w:val="outset" w:color="auto" w:sz="6" w:space="0"/>
              <w:right w:val="outset" w:color="auto" w:sz="6" w:space="0"/>
            </w:tcBorders>
            <w:shd w:val="clear"/>
            <w:tcMar>
              <w:left w:w="75" w:type="dxa"/>
              <w:right w:w="75" w:type="dxa"/>
            </w:tcMar>
            <w:vAlign w:val="center"/>
          </w:tcPr>
          <w:p>
            <w:r>
              <w:t>尚未审结</w:t>
            </w:r>
          </w:p>
        </w:tc>
        <w:tc>
          <w:tcPr>
            <w:tcW w:w="1320" w:type="dxa"/>
            <w:tcBorders>
              <w:top w:val="outset" w:color="auto" w:sz="6" w:space="0"/>
              <w:left w:val="nil"/>
              <w:bottom w:val="outset" w:color="auto" w:sz="6" w:space="0"/>
              <w:right w:val="outset" w:color="auto" w:sz="6" w:space="0"/>
            </w:tcBorders>
            <w:shd w:val="clear"/>
            <w:tcMar>
              <w:left w:w="75" w:type="dxa"/>
              <w:right w:w="75" w:type="dxa"/>
            </w:tcMar>
            <w:vAlign w:val="center"/>
          </w:tcPr>
          <w:p>
            <w: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65" w:type="dxa"/>
            <w:tcBorders>
              <w:top w:val="nil"/>
              <w:left w:val="outset" w:color="auto" w:sz="6" w:space="0"/>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245" w:type="dxa"/>
            <w:tcBorders>
              <w:top w:val="nil"/>
              <w:left w:val="nil"/>
              <w:bottom w:val="outset" w:color="auto" w:sz="6" w:space="0"/>
              <w:right w:val="outset" w:color="auto" w:sz="6" w:space="0"/>
            </w:tcBorders>
            <w:shd w:val="clear"/>
            <w:tcMar>
              <w:left w:w="75" w:type="dxa"/>
              <w:right w:w="75" w:type="dxa"/>
            </w:tcMar>
            <w:vAlign w:val="center"/>
          </w:tcPr>
          <w:p>
            <w:r>
              <w:t>0</w:t>
            </w:r>
          </w:p>
        </w:tc>
        <w:tc>
          <w:tcPr>
            <w:tcW w:w="7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1</w:t>
            </w:r>
          </w:p>
        </w:tc>
        <w:tc>
          <w:tcPr>
            <w:tcW w:w="1080" w:type="dxa"/>
            <w:tcBorders>
              <w:top w:val="nil"/>
              <w:left w:val="nil"/>
              <w:bottom w:val="outset" w:color="auto" w:sz="6" w:space="0"/>
              <w:right w:val="outset" w:color="auto" w:sz="6" w:space="0"/>
            </w:tcBorders>
            <w:shd w:val="clear"/>
            <w:tcMar>
              <w:left w:w="75" w:type="dxa"/>
              <w:right w:w="75" w:type="dxa"/>
            </w:tcMar>
            <w:vAlign w:val="center"/>
          </w:tcPr>
          <w:p>
            <w:r>
              <w:t>1</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95" w:type="dxa"/>
            <w:tcBorders>
              <w:top w:val="nil"/>
              <w:left w:val="nil"/>
              <w:bottom w:val="outset" w:color="auto" w:sz="6" w:space="0"/>
              <w:right w:val="outset" w:color="auto" w:sz="6" w:space="0"/>
            </w:tcBorders>
            <w:shd w:val="clear"/>
            <w:tcMar>
              <w:left w:w="75" w:type="dxa"/>
              <w:right w:w="75" w:type="dxa"/>
            </w:tcMar>
            <w:vAlign w:val="center"/>
          </w:tcPr>
          <w:p>
            <w:r>
              <w:t>0</w:t>
            </w:r>
          </w:p>
        </w:tc>
        <w:tc>
          <w:tcPr>
            <w:tcW w:w="1320" w:type="dxa"/>
            <w:tcBorders>
              <w:top w:val="nil"/>
              <w:left w:val="nil"/>
              <w:bottom w:val="outset" w:color="auto" w:sz="6" w:space="0"/>
              <w:right w:val="outset" w:color="auto" w:sz="6" w:space="0"/>
            </w:tcBorders>
            <w:shd w:val="clear"/>
            <w:tcMar>
              <w:left w:w="75" w:type="dxa"/>
              <w:right w:w="75" w:type="dxa"/>
            </w:tcMar>
            <w:vAlign w:val="center"/>
          </w:tcPr>
          <w:p>
            <w:r>
              <w:t>0</w:t>
            </w:r>
          </w:p>
        </w:tc>
      </w:tr>
    </w:tbl>
    <w:p>
      <w:pPr>
        <w:rPr>
          <w:rFonts w:hint="eastAsia" w:ascii="仿宋" w:hAnsi="仿宋" w:eastAsia="仿宋" w:cs="仿宋"/>
          <w:b/>
          <w:bCs/>
          <w:sz w:val="28"/>
          <w:szCs w:val="28"/>
        </w:rPr>
      </w:pPr>
      <w:r>
        <w:rPr>
          <w:rFonts w:hint="eastAsia" w:ascii="仿宋" w:hAnsi="仿宋" w:eastAsia="仿宋" w:cs="仿宋"/>
          <w:b/>
          <w:bCs/>
          <w:sz w:val="28"/>
          <w:szCs w:val="28"/>
        </w:rPr>
        <w:t>五、存在的主要问题及改进情况</w:t>
      </w:r>
    </w:p>
    <w:p>
      <w:pPr>
        <w:rPr>
          <w:rFonts w:hint="eastAsia" w:ascii="仿宋" w:hAnsi="仿宋" w:eastAsia="仿宋" w:cs="仿宋"/>
          <w:sz w:val="28"/>
          <w:szCs w:val="28"/>
        </w:rPr>
      </w:pPr>
      <w:r>
        <w:rPr>
          <w:rFonts w:hint="eastAsia" w:ascii="仿宋" w:hAnsi="仿宋" w:eastAsia="仿宋" w:cs="仿宋"/>
          <w:sz w:val="28"/>
          <w:szCs w:val="28"/>
        </w:rPr>
        <w:t>官桥镇2023年政府信息公开工作虽然取得较好成效，面对新形势、新要求，但仍然存在不少困难和问题。主要表现在：一是政务信息公开工作认识不够全面、学习不够；二是政府信息公开内容的收集和汇总等方面与群众需求有待进一步提升；三是政府信息公开宣传力度不够，公众参与度不够高，公开的内容和形式还欠丰富。</w:t>
      </w:r>
    </w:p>
    <w:p>
      <w:pPr>
        <w:rPr>
          <w:rFonts w:hint="eastAsia" w:ascii="仿宋" w:hAnsi="仿宋" w:eastAsia="仿宋" w:cs="仿宋"/>
          <w:sz w:val="28"/>
          <w:szCs w:val="28"/>
        </w:rPr>
      </w:pPr>
      <w:r>
        <w:rPr>
          <w:rFonts w:hint="eastAsia" w:ascii="仿宋" w:hAnsi="仿宋" w:eastAsia="仿宋" w:cs="仿宋"/>
          <w:sz w:val="28"/>
          <w:szCs w:val="28"/>
        </w:rPr>
        <w:t>针对以上问题，2024年官桥镇将着重在以下几方面进行改进：</w:t>
      </w:r>
    </w:p>
    <w:p>
      <w:pPr>
        <w:rPr>
          <w:rFonts w:hint="eastAsia" w:ascii="仿宋" w:hAnsi="仿宋" w:eastAsia="仿宋" w:cs="仿宋"/>
          <w:sz w:val="28"/>
          <w:szCs w:val="28"/>
        </w:rPr>
      </w:pPr>
      <w:r>
        <w:rPr>
          <w:rFonts w:hint="eastAsia" w:ascii="仿宋" w:hAnsi="仿宋" w:eastAsia="仿宋" w:cs="仿宋"/>
          <w:sz w:val="28"/>
          <w:szCs w:val="28"/>
        </w:rPr>
        <w:t>一要强化领导，规范信息公开。加大对政务信息公开力度，促进公开工作不断落到实处。</w:t>
      </w:r>
    </w:p>
    <w:p>
      <w:pPr>
        <w:rPr>
          <w:rFonts w:hint="eastAsia" w:ascii="仿宋" w:hAnsi="仿宋" w:eastAsia="仿宋" w:cs="仿宋"/>
          <w:sz w:val="28"/>
          <w:szCs w:val="28"/>
        </w:rPr>
      </w:pPr>
      <w:r>
        <w:rPr>
          <w:rFonts w:hint="eastAsia" w:ascii="仿宋" w:hAnsi="仿宋" w:eastAsia="仿宋" w:cs="仿宋"/>
          <w:sz w:val="28"/>
          <w:szCs w:val="28"/>
        </w:rPr>
        <w:t>二要学懂弄通，加强业务学习。提高业务能力，切实做到入脑入心、走深走实。</w:t>
      </w:r>
    </w:p>
    <w:p>
      <w:pPr>
        <w:rPr>
          <w:rFonts w:hint="eastAsia" w:ascii="仿宋" w:hAnsi="仿宋" w:eastAsia="仿宋" w:cs="仿宋"/>
          <w:sz w:val="28"/>
          <w:szCs w:val="28"/>
        </w:rPr>
      </w:pPr>
      <w:r>
        <w:rPr>
          <w:rFonts w:hint="eastAsia" w:ascii="仿宋" w:hAnsi="仿宋" w:eastAsia="仿宋" w:cs="仿宋"/>
          <w:sz w:val="28"/>
          <w:szCs w:val="28"/>
        </w:rPr>
        <w:t>三要强化宣传，充实工作人员。不断提高政府信息公开管理水平，确保各项工作任务完成。</w:t>
      </w:r>
    </w:p>
    <w:p>
      <w:pPr>
        <w:rPr>
          <w:rFonts w:hint="eastAsia" w:ascii="仿宋" w:hAnsi="仿宋" w:eastAsia="仿宋" w:cs="仿宋"/>
          <w:sz w:val="28"/>
          <w:szCs w:val="28"/>
        </w:rPr>
      </w:pPr>
      <w:r>
        <w:rPr>
          <w:rFonts w:hint="eastAsia" w:ascii="仿宋" w:hAnsi="仿宋" w:eastAsia="仿宋" w:cs="仿宋"/>
          <w:sz w:val="28"/>
          <w:szCs w:val="28"/>
        </w:rPr>
        <w:t>六、其他需要报告的事项</w:t>
      </w:r>
    </w:p>
    <w:p>
      <w:pPr>
        <w:rPr>
          <w:rFonts w:hint="eastAsia" w:ascii="仿宋" w:hAnsi="仿宋" w:eastAsia="仿宋" w:cs="仿宋"/>
          <w:sz w:val="28"/>
          <w:szCs w:val="28"/>
        </w:rPr>
      </w:pPr>
      <w:r>
        <w:rPr>
          <w:rFonts w:hint="eastAsia" w:ascii="仿宋" w:hAnsi="仿宋" w:eastAsia="仿宋" w:cs="仿宋"/>
          <w:sz w:val="28"/>
          <w:szCs w:val="28"/>
        </w:rPr>
        <w:t>1.依据《政府信息公开信息处理费管理办法》，2023年官桥镇未收取信息处理费。</w:t>
      </w:r>
    </w:p>
    <w:p>
      <w:pPr>
        <w:rPr>
          <w:rFonts w:hint="eastAsia" w:ascii="仿宋" w:hAnsi="仿宋" w:eastAsia="仿宋" w:cs="仿宋"/>
          <w:sz w:val="28"/>
          <w:szCs w:val="28"/>
        </w:rPr>
      </w:pPr>
      <w:r>
        <w:rPr>
          <w:rFonts w:hint="eastAsia" w:ascii="仿宋" w:hAnsi="仿宋" w:eastAsia="仿宋" w:cs="仿宋"/>
          <w:sz w:val="28"/>
          <w:szCs w:val="28"/>
        </w:rPr>
        <w:t>2.本行政机关落实上级年度政务公开工作要点情况：按照2023年滕州市政务公开总要求，进一步规范了政务信息管理，做好了法定公开内容日常维护等。</w:t>
      </w:r>
    </w:p>
    <w:p>
      <w:pPr>
        <w:rPr>
          <w:rFonts w:hint="eastAsia" w:ascii="仿宋" w:hAnsi="仿宋" w:eastAsia="仿宋" w:cs="仿宋"/>
          <w:sz w:val="28"/>
          <w:szCs w:val="28"/>
        </w:rPr>
      </w:pPr>
      <w:r>
        <w:rPr>
          <w:rFonts w:hint="eastAsia" w:ascii="仿宋" w:hAnsi="仿宋" w:eastAsia="仿宋" w:cs="仿宋"/>
          <w:sz w:val="28"/>
          <w:szCs w:val="28"/>
        </w:rPr>
        <w:t>3.2023年度官桥镇人大代表建议和政协提案办理情况：2023年，滕州市官桥镇共办理0件枣庄市人大议案、0件枣庄政协提案，1件滕州人大议案，关于加快官桥中学老教工宿舍楼拆除，建设校园花园的建议，目前已拆除，建成校园成语花园；0件滕州政协提案，均已办结。</w:t>
      </w:r>
    </w:p>
    <w:p>
      <w:pPr>
        <w:rPr>
          <w:rFonts w:hint="eastAsia" w:ascii="仿宋" w:hAnsi="仿宋" w:eastAsia="仿宋" w:cs="仿宋"/>
          <w:sz w:val="28"/>
          <w:szCs w:val="28"/>
        </w:rPr>
      </w:pPr>
      <w:r>
        <w:rPr>
          <w:rFonts w:hint="eastAsia" w:ascii="仿宋" w:hAnsi="仿宋" w:eastAsia="仿宋" w:cs="仿宋"/>
          <w:sz w:val="28"/>
          <w:szCs w:val="28"/>
        </w:rPr>
        <w:t>4.本行政机关年度政务公开工作创新情况：</w:t>
      </w:r>
    </w:p>
    <w:p>
      <w:pPr>
        <w:rPr>
          <w:rFonts w:hint="eastAsia" w:ascii="仿宋" w:hAnsi="仿宋" w:eastAsia="仿宋" w:cs="仿宋"/>
          <w:sz w:val="28"/>
          <w:szCs w:val="28"/>
        </w:rPr>
      </w:pPr>
      <w:r>
        <w:rPr>
          <w:rFonts w:hint="eastAsia" w:ascii="仿宋" w:hAnsi="仿宋" w:eastAsia="仿宋" w:cs="仿宋"/>
          <w:sz w:val="28"/>
          <w:szCs w:val="28"/>
        </w:rPr>
        <w:t>一是搭建平台，惠民服务“零距离”。将各领导的行政职能、领导分工、办事程序等内容进行公开，以信息化、新媒体手段为载体，以政务、信息服务群众为主体，为党建宣传、服务惠民、综合治理等方面提供更加舒适、便捷的应用场景。</w:t>
      </w:r>
    </w:p>
    <w:p>
      <w:pPr>
        <w:rPr>
          <w:rFonts w:hint="eastAsia" w:ascii="仿宋" w:hAnsi="仿宋" w:eastAsia="仿宋" w:cs="仿宋"/>
          <w:sz w:val="28"/>
          <w:szCs w:val="28"/>
        </w:rPr>
      </w:pPr>
      <w:r>
        <w:rPr>
          <w:rFonts w:hint="eastAsia" w:ascii="仿宋" w:hAnsi="仿宋" w:eastAsia="仿宋" w:cs="仿宋"/>
          <w:sz w:val="28"/>
          <w:szCs w:val="28"/>
        </w:rPr>
        <w:t>二是数据归集，共建共享“一条线”。借助平台数据归集与共享能力，可视化做到全面掌握指标数据和工作进展，基本实现各个平台的共建共享，智慧应用。</w:t>
      </w:r>
    </w:p>
    <w:p>
      <w:pPr>
        <w:rPr>
          <w:rFonts w:hint="eastAsia" w:ascii="仿宋" w:hAnsi="仿宋" w:eastAsia="仿宋" w:cs="仿宋"/>
          <w:sz w:val="28"/>
          <w:szCs w:val="28"/>
        </w:rPr>
      </w:pPr>
      <w:r>
        <w:rPr>
          <w:rFonts w:hint="eastAsia" w:ascii="仿宋" w:hAnsi="仿宋" w:eastAsia="仿宋" w:cs="仿宋"/>
          <w:sz w:val="28"/>
          <w:szCs w:val="28"/>
        </w:rPr>
        <w:t>三是结果运用，提升质效“一盘棋”。为各项工作科学决策提供依据，推动全镇工作质效显著提升。</w:t>
      </w:r>
    </w:p>
    <w:p>
      <w:pPr>
        <w:rPr>
          <w:rFonts w:hint="eastAsia" w:ascii="仿宋" w:hAnsi="仿宋" w:eastAsia="仿宋" w:cs="仿宋"/>
          <w:sz w:val="28"/>
          <w:szCs w:val="28"/>
        </w:rPr>
      </w:pPr>
      <w:r>
        <w:rPr>
          <w:rFonts w:hint="eastAsia" w:ascii="仿宋" w:hAnsi="仿宋" w:eastAsia="仿宋" w:cs="仿宋"/>
          <w:sz w:val="28"/>
          <w:szCs w:val="28"/>
        </w:rPr>
        <w:t>5.本行政机关政府信息公开工作年度报告数据统计需要说明的事项：无</w:t>
      </w:r>
    </w:p>
    <w:p>
      <w:pPr>
        <w:rPr>
          <w:rFonts w:hint="eastAsia" w:ascii="仿宋" w:hAnsi="仿宋" w:eastAsia="仿宋" w:cs="仿宋"/>
          <w:sz w:val="28"/>
          <w:szCs w:val="28"/>
        </w:rPr>
      </w:pPr>
      <w:r>
        <w:rPr>
          <w:rFonts w:hint="eastAsia" w:ascii="仿宋" w:hAnsi="仿宋" w:eastAsia="仿宋" w:cs="仿宋"/>
          <w:sz w:val="28"/>
          <w:szCs w:val="28"/>
        </w:rPr>
        <w:t>6.本行政机关需要报告的其他事项：无</w:t>
      </w:r>
    </w:p>
    <w:p>
      <w:pPr>
        <w:rPr>
          <w:rFonts w:hint="eastAsia" w:ascii="仿宋" w:hAnsi="仿宋" w:eastAsia="仿宋" w:cs="仿宋"/>
          <w:sz w:val="28"/>
          <w:szCs w:val="28"/>
        </w:rPr>
      </w:pPr>
      <w:r>
        <w:rPr>
          <w:rFonts w:hint="eastAsia" w:ascii="仿宋" w:hAnsi="仿宋" w:eastAsia="仿宋" w:cs="仿宋"/>
          <w:sz w:val="28"/>
          <w:szCs w:val="28"/>
        </w:rPr>
        <w:t>7.其他有关文件专门要求通过政府信息公开工作年度报告予以报告的事项：无</w:t>
      </w:r>
    </w:p>
    <w:p>
      <w:pPr>
        <w:rPr>
          <w:rFonts w:hint="eastAsia" w:ascii="仿宋" w:hAnsi="仿宋" w:eastAsia="仿宋" w:cs="仿宋"/>
          <w:sz w:val="28"/>
          <w:szCs w:val="28"/>
        </w:rPr>
      </w:pPr>
      <w:r>
        <w:rPr>
          <w:rFonts w:hint="eastAsia" w:ascii="仿宋" w:hAnsi="仿宋" w:eastAsia="仿宋" w:cs="仿宋"/>
          <w:sz w:val="28"/>
          <w:szCs w:val="28"/>
        </w:rPr>
        <w:t>如对本报告有任何疑问，请与官桥镇人民政府信息公开办公室联系。（地址：山东省滕州市官桥镇人民政府党政办公室，联系电话：0632—2233143） </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OWEyMGExOTY3MjVmNWM1MGI4NzM1NzZhMTFhMDQifQ=="/>
  </w:docVars>
  <w:rsids>
    <w:rsidRoot w:val="00000000"/>
    <w:rsid w:val="79495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2024-01-30T02:52:03Z</dcterms:created>
  <dc:creator>Administrator</dc:creator>
  <cp:lastModifiedBy>扬帆未来</cp:lastModifiedBy>
  <dcterms:modified xsi:type="dcterms:W3CDTF">2024-01-30T02:57:40Z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07EE170107654F0E9C97A772CCA28220_12</vt:lpwstr>
  </property>
</Properties>
</file>