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562" w:lineRule="atLeast"/>
        <w:jc w:val="center"/>
        <w:rPr>
          <w:rFonts w:hint="eastAsia" w:ascii="华文中宋" w:hAnsi="华文中宋" w:eastAsia="华文中宋" w:cs="华文中宋"/>
          <w:b w:val="0"/>
          <w:bCs w:val="0"/>
          <w:i w:val="0"/>
          <w:iCs w:val="0"/>
          <w:color w:val="000000"/>
          <w:spacing w:val="0"/>
          <w:sz w:val="36"/>
          <w:szCs w:val="36"/>
          <w:bdr w:val="none" w:color="auto" w:sz="0" w:space="0"/>
          <w:shd w:val="clear" w:fill="FFFFFF"/>
        </w:rPr>
      </w:pPr>
      <w:r>
        <w:rPr>
          <w:rFonts w:hint="eastAsia" w:ascii="华文中宋" w:hAnsi="华文中宋" w:eastAsia="华文中宋" w:cs="华文中宋"/>
          <w:b w:val="0"/>
          <w:bCs w:val="0"/>
          <w:i w:val="0"/>
          <w:iCs w:val="0"/>
          <w:color w:val="000000"/>
          <w:spacing w:val="0"/>
          <w:sz w:val="36"/>
          <w:szCs w:val="36"/>
          <w:bdr w:val="none" w:color="auto" w:sz="0" w:space="0"/>
          <w:shd w:val="clear" w:fill="FFFFFF"/>
        </w:rPr>
        <w:t>龙泉街道2023年度政府信息公开工作年度报告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line="560" w:lineRule="exact"/>
        <w:ind w:firstLine="600" w:firstLineChars="200"/>
        <w:jc w:val="left"/>
        <w:textAlignment w:val="auto"/>
        <w:rPr>
          <w:rFonts w:hint="eastAsia" w:ascii="仿宋_GB2312" w:hAnsi="仿宋_GB2312" w:eastAsia="仿宋_GB2312" w:cs="仿宋_GB2312"/>
          <w:b w:val="0"/>
          <w:bCs w:val="0"/>
          <w:i w:val="0"/>
          <w:iCs w:val="0"/>
          <w:color w:val="000000"/>
          <w:spacing w:val="0"/>
          <w:sz w:val="30"/>
          <w:szCs w:val="30"/>
          <w:bdr w:val="none" w:color="auto" w:sz="0" w:space="0"/>
          <w:shd w:val="clear" w:fill="FFFFFF"/>
        </w:rPr>
      </w:pPr>
      <w:r>
        <w:rPr>
          <w:rFonts w:hint="eastAsia" w:ascii="仿宋_GB2312" w:hAnsi="仿宋_GB2312" w:eastAsia="仿宋_GB2312" w:cs="仿宋_GB2312"/>
          <w:b w:val="0"/>
          <w:bCs w:val="0"/>
          <w:i w:val="0"/>
          <w:iCs w:val="0"/>
          <w:color w:val="000000"/>
          <w:spacing w:val="0"/>
          <w:sz w:val="30"/>
          <w:szCs w:val="30"/>
          <w:bdr w:val="none" w:color="auto" w:sz="0" w:space="0"/>
          <w:shd w:val="clear" w:fill="FFFFFF"/>
        </w:rPr>
        <w:t>按照《中华人民共和国政府信息公开条例》和《国务院办公厅政府信息与政务公开办公室关于印发&lt;中华人民共和国政府信息公开工作年度报告格式&gt;的通知》（国办公开办函〔2021〕30号）以及有关文件要求，结合滕州市龙泉街道办事处2023年度信息公开工作实际，编制了本报告。报告主要内容包括：总体情况、主动公开政府信息情况、收到和处理政府信息公开申请情况、政府信息公开行政复议、行政诉讼情况、存在的主要问题和改进情况和其他需要报告的事项。现向社会公开滕州市龙泉街道办事处2023年政府信息公开工作年度报告。本报告所列数据的统计时限自2023年1月1日起至2023年12月31日止。</w:t>
      </w:r>
    </w:p>
    <w:p>
      <w:pPr>
        <w:pStyle w:val="3"/>
        <w:keepNext w:val="0"/>
        <w:keepLines w:val="0"/>
        <w:widowControl/>
        <w:suppressLineNumbers w:val="0"/>
        <w:spacing w:before="274" w:beforeAutospacing="0" w:after="274" w:afterAutospacing="0" w:line="374" w:lineRule="atLeast"/>
        <w:jc w:val="center"/>
      </w:pPr>
      <w:r>
        <w:drawing>
          <wp:inline distT="0" distB="0" distL="114300" distR="114300">
            <wp:extent cx="5267325" cy="3305175"/>
            <wp:effectExtent l="0" t="0" r="9525" b="952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67325" cy="3305175"/>
                    </a:xfrm>
                    <a:prstGeom prst="rect">
                      <a:avLst/>
                    </a:prstGeom>
                    <a:noFill/>
                    <a:ln w="9525">
                      <a:noFill/>
                    </a:ln>
                  </pic:spPr>
                </pic:pic>
              </a:graphicData>
            </a:graphic>
          </wp:inline>
        </w:drawing>
      </w:r>
      <w:bookmarkStart w:id="0" w:name="图片 8"/>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0" w:afterAutospacing="0" w:line="605" w:lineRule="atLeast"/>
        <w:ind w:left="0" w:firstLine="634"/>
        <w:jc w:val="left"/>
      </w:pPr>
      <w:r>
        <w:rPr>
          <w:rFonts w:ascii="黑体" w:hAnsi="宋体" w:eastAsia="黑体" w:cs="黑体"/>
          <w:b w:val="0"/>
          <w:bCs w:val="0"/>
          <w:i w:val="0"/>
          <w:iCs w:val="0"/>
          <w:color w:val="000000"/>
          <w:spacing w:val="0"/>
          <w:sz w:val="32"/>
          <w:szCs w:val="32"/>
          <w:bdr w:val="none" w:color="auto" w:sz="0" w:space="0"/>
          <w:shd w:val="clear"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0" w:afterAutospacing="0" w:line="605" w:lineRule="atLeast"/>
        <w:ind w:left="0" w:firstLine="634"/>
        <w:jc w:val="left"/>
      </w:pPr>
      <w:r>
        <w:rPr>
          <w:rFonts w:hint="eastAsia" w:ascii="仿宋_GB2312" w:hAnsi="宋体" w:eastAsia="仿宋_GB2312" w:cs="仿宋_GB2312"/>
          <w:b w:val="0"/>
          <w:bCs w:val="0"/>
          <w:i w:val="0"/>
          <w:iCs w:val="0"/>
          <w:color w:val="000000"/>
          <w:spacing w:val="0"/>
          <w:sz w:val="32"/>
          <w:szCs w:val="32"/>
          <w:bdr w:val="none" w:color="auto" w:sz="0" w:space="0"/>
          <w:shd w:val="clear" w:fill="FFFFFF"/>
          <w:lang w:eastAsia="zh-CN"/>
        </w:rPr>
        <w:t>为深入贯彻落实党的二十大精神，进一步加强政府信息公开工作，</w:t>
      </w:r>
      <w:r>
        <w:rPr>
          <w:rFonts w:hint="eastAsia" w:ascii="仿宋_GB2312" w:hAnsi="宋体" w:eastAsia="仿宋_GB2312" w:cs="仿宋_GB2312"/>
          <w:b w:val="0"/>
          <w:bCs w:val="0"/>
          <w:i w:val="0"/>
          <w:iCs w:val="0"/>
          <w:sz w:val="32"/>
          <w:szCs w:val="32"/>
          <w:bdr w:val="none" w:color="auto" w:sz="0" w:space="0"/>
          <w:shd w:val="clear" w:fill="FFFFFF"/>
        </w:rPr>
        <w:t>2023年，</w:t>
      </w:r>
      <w:r>
        <w:rPr>
          <w:rFonts w:hint="eastAsia" w:ascii="仿宋_GB2312" w:hAnsi="宋体" w:eastAsia="仿宋_GB2312" w:cs="仿宋_GB2312"/>
          <w:b w:val="0"/>
          <w:bCs w:val="0"/>
          <w:i w:val="0"/>
          <w:iCs w:val="0"/>
          <w:color w:val="000000"/>
          <w:spacing w:val="0"/>
          <w:sz w:val="32"/>
          <w:szCs w:val="32"/>
          <w:bdr w:val="none" w:color="auto" w:sz="0" w:space="0"/>
          <w:shd w:val="clear" w:fill="FFFFFF"/>
        </w:rPr>
        <w:t>龙泉街道按照市委市政府统一部署，认真贯彻落实《中华人民共和国政府信息公开条例》，按照《条例》有关规定，加大政府信息主动公开力度，不断创新公开形式，深化公开内容，拓宽公开渠道，全面提升政府信息公开水平。结合龙泉街道实际，现将我街道信息公开工作情况总结如下：</w:t>
      </w:r>
    </w:p>
    <w:p>
      <w:pPr>
        <w:pStyle w:val="3"/>
        <w:keepNext w:val="0"/>
        <w:keepLines w:val="0"/>
        <w:widowControl/>
        <w:suppressLineNumbers w:val="0"/>
        <w:spacing w:before="274" w:beforeAutospacing="0" w:after="274" w:afterAutospacing="0" w:line="374" w:lineRule="atLeast"/>
        <w:ind w:left="547" w:hanging="547"/>
        <w:jc w:val="center"/>
      </w:pPr>
      <w:r>
        <w:drawing>
          <wp:inline distT="0" distB="0" distL="114300" distR="114300">
            <wp:extent cx="5267325" cy="37242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67325" cy="3724275"/>
                    </a:xfrm>
                    <a:prstGeom prst="rect">
                      <a:avLst/>
                    </a:prstGeom>
                    <a:noFill/>
                    <a:ln w="9525">
                      <a:noFill/>
                    </a:ln>
                  </pic:spPr>
                </pic:pic>
              </a:graphicData>
            </a:graphic>
          </wp:inline>
        </w:drawing>
      </w:r>
      <w:bookmarkStart w:id="1" w:name="图片 12"/>
      <w:bookmarkEnd w:id="1"/>
    </w:p>
    <w:p>
      <w:pPr>
        <w:pStyle w:val="3"/>
        <w:keepNext w:val="0"/>
        <w:keepLines w:val="0"/>
        <w:widowControl/>
        <w:suppressLineNumbers w:val="0"/>
        <w:spacing w:before="274" w:beforeAutospacing="0" w:after="274" w:afterAutospacing="0" w:line="374" w:lineRule="atLeast"/>
        <w:ind w:left="547" w:hanging="547"/>
        <w:jc w:val="both"/>
      </w:pPr>
      <w:r>
        <w:rPr>
          <w:rFonts w:ascii="方正楷体_GB2312" w:hAnsi="方正楷体_GB2312" w:eastAsia="方正楷体_GB2312" w:cs="方正楷体_GB2312"/>
          <w:i w:val="0"/>
          <w:iCs w:val="0"/>
          <w:color w:val="000000"/>
          <w:spacing w:val="0"/>
          <w:sz w:val="32"/>
          <w:szCs w:val="32"/>
        </w:rPr>
        <w:t>   （一）政府信息主动公开情况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5" w:lineRule="atLeast"/>
        <w:ind w:left="0" w:firstLine="634"/>
        <w:jc w:val="both"/>
      </w:pPr>
      <w:r>
        <w:rPr>
          <w:rFonts w:hint="eastAsia" w:ascii="仿宋_GB2312" w:hAnsi="宋体" w:eastAsia="仿宋_GB2312" w:cs="仿宋_GB2312"/>
          <w:color w:val="000000"/>
          <w:sz w:val="32"/>
          <w:szCs w:val="32"/>
          <w:bdr w:val="none" w:color="auto" w:sz="0" w:space="0"/>
          <w:shd w:val="clear" w:fill="FFFFFF"/>
          <w:lang w:eastAsia="zh-CN"/>
        </w:rPr>
        <w:t>龙泉街道通过滕州市政府信息公开、滕州市龙泉街道政府网站、微信等多种途径，及时准确地公开政府信息，共累计更新发布政务信息</w:t>
      </w:r>
      <w:r>
        <w:rPr>
          <w:rFonts w:hint="eastAsia" w:ascii="仿宋_GB2312" w:hAnsi="宋体" w:eastAsia="仿宋_GB2312" w:cs="仿宋_GB2312"/>
          <w:sz w:val="32"/>
          <w:szCs w:val="32"/>
          <w:bdr w:val="none" w:color="auto" w:sz="0" w:space="0"/>
          <w:shd w:val="clear" w:fill="FFFFFF"/>
        </w:rPr>
        <w:t>6000余篇，滕州市龙泉街道政府网站3200余篇，通过微信、微博公众平台发布信息2800余条。</w:t>
      </w:r>
    </w:p>
    <w:p>
      <w:pPr>
        <w:pStyle w:val="3"/>
        <w:keepNext w:val="0"/>
        <w:keepLines w:val="0"/>
        <w:widowControl/>
        <w:suppressLineNumbers w:val="0"/>
        <w:spacing w:before="274" w:beforeAutospacing="0" w:after="274" w:afterAutospacing="0" w:line="374" w:lineRule="atLeast"/>
        <w:jc w:val="center"/>
        <w:rPr>
          <w:rFonts w:hint="eastAsia" w:ascii="仿宋_GB2312" w:eastAsia="仿宋_GB2312" w:cs="仿宋_GB2312"/>
          <w:sz w:val="31"/>
          <w:szCs w:val="31"/>
          <w:shd w:val="clear" w:fill="FFFFFF"/>
        </w:rPr>
      </w:pPr>
      <w:r>
        <w:drawing>
          <wp:inline distT="0" distB="0" distL="114300" distR="114300">
            <wp:extent cx="4448175" cy="315277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448175" cy="3152775"/>
                    </a:xfrm>
                    <a:prstGeom prst="rect">
                      <a:avLst/>
                    </a:prstGeom>
                    <a:noFill/>
                    <a:ln w="9525">
                      <a:noFill/>
                    </a:ln>
                  </pic:spPr>
                </pic:pic>
              </a:graphicData>
            </a:graphic>
          </wp:inline>
        </w:drawing>
      </w:r>
      <w:bookmarkStart w:id="2" w:name="图片 10"/>
      <w:bookmarkEnd w:id="2"/>
      <w:r>
        <w:rPr>
          <w:rFonts w:hint="eastAsia" w:ascii="仿宋_GB2312" w:eastAsia="仿宋_GB2312" w:cs="仿宋_GB2312"/>
          <w:sz w:val="31"/>
          <w:szCs w:val="31"/>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560" w:lineRule="exact"/>
        <w:ind w:firstLine="630" w:firstLineChars="200"/>
        <w:jc w:val="left"/>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一是突出重点领域信息公开。2023年，主动公开重点领域信息共22条。</w:t>
      </w:r>
    </w:p>
    <w:p>
      <w:pPr>
        <w:pStyle w:val="3"/>
        <w:keepNext w:val="0"/>
        <w:keepLines w:val="0"/>
        <w:widowControl/>
        <w:suppressLineNumbers w:val="0"/>
        <w:spacing w:before="274" w:beforeAutospacing="0" w:after="274" w:afterAutospacing="0" w:line="562" w:lineRule="atLeast"/>
        <w:jc w:val="both"/>
      </w:pPr>
      <w:r>
        <w:rPr>
          <w:rFonts w:hint="eastAsia" w:ascii="仿宋_GB2312" w:eastAsia="仿宋_GB2312" w:cs="仿宋_GB2312"/>
          <w:color w:val="000000"/>
          <w:sz w:val="32"/>
          <w:szCs w:val="32"/>
          <w:shd w:val="clear" w:fill="FFFFFF"/>
        </w:rPr>
        <w:drawing>
          <wp:inline distT="0" distB="0" distL="114300" distR="114300">
            <wp:extent cx="5264785" cy="3424555"/>
            <wp:effectExtent l="0" t="0" r="12065" b="444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64785" cy="3424555"/>
                    </a:xfrm>
                    <a:prstGeom prst="rect">
                      <a:avLst/>
                    </a:prstGeom>
                    <a:noFill/>
                    <a:ln w="9525">
                      <a:noFill/>
                    </a:ln>
                  </pic:spPr>
                </pic:pic>
              </a:graphicData>
            </a:graphic>
          </wp:inline>
        </w:drawing>
      </w:r>
      <w:bookmarkStart w:id="3" w:name="图片 13"/>
      <w:bookmarkEnd w:id="3"/>
      <w:r>
        <w:rPr>
          <w:rFonts w:hint="eastAsia" w:ascii="仿宋_GB2312" w:eastAsia="仿宋_GB2312" w:cs="仿宋_GB2312"/>
          <w:color w:val="000000"/>
          <w:sz w:val="32"/>
          <w:szCs w:val="32"/>
          <w:shd w:val="clear" w:fill="FFFFFF"/>
        </w:rPr>
        <w:t> </w:t>
      </w:r>
    </w:p>
    <w:p>
      <w:pPr>
        <w:pStyle w:val="2"/>
        <w:keepNext w:val="0"/>
        <w:keepLines w:val="0"/>
        <w:widowControl/>
        <w:suppressLineNumbers w:val="0"/>
        <w:spacing w:line="562" w:lineRule="atLeast"/>
        <w:ind w:left="0" w:firstLine="634"/>
        <w:jc w:val="left"/>
      </w:pPr>
      <w:r>
        <w:rPr>
          <w:rFonts w:hint="eastAsia" w:ascii="仿宋_GB2312" w:hAnsi="宋体" w:eastAsia="仿宋_GB2312" w:cs="仿宋_GB2312"/>
          <w:b w:val="0"/>
          <w:bCs w:val="0"/>
          <w:color w:val="000000"/>
          <w:sz w:val="32"/>
          <w:szCs w:val="32"/>
          <w:shd w:val="clear" w:fill="FFFFFF"/>
        </w:rPr>
        <w:t>二是加强政策解读，积极回应百姓诉求。高度重视政策解读工作，一方面对公开的政策文件高质量做好基础文字解读，除名录、名单类文件外，解读和关联率达</w:t>
      </w:r>
      <w:r>
        <w:rPr>
          <w:rFonts w:hint="eastAsia" w:ascii="仿宋_GB2312" w:hAnsi="宋体" w:eastAsia="仿宋_GB2312" w:cs="仿宋_GB2312"/>
          <w:b w:val="0"/>
          <w:bCs w:val="0"/>
          <w:sz w:val="32"/>
          <w:szCs w:val="32"/>
        </w:rPr>
        <w:t>100%；另一方面多渠道多形式做好政策创新性解读，除官网这一平台，充分运用广播、公告栏等传统渠道和微信公众号等新媒体渠道，以多形式易了解的形式公开政府信息，保障群众“看得见”“听得懂”“能理解”。为社会公众提供了更加高效、优质的信息公开服务。</w:t>
      </w:r>
    </w:p>
    <w:p>
      <w:pPr>
        <w:pStyle w:val="3"/>
        <w:keepNext w:val="0"/>
        <w:keepLines w:val="0"/>
        <w:widowControl/>
        <w:suppressLineNumbers w:val="0"/>
        <w:spacing w:before="274" w:beforeAutospacing="0" w:after="274" w:afterAutospacing="0" w:line="374" w:lineRule="atLeast"/>
        <w:ind w:left="0" w:firstLine="418"/>
        <w:jc w:val="both"/>
      </w:pPr>
      <w:r>
        <w:rPr>
          <w:rFonts w:hint="default" w:ascii="方正楷体_GB2312" w:hAnsi="方正楷体_GB2312" w:eastAsia="方正楷体_GB2312" w:cs="方正楷体_GB2312"/>
          <w:b w:val="0"/>
          <w:bCs w:val="0"/>
          <w:color w:val="000000"/>
          <w:sz w:val="32"/>
          <w:szCs w:val="32"/>
          <w:u w:val="none"/>
          <w:shd w:val="clear" w:fill="FFFFFF"/>
        </w:rPr>
        <w:t>（二）收到和处理政府信息公开申请情况</w:t>
      </w:r>
    </w:p>
    <w:p>
      <w:pPr>
        <w:pStyle w:val="3"/>
        <w:keepNext w:val="0"/>
        <w:keepLines w:val="0"/>
        <w:widowControl/>
        <w:suppressLineNumbers w:val="0"/>
        <w:spacing w:line="555" w:lineRule="atLeast"/>
        <w:ind w:left="0" w:firstLine="630"/>
      </w:pPr>
      <w:r>
        <w:rPr>
          <w:rFonts w:hint="eastAsia" w:ascii="仿宋_GB2312" w:eastAsia="仿宋_GB2312" w:cs="仿宋_GB2312"/>
          <w:spacing w:val="0"/>
          <w:sz w:val="31"/>
          <w:szCs w:val="31"/>
        </w:rPr>
        <w:t>龙泉街道办事处坚持</w:t>
      </w:r>
      <w:r>
        <w:rPr>
          <w:spacing w:val="0"/>
          <w:sz w:val="31"/>
          <w:szCs w:val="31"/>
        </w:rPr>
        <w:t>“</w:t>
      </w:r>
      <w:r>
        <w:rPr>
          <w:rFonts w:hint="eastAsia" w:ascii="仿宋_GB2312" w:eastAsia="仿宋_GB2312" w:cs="仿宋_GB2312"/>
          <w:spacing w:val="0"/>
          <w:sz w:val="31"/>
          <w:szCs w:val="31"/>
        </w:rPr>
        <w:t>归口办理、依法有据、严谨规范、慎重稳妥</w:t>
      </w:r>
      <w:r>
        <w:rPr>
          <w:spacing w:val="0"/>
          <w:sz w:val="31"/>
          <w:szCs w:val="31"/>
        </w:rPr>
        <w:t>”</w:t>
      </w:r>
      <w:r>
        <w:rPr>
          <w:rFonts w:hint="eastAsia" w:ascii="仿宋_GB2312" w:eastAsia="仿宋_GB2312" w:cs="仿宋_GB2312"/>
          <w:spacing w:val="0"/>
          <w:sz w:val="31"/>
          <w:szCs w:val="31"/>
        </w:rPr>
        <w:t>的原则，完善受理、审查、处理、答复以及保存备查等各环节流程,保证依申请公开流程科学、程序合法、答复规范，示范指引，真正提升效能、服务于民。</w:t>
      </w:r>
    </w:p>
    <w:p>
      <w:pPr>
        <w:pStyle w:val="3"/>
        <w:keepNext w:val="0"/>
        <w:keepLines w:val="0"/>
        <w:widowControl/>
        <w:suppressLineNumbers w:val="0"/>
        <w:spacing w:line="555" w:lineRule="atLeast"/>
        <w:ind w:left="0" w:firstLine="630"/>
      </w:pPr>
      <w:r>
        <w:rPr>
          <w:rFonts w:hint="eastAsia" w:ascii="仿宋_GB2312" w:eastAsia="仿宋_GB2312" w:cs="仿宋_GB2312"/>
          <w:spacing w:val="0"/>
          <w:sz w:val="31"/>
          <w:szCs w:val="31"/>
        </w:rPr>
        <w:t>2023年，新收6件政府信息公开申请，上年结转0件，合计6件。自然人申请6件，其中予以公开3件,部分公开3件。被行政复议3件，行政诉讼0件。</w:t>
      </w:r>
    </w:p>
    <w:p>
      <w:pPr>
        <w:pStyle w:val="3"/>
        <w:keepNext w:val="0"/>
        <w:keepLines w:val="0"/>
        <w:widowControl/>
        <w:suppressLineNumbers w:val="0"/>
        <w:spacing w:line="555" w:lineRule="atLeast"/>
        <w:ind w:left="0" w:firstLine="630"/>
      </w:pPr>
      <w:r>
        <w:rPr>
          <w:rFonts w:hint="eastAsia" w:ascii="仿宋_GB2312" w:eastAsia="仿宋_GB2312" w:cs="仿宋_GB2312"/>
          <w:spacing w:val="0"/>
          <w:sz w:val="31"/>
          <w:szCs w:val="31"/>
        </w:rPr>
        <w:t>与2022年相比数量有所增加。</w:t>
      </w:r>
    </w:p>
    <w:p>
      <w:pPr>
        <w:pStyle w:val="3"/>
        <w:keepNext w:val="0"/>
        <w:keepLines w:val="0"/>
        <w:widowControl/>
        <w:suppressLineNumbers w:val="0"/>
        <w:spacing w:before="274" w:beforeAutospacing="0" w:after="274" w:afterAutospacing="0" w:line="374" w:lineRule="atLeast"/>
        <w:ind w:left="0" w:firstLine="418"/>
        <w:jc w:val="both"/>
      </w:pPr>
      <w:r>
        <w:rPr>
          <w:rFonts w:hint="default" w:ascii="方正楷体_GB2312" w:hAnsi="方正楷体_GB2312" w:eastAsia="方正楷体_GB2312" w:cs="方正楷体_GB2312"/>
          <w:b w:val="0"/>
          <w:bCs w:val="0"/>
          <w:color w:val="000000"/>
          <w:sz w:val="32"/>
          <w:szCs w:val="32"/>
          <w:shd w:val="clear" w:fill="FFFFFF"/>
        </w:rPr>
        <w:t>（三）政府信息管理情况</w:t>
      </w:r>
    </w:p>
    <w:p>
      <w:pPr>
        <w:pStyle w:val="3"/>
        <w:keepNext w:val="0"/>
        <w:keepLines w:val="0"/>
        <w:widowControl/>
        <w:suppressLineNumbers w:val="0"/>
        <w:spacing w:before="0" w:beforeAutospacing="1" w:after="0" w:afterAutospacing="0" w:line="605" w:lineRule="atLeast"/>
        <w:ind w:left="0" w:right="0" w:firstLine="634"/>
        <w:rPr>
          <w:sz w:val="19"/>
          <w:szCs w:val="19"/>
        </w:rPr>
      </w:pPr>
      <w:bookmarkStart w:id="4" w:name="_GoBack"/>
      <w:bookmarkEnd w:id="4"/>
      <w:r>
        <w:rPr>
          <w:rFonts w:hint="eastAsia" w:ascii="仿宋_GB2312" w:eastAsia="仿宋_GB2312" w:cs="仿宋_GB2312"/>
          <w:b w:val="0"/>
          <w:bCs w:val="0"/>
          <w:color w:val="000000"/>
          <w:sz w:val="32"/>
          <w:szCs w:val="32"/>
          <w:shd w:val="clear" w:fill="FFFFFF"/>
        </w:rPr>
        <w:t>2023</w:t>
      </w:r>
      <w:r>
        <w:rPr>
          <w:rFonts w:hint="eastAsia" w:ascii="仿宋_GB2312" w:eastAsia="仿宋_GB2312" w:cs="仿宋_GB2312"/>
          <w:b w:val="0"/>
          <w:bCs w:val="0"/>
          <w:color w:val="000000"/>
          <w:sz w:val="32"/>
          <w:szCs w:val="32"/>
        </w:rPr>
        <w:t>年以来，龙泉街道坚持依规范管理政府信息公开情况，一方面严格落实公文公开属性源头认定机制，各工作岗报请街道办事处发文的，须明确标识主动公开、依申请公开、不予公开属性，并同步报送政策解读稿件。另一方面明确信息公开时限要求，确保信息上传及时、避免出现空白栏目，扎实做好信息上传维护工作。落实保密审查，确保了涉密信息不公开，使政府信息公开工作进一步向规范化、制度化方向发展，逐步形成长效管理机制。</w:t>
      </w:r>
    </w:p>
    <w:p>
      <w:pPr>
        <w:pStyle w:val="3"/>
        <w:keepNext w:val="0"/>
        <w:keepLines w:val="0"/>
        <w:widowControl/>
        <w:suppressLineNumbers w:val="0"/>
        <w:spacing w:before="274" w:beforeAutospacing="0" w:after="274" w:afterAutospacing="0" w:line="374" w:lineRule="atLeast"/>
        <w:ind w:left="0" w:firstLine="418"/>
        <w:jc w:val="both"/>
      </w:pPr>
      <w:r>
        <w:rPr>
          <w:rFonts w:hint="default" w:ascii="方正楷体_GB2312" w:hAnsi="方正楷体_GB2312" w:eastAsia="方正楷体_GB2312" w:cs="方正楷体_GB2312"/>
          <w:b w:val="0"/>
          <w:bCs w:val="0"/>
          <w:color w:val="000000"/>
          <w:sz w:val="32"/>
          <w:szCs w:val="32"/>
          <w:shd w:val="clear" w:fill="FFFFFF"/>
        </w:rPr>
        <w:t>（四）公开平台建设情况</w:t>
      </w:r>
    </w:p>
    <w:p>
      <w:pPr>
        <w:pStyle w:val="3"/>
        <w:keepNext w:val="0"/>
        <w:keepLines w:val="0"/>
        <w:widowControl/>
        <w:suppressLineNumbers w:val="0"/>
        <w:spacing w:line="555" w:lineRule="atLeast"/>
        <w:ind w:left="0" w:firstLine="645"/>
      </w:pPr>
      <w:r>
        <w:rPr>
          <w:rFonts w:hint="eastAsia" w:ascii="仿宋_GB2312" w:eastAsia="仿宋_GB2312" w:cs="仿宋_GB2312"/>
          <w:spacing w:val="0"/>
          <w:sz w:val="31"/>
          <w:szCs w:val="31"/>
          <w:shd w:val="clear" w:fill="FFFFFF"/>
        </w:rPr>
        <w:t>2023</w:t>
      </w:r>
      <w:r>
        <w:rPr>
          <w:rFonts w:hint="eastAsia" w:ascii="仿宋_GB2312" w:eastAsia="仿宋_GB2312" w:cs="仿宋_GB2312"/>
          <w:spacing w:val="0"/>
          <w:sz w:val="31"/>
          <w:szCs w:val="31"/>
        </w:rPr>
        <w:t>年，我街道对政务公开网站各栏目进行全面核查，确保信息上传及时、避免出现空白栏目，扎实做好信息上传维护工作。同时，以滕州市龙泉街道门户网站为第一平台，完善了街道政务信息公开栏，通过微信、微博等公众号及时收集社情民意，及时回答并解决公众关心的热点、难点、焦点问题，增强了公众对政府的信任度。在工作执行上,能够认真落实市政府信息公开领导小组及其办公室的各项部署，较好地完成了信息公开办交办的工作任务。</w:t>
      </w:r>
    </w:p>
    <w:p>
      <w:pPr>
        <w:pStyle w:val="3"/>
        <w:keepNext w:val="0"/>
        <w:keepLines w:val="0"/>
        <w:widowControl/>
        <w:suppressLineNumbers w:val="0"/>
        <w:spacing w:before="274" w:beforeAutospacing="0" w:after="274" w:afterAutospacing="0" w:line="374" w:lineRule="atLeast"/>
        <w:ind w:left="0" w:firstLine="418"/>
        <w:jc w:val="both"/>
      </w:pPr>
      <w:r>
        <w:rPr>
          <w:rFonts w:hint="default" w:ascii="方正楷体_GB2312" w:hAnsi="方正楷体_GB2312" w:eastAsia="方正楷体_GB2312" w:cs="方正楷体_GB2312"/>
          <w:sz w:val="32"/>
          <w:szCs w:val="32"/>
        </w:rPr>
        <w:t>（五）监督保障情况  </w:t>
      </w:r>
      <w:r>
        <w:rPr>
          <w:rFonts w:hint="eastAsia" w:ascii="仿宋_GB2312" w:eastAsia="仿宋_GB2312" w:cs="仿宋_GB2312"/>
          <w:sz w:val="32"/>
          <w:szCs w:val="32"/>
        </w:rPr>
        <w:t>   </w:t>
      </w:r>
    </w:p>
    <w:p>
      <w:pPr>
        <w:pStyle w:val="3"/>
        <w:keepNext w:val="0"/>
        <w:keepLines w:val="0"/>
        <w:widowControl/>
        <w:suppressLineNumbers w:val="0"/>
        <w:spacing w:before="274" w:beforeAutospacing="0" w:after="274" w:afterAutospacing="0" w:line="374" w:lineRule="atLeast"/>
        <w:ind w:left="0" w:firstLine="634"/>
        <w:jc w:val="both"/>
      </w:pPr>
      <w:r>
        <w:rPr>
          <w:rFonts w:hint="eastAsia" w:ascii="仿宋_GB2312" w:hAnsi="宋体" w:eastAsia="仿宋_GB2312" w:cs="仿宋_GB2312"/>
          <w:b w:val="0"/>
          <w:bCs w:val="0"/>
          <w:color w:val="000000"/>
          <w:sz w:val="32"/>
          <w:szCs w:val="32"/>
          <w:shd w:val="clear" w:fill="FFFFFF"/>
          <w:lang w:eastAsia="zh-CN"/>
        </w:rPr>
        <w:t>根据机构改革、职能转变、人员变动和工作需要，制定了龙泉街道办事处推进政务公开工作领导小组，下设政务公开办公室，负责统筹指导全街道政务公开工作开展的具体工作。目前，纳入</w:t>
      </w:r>
      <w:r>
        <w:rPr>
          <w:rFonts w:hint="eastAsia" w:ascii="仿宋_GB2312" w:hAnsi="宋体" w:eastAsia="仿宋_GB2312" w:cs="仿宋_GB2312"/>
          <w:b w:val="0"/>
          <w:bCs w:val="0"/>
          <w:sz w:val="32"/>
          <w:szCs w:val="32"/>
        </w:rPr>
        <w:t>2023年滕州市政务公开评估排名。</w:t>
      </w:r>
    </w:p>
    <w:p>
      <w:pPr>
        <w:pStyle w:val="3"/>
        <w:keepNext w:val="0"/>
        <w:keepLines w:val="0"/>
        <w:widowControl/>
        <w:suppressLineNumbers w:val="0"/>
        <w:spacing w:before="274" w:beforeAutospacing="0" w:after="274" w:afterAutospacing="0" w:line="374" w:lineRule="atLeast"/>
        <w:ind w:left="0" w:firstLine="418"/>
        <w:jc w:val="both"/>
      </w:pPr>
      <w:r>
        <w:rPr>
          <w:rFonts w:hint="eastAsia" w:ascii="黑体" w:hAnsi="宋体" w:eastAsia="黑体" w:cs="黑体"/>
          <w:b w:val="0"/>
          <w:bCs w:val="0"/>
          <w:i w:val="0"/>
          <w:iCs w:val="0"/>
          <w:color w:val="000000"/>
          <w:spacing w:val="0"/>
          <w:sz w:val="32"/>
          <w:szCs w:val="32"/>
        </w:rPr>
        <w:t>二、主动公开政府信息情况</w:t>
      </w:r>
    </w:p>
    <w:tbl>
      <w:tblPr>
        <w:tblW w:w="8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960"/>
        <w:gridCol w:w="1976"/>
        <w:gridCol w:w="1976"/>
        <w:gridCol w:w="26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8280"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信息内容</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本年制发件数</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本年废止件数</w:t>
            </w:r>
          </w:p>
        </w:tc>
        <w:tc>
          <w:tcPr>
            <w:tcW w:w="190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规章</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190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行政规范性文件</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19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190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信息内容</w:t>
            </w:r>
          </w:p>
        </w:tc>
        <w:tc>
          <w:tcPr>
            <w:tcW w:w="6165" w:type="dxa"/>
            <w:gridSpan w:val="3"/>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行政许可</w:t>
            </w:r>
          </w:p>
        </w:tc>
        <w:tc>
          <w:tcPr>
            <w:tcW w:w="6165" w:type="dxa"/>
            <w:gridSpan w:val="3"/>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信息内容</w:t>
            </w:r>
          </w:p>
        </w:tc>
        <w:tc>
          <w:tcPr>
            <w:tcW w:w="6165" w:type="dxa"/>
            <w:gridSpan w:val="3"/>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1"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行政处罚</w:t>
            </w:r>
          </w:p>
        </w:tc>
        <w:tc>
          <w:tcPr>
            <w:tcW w:w="6165" w:type="dxa"/>
            <w:gridSpan w:val="3"/>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行政强制</w:t>
            </w:r>
          </w:p>
        </w:tc>
        <w:tc>
          <w:tcPr>
            <w:tcW w:w="6165" w:type="dxa"/>
            <w:gridSpan w:val="3"/>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信息内容</w:t>
            </w:r>
          </w:p>
        </w:tc>
        <w:tc>
          <w:tcPr>
            <w:tcW w:w="6165" w:type="dxa"/>
            <w:gridSpan w:val="3"/>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1905"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bdr w:val="none" w:color="auto" w:sz="0" w:space="0"/>
              </w:rPr>
              <w:t>行政事业性收费</w:t>
            </w:r>
          </w:p>
        </w:tc>
        <w:tc>
          <w:tcPr>
            <w:tcW w:w="6165" w:type="dxa"/>
            <w:gridSpan w:val="3"/>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bl>
    <w:p>
      <w:pPr>
        <w:pStyle w:val="3"/>
        <w:keepNext w:val="0"/>
        <w:keepLines w:val="0"/>
        <w:widowControl/>
        <w:suppressLineNumbers w:val="0"/>
        <w:spacing w:before="274" w:beforeAutospacing="0" w:after="274" w:afterAutospacing="0" w:line="374" w:lineRule="atLeast"/>
        <w:ind w:left="0" w:firstLine="418"/>
        <w:jc w:val="both"/>
      </w:pPr>
      <w:r>
        <w:rPr>
          <w:rFonts w:hint="eastAsia" w:ascii="黑体" w:hAnsi="宋体" w:eastAsia="黑体" w:cs="黑体"/>
          <w:b w:val="0"/>
          <w:bCs w:val="0"/>
          <w:i w:val="0"/>
          <w:iCs w:val="0"/>
          <w:color w:val="000000"/>
          <w:spacing w:val="0"/>
          <w:sz w:val="30"/>
          <w:szCs w:val="30"/>
        </w:rPr>
        <w:t>三、收到和处理政府信息公开申请情况</w:t>
      </w:r>
    </w:p>
    <w:tbl>
      <w:tblPr>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02"/>
        <w:gridCol w:w="1172"/>
        <w:gridCol w:w="2263"/>
        <w:gridCol w:w="482"/>
        <w:gridCol w:w="302"/>
        <w:gridCol w:w="302"/>
        <w:gridCol w:w="391"/>
        <w:gridCol w:w="365"/>
        <w:gridCol w:w="1027"/>
        <w:gridCol w:w="15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i w:val="0"/>
                <w:iCs w:val="0"/>
                <w:color w:val="000000"/>
                <w:spacing w:val="0"/>
                <w:sz w:val="20"/>
                <w:szCs w:val="20"/>
                <w:bdr w:val="none" w:color="auto" w:sz="0" w:space="0"/>
              </w:rPr>
              <w:t>（本列数据的勾稽关系为：第一项加第二项之和，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i w:val="0"/>
                <w:iCs w:val="0"/>
                <w:color w:val="000000"/>
                <w:spacing w:val="0"/>
                <w:sz w:val="20"/>
                <w:szCs w:val="20"/>
                <w:bdr w:val="none" w:color="auto" w:sz="0" w:space="0"/>
              </w:rPr>
              <w:t>等于第三项加第四项之和）</w:t>
            </w:r>
          </w:p>
        </w:tc>
        <w:tc>
          <w:tcPr>
            <w:tcW w:w="3915" w:type="dxa"/>
            <w:gridSpan w:val="7"/>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495"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自然人</w:t>
            </w:r>
          </w:p>
        </w:tc>
        <w:tc>
          <w:tcPr>
            <w:tcW w:w="2490"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法人或其他组织</w:t>
            </w:r>
          </w:p>
        </w:tc>
        <w:tc>
          <w:tcPr>
            <w:tcW w:w="510"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49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bdr w:val="none" w:color="auto" w:sz="0" w:space="0"/>
              </w:rPr>
              <w:t>商业企业</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bdr w:val="none" w:color="auto" w:sz="0" w:space="0"/>
              </w:rPr>
              <w:t>科研机构</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bdr w:val="none" w:color="auto" w:sz="0" w:space="0"/>
              </w:rPr>
              <w:t>社会公益组织</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bdr w:val="none" w:color="auto" w:sz="0" w:space="0"/>
              </w:rPr>
              <w:t>法律服务机构</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pPr>
            <w:r>
              <w:rPr>
                <w:rFonts w:hint="eastAsia" w:ascii="黑体" w:hAnsi="宋体" w:eastAsia="黑体" w:cs="黑体"/>
                <w:i w:val="0"/>
                <w:iCs w:val="0"/>
                <w:color w:val="000000"/>
                <w:spacing w:val="0"/>
                <w:sz w:val="20"/>
                <w:szCs w:val="20"/>
                <w:bdr w:val="none" w:color="auto" w:sz="0" w:space="0"/>
              </w:rPr>
              <w:t>其他</w:t>
            </w:r>
          </w:p>
        </w:tc>
        <w:tc>
          <w:tcPr>
            <w:tcW w:w="51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5" w:name="_Hlk66973412"/>
            <w:bookmarkEnd w:id="5"/>
            <w:r>
              <w:rPr>
                <w:rFonts w:hint="eastAsia" w:ascii="黑体" w:hAnsi="宋体" w:eastAsia="黑体" w:cs="黑体"/>
                <w:i w:val="0"/>
                <w:iCs w:val="0"/>
                <w:color w:val="000000"/>
                <w:spacing w:val="0"/>
                <w:sz w:val="20"/>
                <w:szCs w:val="20"/>
                <w:bdr w:val="none" w:color="auto" w:sz="0" w:space="0"/>
              </w:rPr>
              <w:t>一、本年新收政府信息公开申请数量</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6</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二、上年结转政府信息公开申请数量</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三、本年度办理结果</w:t>
            </w:r>
          </w:p>
        </w:tc>
        <w:tc>
          <w:tcPr>
            <w:tcW w:w="3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（一）予以公开</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3</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3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6" w:name="_Hlk66973981"/>
            <w:bookmarkEnd w:id="6"/>
            <w:r>
              <w:rPr>
                <w:rFonts w:hint="eastAsia" w:ascii="黑体" w:hAnsi="宋体" w:eastAsia="黑体" w:cs="黑体"/>
                <w:i w:val="0"/>
                <w:iCs w:val="0"/>
                <w:color w:val="000000"/>
                <w:spacing w:val="0"/>
                <w:sz w:val="20"/>
                <w:szCs w:val="20"/>
                <w:bdr w:val="none" w:color="auto" w:sz="0" w:space="0"/>
              </w:rPr>
              <w:t>（二）部分公开（区分处理的，只计这一情形，不计其他情形）</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3</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bdr w:val="none" w:color="auto" w:sz="0" w:space="0"/>
              </w:rPr>
              <w:t>（三）不予公开</w:t>
            </w: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1.</w:t>
            </w:r>
            <w:r>
              <w:rPr>
                <w:rFonts w:hint="eastAsia" w:ascii="仿宋_GB2312" w:eastAsia="仿宋_GB2312" w:cs="仿宋_GB2312"/>
                <w:i w:val="0"/>
                <w:iCs w:val="0"/>
                <w:sz w:val="20"/>
                <w:szCs w:val="20"/>
                <w:bdr w:val="none" w:color="auto" w:sz="0" w:space="0"/>
              </w:rPr>
              <w:t>属于国家秘密</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7" w:name="_Hlk66974104"/>
            <w:bookmarkEnd w:id="7"/>
            <w:r>
              <w:rPr>
                <w:rFonts w:hint="eastAsia" w:ascii="仿宋_GB2312" w:eastAsia="仿宋_GB2312" w:cs="仿宋_GB2312"/>
                <w:i w:val="0"/>
                <w:iCs w:val="0"/>
                <w:color w:val="000000"/>
                <w:spacing w:val="0"/>
                <w:sz w:val="20"/>
                <w:szCs w:val="20"/>
                <w:bdr w:val="none" w:color="auto" w:sz="0" w:space="0"/>
              </w:rPr>
              <w:t>2.</w:t>
            </w:r>
            <w:r>
              <w:rPr>
                <w:rFonts w:hint="eastAsia" w:ascii="仿宋_GB2312" w:eastAsia="仿宋_GB2312" w:cs="仿宋_GB2312"/>
                <w:i w:val="0"/>
                <w:iCs w:val="0"/>
                <w:sz w:val="20"/>
                <w:szCs w:val="20"/>
                <w:bdr w:val="none" w:color="auto" w:sz="0" w:space="0"/>
              </w:rPr>
              <w:t>其他法律行政法规禁止公开</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3.</w:t>
            </w:r>
            <w:r>
              <w:rPr>
                <w:rFonts w:hint="eastAsia" w:ascii="仿宋_GB2312" w:eastAsia="仿宋_GB2312" w:cs="仿宋_GB2312"/>
                <w:i w:val="0"/>
                <w:iCs w:val="0"/>
                <w:sz w:val="20"/>
                <w:szCs w:val="20"/>
                <w:bdr w:val="none" w:color="auto" w:sz="0" w:space="0"/>
              </w:rPr>
              <w:t>危及“三安全一稳定”</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8" w:name="_Hlk66974290"/>
            <w:bookmarkEnd w:id="8"/>
            <w:r>
              <w:rPr>
                <w:rFonts w:hint="eastAsia" w:ascii="仿宋_GB2312" w:eastAsia="仿宋_GB2312" w:cs="仿宋_GB2312"/>
                <w:i w:val="0"/>
                <w:iCs w:val="0"/>
                <w:color w:val="000000"/>
                <w:spacing w:val="0"/>
                <w:sz w:val="20"/>
                <w:szCs w:val="20"/>
                <w:bdr w:val="none" w:color="auto" w:sz="0" w:space="0"/>
              </w:rPr>
              <w:t>4.</w:t>
            </w:r>
            <w:r>
              <w:rPr>
                <w:rFonts w:hint="eastAsia" w:ascii="仿宋_GB2312" w:eastAsia="仿宋_GB2312" w:cs="仿宋_GB2312"/>
                <w:i w:val="0"/>
                <w:iCs w:val="0"/>
                <w:sz w:val="20"/>
                <w:szCs w:val="20"/>
                <w:bdr w:val="none" w:color="auto" w:sz="0" w:space="0"/>
              </w:rPr>
              <w:t>保护第三方合法权益</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5.</w:t>
            </w:r>
            <w:r>
              <w:rPr>
                <w:rFonts w:hint="eastAsia" w:ascii="仿宋_GB2312" w:eastAsia="仿宋_GB2312" w:cs="仿宋_GB2312"/>
                <w:i w:val="0"/>
                <w:iCs w:val="0"/>
                <w:sz w:val="20"/>
                <w:szCs w:val="20"/>
                <w:bdr w:val="none" w:color="auto" w:sz="0" w:space="0"/>
              </w:rPr>
              <w:t>属于三类内部事务信息</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9" w:name="_Hlk66974555"/>
            <w:bookmarkEnd w:id="9"/>
            <w:r>
              <w:rPr>
                <w:rFonts w:hint="eastAsia" w:ascii="仿宋_GB2312" w:eastAsia="仿宋_GB2312" w:cs="仿宋_GB2312"/>
                <w:i w:val="0"/>
                <w:iCs w:val="0"/>
                <w:color w:val="000000"/>
                <w:spacing w:val="0"/>
                <w:sz w:val="20"/>
                <w:szCs w:val="20"/>
                <w:bdr w:val="none" w:color="auto" w:sz="0" w:space="0"/>
              </w:rPr>
              <w:t>6.</w:t>
            </w:r>
            <w:r>
              <w:rPr>
                <w:rFonts w:hint="eastAsia" w:ascii="仿宋_GB2312" w:eastAsia="仿宋_GB2312" w:cs="仿宋_GB2312"/>
                <w:i w:val="0"/>
                <w:iCs w:val="0"/>
                <w:sz w:val="20"/>
                <w:szCs w:val="20"/>
                <w:bdr w:val="none" w:color="auto" w:sz="0" w:space="0"/>
              </w:rPr>
              <w:t>属于四类过程性信息</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7.</w:t>
            </w:r>
            <w:r>
              <w:rPr>
                <w:rFonts w:hint="eastAsia" w:ascii="仿宋_GB2312" w:eastAsia="仿宋_GB2312" w:cs="仿宋_GB2312"/>
                <w:i w:val="0"/>
                <w:iCs w:val="0"/>
                <w:sz w:val="20"/>
                <w:szCs w:val="20"/>
                <w:bdr w:val="none" w:color="auto" w:sz="0" w:space="0"/>
              </w:rPr>
              <w:t>属于行政执法案卷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0" w:name="_Hlk66975211"/>
            <w:bookmarkEnd w:id="10"/>
            <w:r>
              <w:rPr>
                <w:rFonts w:hint="eastAsia" w:ascii="仿宋_GB2312" w:eastAsia="仿宋_GB2312" w:cs="仿宋_GB2312"/>
                <w:i w:val="0"/>
                <w:iCs w:val="0"/>
                <w:color w:val="000000"/>
                <w:spacing w:val="0"/>
                <w:sz w:val="20"/>
                <w:szCs w:val="20"/>
                <w:bdr w:val="none" w:color="auto" w:sz="0" w:space="0"/>
              </w:rPr>
              <w:t>8.</w:t>
            </w:r>
            <w:r>
              <w:rPr>
                <w:rFonts w:hint="eastAsia" w:ascii="仿宋_GB2312" w:eastAsia="仿宋_GB2312" w:cs="仿宋_GB2312"/>
                <w:i w:val="0"/>
                <w:iCs w:val="0"/>
                <w:sz w:val="20"/>
                <w:szCs w:val="20"/>
                <w:bdr w:val="none" w:color="auto" w:sz="0" w:space="0"/>
              </w:rPr>
              <w:t>属于行政查询事项</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bdr w:val="none" w:color="auto" w:sz="0" w:space="0"/>
              </w:rPr>
              <w:t>（四）无法提供</w:t>
            </w: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1.</w:t>
            </w:r>
            <w:r>
              <w:rPr>
                <w:rFonts w:hint="eastAsia" w:ascii="仿宋_GB2312" w:eastAsia="仿宋_GB2312" w:cs="仿宋_GB2312"/>
                <w:i w:val="0"/>
                <w:iCs w:val="0"/>
                <w:sz w:val="20"/>
                <w:szCs w:val="20"/>
                <w:bdr w:val="none" w:color="auto" w:sz="0" w:space="0"/>
              </w:rPr>
              <w:t>本机关不掌握相关政府信息</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1" w:name="_Hlk66975392"/>
            <w:bookmarkEnd w:id="11"/>
            <w:r>
              <w:rPr>
                <w:rFonts w:hint="eastAsia" w:ascii="仿宋_GB2312" w:eastAsia="仿宋_GB2312" w:cs="仿宋_GB2312"/>
                <w:i w:val="0"/>
                <w:iCs w:val="0"/>
                <w:color w:val="000000"/>
                <w:spacing w:val="0"/>
                <w:sz w:val="20"/>
                <w:szCs w:val="20"/>
                <w:bdr w:val="none" w:color="auto" w:sz="0" w:space="0"/>
              </w:rPr>
              <w:t>2.</w:t>
            </w:r>
            <w:r>
              <w:rPr>
                <w:rFonts w:hint="eastAsia" w:ascii="仿宋_GB2312" w:eastAsia="仿宋_GB2312" w:cs="仿宋_GB2312"/>
                <w:i w:val="0"/>
                <w:iCs w:val="0"/>
                <w:sz w:val="20"/>
                <w:szCs w:val="20"/>
                <w:bdr w:val="none" w:color="auto" w:sz="0" w:space="0"/>
              </w:rPr>
              <w:t>没有现成信息需要另行制作</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2" w:name="_Hlk66975466"/>
            <w:bookmarkEnd w:id="12"/>
            <w:r>
              <w:rPr>
                <w:rFonts w:hint="eastAsia" w:ascii="仿宋_GB2312" w:eastAsia="仿宋_GB2312" w:cs="仿宋_GB2312"/>
                <w:i w:val="0"/>
                <w:iCs w:val="0"/>
                <w:color w:val="000000"/>
                <w:spacing w:val="0"/>
                <w:sz w:val="20"/>
                <w:szCs w:val="20"/>
                <w:bdr w:val="none" w:color="auto" w:sz="0" w:space="0"/>
              </w:rPr>
              <w:t>3.</w:t>
            </w:r>
            <w:r>
              <w:rPr>
                <w:rFonts w:hint="eastAsia" w:ascii="仿宋_GB2312" w:eastAsia="仿宋_GB2312" w:cs="仿宋_GB2312"/>
                <w:i w:val="0"/>
                <w:iCs w:val="0"/>
                <w:sz w:val="20"/>
                <w:szCs w:val="20"/>
                <w:bdr w:val="none" w:color="auto" w:sz="0" w:space="0"/>
              </w:rPr>
              <w:t>补正后申请内容仍不明确</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bdr w:val="none" w:color="auto" w:sz="0" w:space="0"/>
              </w:rPr>
              <w:t>（五）不予处理</w:t>
            </w: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3" w:name="_Hlk66975537"/>
            <w:bookmarkEnd w:id="13"/>
            <w:r>
              <w:rPr>
                <w:rFonts w:hint="eastAsia" w:ascii="仿宋_GB2312" w:eastAsia="仿宋_GB2312" w:cs="仿宋_GB2312"/>
                <w:i w:val="0"/>
                <w:iCs w:val="0"/>
                <w:color w:val="000000"/>
                <w:spacing w:val="0"/>
                <w:sz w:val="20"/>
                <w:szCs w:val="20"/>
                <w:bdr w:val="none" w:color="auto" w:sz="0" w:space="0"/>
              </w:rPr>
              <w:t>1.</w:t>
            </w:r>
            <w:r>
              <w:rPr>
                <w:rFonts w:hint="eastAsia" w:ascii="仿宋_GB2312" w:eastAsia="仿宋_GB2312" w:cs="仿宋_GB2312"/>
                <w:i w:val="0"/>
                <w:iCs w:val="0"/>
                <w:sz w:val="20"/>
                <w:szCs w:val="20"/>
                <w:bdr w:val="none" w:color="auto" w:sz="0" w:space="0"/>
              </w:rPr>
              <w:t>信访举报投诉类申请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2.</w:t>
            </w:r>
            <w:r>
              <w:rPr>
                <w:rFonts w:hint="eastAsia" w:ascii="仿宋_GB2312" w:eastAsia="仿宋_GB2312" w:cs="仿宋_GB2312"/>
                <w:i w:val="0"/>
                <w:iCs w:val="0"/>
                <w:sz w:val="20"/>
                <w:szCs w:val="20"/>
                <w:bdr w:val="none" w:color="auto" w:sz="0" w:space="0"/>
              </w:rPr>
              <w:t>重复申请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3.</w:t>
            </w:r>
            <w:r>
              <w:rPr>
                <w:rFonts w:hint="eastAsia" w:ascii="仿宋_GB2312" w:eastAsia="仿宋_GB2312" w:cs="仿宋_GB2312"/>
                <w:i w:val="0"/>
                <w:iCs w:val="0"/>
                <w:sz w:val="20"/>
                <w:szCs w:val="20"/>
                <w:bdr w:val="none" w:color="auto" w:sz="0" w:space="0"/>
              </w:rPr>
              <w:t>要求提供公开出版物</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4.</w:t>
            </w:r>
            <w:r>
              <w:rPr>
                <w:rFonts w:hint="eastAsia" w:ascii="仿宋_GB2312" w:eastAsia="仿宋_GB2312" w:cs="仿宋_GB2312"/>
                <w:i w:val="0"/>
                <w:iCs w:val="0"/>
                <w:sz w:val="20"/>
                <w:szCs w:val="20"/>
                <w:bdr w:val="none" w:color="auto" w:sz="0" w:space="0"/>
              </w:rPr>
              <w:t>无正当理由大量反复申请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5.</w:t>
            </w:r>
            <w:r>
              <w:rPr>
                <w:rFonts w:hint="eastAsia" w:ascii="仿宋_GB2312" w:eastAsia="仿宋_GB2312" w:cs="仿宋_GB2312"/>
                <w:i w:val="0"/>
                <w:iCs w:val="0"/>
                <w:sz w:val="20"/>
                <w:szCs w:val="20"/>
                <w:bdr w:val="none" w:color="auto" w:sz="0" w:space="0"/>
              </w:rPr>
              <w:t>要求行政机关确认或重新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jc w:val="both"/>
            </w:pPr>
            <w:r>
              <w:rPr>
                <w:rFonts w:hint="eastAsia" w:ascii="仿宋_GB2312" w:eastAsia="仿宋_GB2312" w:cs="仿宋_GB2312"/>
                <w:i w:val="0"/>
                <w:iCs w:val="0"/>
                <w:color w:val="000000"/>
                <w:spacing w:val="0"/>
                <w:sz w:val="20"/>
                <w:szCs w:val="20"/>
                <w:bdr w:val="none" w:color="auto" w:sz="0" w:space="0"/>
              </w:rPr>
              <w:t>出具已获取信息</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（六）其他处理</w:t>
            </w: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1.</w:t>
            </w:r>
            <w:r>
              <w:rPr>
                <w:rFonts w:hint="eastAsia" w:ascii="仿宋_GB2312" w:eastAsia="仿宋_GB2312" w:cs="仿宋_GB2312"/>
                <w:i w:val="0"/>
                <w:iCs w:val="0"/>
                <w:sz w:val="20"/>
                <w:szCs w:val="20"/>
                <w:bdr w:val="none" w:color="auto" w:sz="0" w:space="0"/>
              </w:rPr>
              <w:t>申请人无正当理由逾期不补正、行政机关不再处理其政府信息公开申请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2.</w:t>
            </w:r>
            <w:r>
              <w:rPr>
                <w:rFonts w:hint="eastAsia" w:ascii="仿宋_GB2312" w:eastAsia="仿宋_GB2312" w:cs="仿宋_GB2312"/>
                <w:i w:val="0"/>
                <w:iCs w:val="0"/>
                <w:sz w:val="20"/>
                <w:szCs w:val="20"/>
                <w:bdr w:val="none" w:color="auto" w:sz="0" w:space="0"/>
              </w:rPr>
              <w:t>申请人逾期未按收费通知要求缴纳费用、行政机关不再处理其政府信息公开申请</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bdr w:val="none" w:color="auto" w:sz="0" w:space="0"/>
              </w:rPr>
              <w:t>3.</w:t>
            </w:r>
            <w:r>
              <w:rPr>
                <w:rFonts w:hint="eastAsia" w:ascii="仿宋_GB2312" w:eastAsia="仿宋_GB2312" w:cs="仿宋_GB2312"/>
                <w:i w:val="0"/>
                <w:iCs w:val="0"/>
                <w:sz w:val="20"/>
                <w:szCs w:val="20"/>
                <w:bdr w:val="none" w:color="auto" w:sz="0" w:space="0"/>
              </w:rPr>
              <w:t>其他</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3540" w:type="dxa"/>
            <w:gridSpan w:val="2"/>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（七）总计</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6</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bdr w:val="none" w:color="auto" w:sz="0" w:space="0"/>
              </w:rPr>
              <w:t>四、结转下年度继续办理</w:t>
            </w:r>
          </w:p>
        </w:tc>
        <w:tc>
          <w:tcPr>
            <w:tcW w:w="49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40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37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285"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c>
          <w:tcPr>
            <w:tcW w:w="510" w:type="dxa"/>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bdr w:val="none" w:color="auto" w:sz="0" w:space="0"/>
              </w:rPr>
              <w:t>0</w:t>
            </w:r>
          </w:p>
        </w:tc>
      </w:tr>
    </w:tbl>
    <w:p>
      <w:pPr>
        <w:pStyle w:val="3"/>
        <w:keepNext w:val="0"/>
        <w:keepLines w:val="0"/>
        <w:widowControl/>
        <w:suppressLineNumbers w:val="0"/>
        <w:spacing w:before="274" w:beforeAutospacing="0" w:after="274" w:afterAutospacing="0" w:line="374" w:lineRule="atLeast"/>
        <w:jc w:val="both"/>
      </w:pPr>
      <w:r>
        <w:rPr>
          <w:color w:val="000000"/>
          <w:spacing w:val="0"/>
        </w:rPr>
        <w:t>     </w:t>
      </w:r>
    </w:p>
    <w:p>
      <w:pPr>
        <w:pStyle w:val="3"/>
        <w:keepNext w:val="0"/>
        <w:keepLines w:val="0"/>
        <w:widowControl/>
        <w:suppressLineNumbers w:val="0"/>
        <w:spacing w:before="274" w:beforeAutospacing="0" w:after="274" w:afterAutospacing="0" w:line="374" w:lineRule="atLeast"/>
        <w:jc w:val="both"/>
      </w:pPr>
      <w:r>
        <w:rPr>
          <w:color w:val="000000"/>
          <w:spacing w:val="0"/>
        </w:rPr>
        <w:t>   </w:t>
      </w:r>
      <w:r>
        <w:rPr>
          <w:rFonts w:hint="eastAsia" w:ascii="黑体" w:hAnsi="宋体" w:eastAsia="黑体" w:cs="黑体"/>
          <w:b w:val="0"/>
          <w:bCs w:val="0"/>
          <w:i w:val="0"/>
          <w:iCs w:val="0"/>
          <w:color w:val="000000"/>
          <w:spacing w:val="0"/>
          <w:sz w:val="30"/>
          <w:szCs w:val="30"/>
        </w:rPr>
        <w:t>四、政府信息公开行政复议、行政诉讼情况</w:t>
      </w:r>
    </w:p>
    <w:tbl>
      <w:tblPr>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47"/>
        <w:gridCol w:w="363"/>
        <w:gridCol w:w="363"/>
        <w:gridCol w:w="363"/>
        <w:gridCol w:w="1360"/>
        <w:gridCol w:w="332"/>
        <w:gridCol w:w="364"/>
        <w:gridCol w:w="364"/>
        <w:gridCol w:w="364"/>
        <w:gridCol w:w="1296"/>
        <w:gridCol w:w="364"/>
        <w:gridCol w:w="364"/>
        <w:gridCol w:w="364"/>
        <w:gridCol w:w="364"/>
        <w:gridCol w:w="153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1" w:hRule="atLeast"/>
          <w:jc w:val="center"/>
        </w:trPr>
        <w:tc>
          <w:tcPr>
            <w:tcW w:w="2655" w:type="dxa"/>
            <w:gridSpan w:val="5"/>
            <w:tcBorders>
              <w:top w:val="single" w:color="000000" w:sz="6" w:space="0"/>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行政复议</w:t>
            </w:r>
          </w:p>
        </w:tc>
        <w:tc>
          <w:tcPr>
            <w:tcW w:w="5415" w:type="dxa"/>
            <w:gridSpan w:val="10"/>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30" w:type="dxa"/>
            <w:vMerge w:val="restart"/>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58"/>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58"/>
              <w:jc w:val="center"/>
            </w:pPr>
            <w:r>
              <w:rPr>
                <w:rFonts w:hint="eastAsia" w:ascii="黑体" w:hAnsi="宋体" w:eastAsia="黑体" w:cs="黑体"/>
                <w:i w:val="0"/>
                <w:iCs w:val="0"/>
                <w:color w:val="000000"/>
                <w:spacing w:val="0"/>
                <w:sz w:val="18"/>
                <w:szCs w:val="18"/>
                <w:bdr w:val="none" w:color="auto" w:sz="0" w:space="0"/>
              </w:rPr>
              <w:t>维持</w:t>
            </w:r>
          </w:p>
        </w:tc>
        <w:tc>
          <w:tcPr>
            <w:tcW w:w="345" w:type="dxa"/>
            <w:vMerge w:val="restart"/>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jc w:val="center"/>
            </w:pPr>
            <w:r>
              <w:rPr>
                <w:rFonts w:hint="eastAsia" w:ascii="黑体" w:hAnsi="宋体" w:eastAsia="黑体" w:cs="黑体"/>
                <w:i w:val="0"/>
                <w:iCs w:val="0"/>
                <w:color w:val="000000"/>
                <w:spacing w:val="0"/>
                <w:sz w:val="18"/>
                <w:szCs w:val="18"/>
                <w:bdr w:val="none" w:color="auto" w:sz="0" w:space="0"/>
              </w:rPr>
              <w:t>纠正</w:t>
            </w:r>
          </w:p>
        </w:tc>
        <w:tc>
          <w:tcPr>
            <w:tcW w:w="345" w:type="dxa"/>
            <w:vMerge w:val="restart"/>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86"/>
              <w:jc w:val="center"/>
            </w:pPr>
            <w:r>
              <w:rPr>
                <w:rFonts w:hint="eastAsia" w:ascii="黑体" w:hAnsi="宋体" w:eastAsia="黑体" w:cs="黑体"/>
                <w:i w:val="0"/>
                <w:iCs w:val="0"/>
                <w:color w:val="000000"/>
                <w:spacing w:val="0"/>
                <w:sz w:val="18"/>
                <w:szCs w:val="18"/>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86"/>
              <w:jc w:val="center"/>
            </w:pPr>
            <w:r>
              <w:rPr>
                <w:rFonts w:hint="eastAsia" w:ascii="黑体" w:hAnsi="宋体" w:eastAsia="黑体" w:cs="黑体"/>
                <w:i w:val="0"/>
                <w:iCs w:val="0"/>
                <w:color w:val="000000"/>
                <w:spacing w:val="0"/>
                <w:sz w:val="18"/>
                <w:szCs w:val="18"/>
                <w:bdr w:val="none" w:color="auto" w:sz="0" w:space="0"/>
              </w:rPr>
              <w:t>结果</w:t>
            </w:r>
          </w:p>
        </w:tc>
        <w:tc>
          <w:tcPr>
            <w:tcW w:w="345" w:type="dxa"/>
            <w:vMerge w:val="restart"/>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pPr>
            <w:r>
              <w:rPr>
                <w:rFonts w:hint="eastAsia" w:ascii="黑体" w:hAnsi="宋体" w:eastAsia="黑体" w:cs="黑体"/>
                <w:i w:val="0"/>
                <w:iCs w:val="0"/>
                <w:color w:val="000000"/>
                <w:spacing w:val="0"/>
                <w:sz w:val="18"/>
                <w:szCs w:val="18"/>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pPr>
            <w:r>
              <w:rPr>
                <w:rFonts w:hint="eastAsia" w:ascii="黑体" w:hAnsi="宋体" w:eastAsia="黑体" w:cs="黑体"/>
                <w:i w:val="0"/>
                <w:iCs w:val="0"/>
                <w:color w:val="000000"/>
                <w:spacing w:val="0"/>
                <w:sz w:val="18"/>
                <w:szCs w:val="18"/>
                <w:bdr w:val="none" w:color="auto" w:sz="0" w:space="0"/>
              </w:rPr>
              <w:t>审结</w:t>
            </w:r>
          </w:p>
        </w:tc>
        <w:tc>
          <w:tcPr>
            <w:tcW w:w="420" w:type="dxa"/>
            <w:vMerge w:val="restart"/>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计</w:t>
            </w:r>
          </w:p>
        </w:tc>
        <w:tc>
          <w:tcPr>
            <w:tcW w:w="2580" w:type="dxa"/>
            <w:gridSpan w:val="5"/>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未经复议直接起诉</w:t>
            </w:r>
          </w:p>
        </w:tc>
        <w:tc>
          <w:tcPr>
            <w:tcW w:w="2625" w:type="dxa"/>
            <w:gridSpan w:val="5"/>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30" w:type="dxa"/>
            <w:vMerge w:val="continue"/>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rPr>
                <w:rFonts w:hint="eastAsia" w:ascii="宋体"/>
                <w:sz w:val="24"/>
                <w:szCs w:val="24"/>
              </w:rPr>
            </w:pPr>
          </w:p>
        </w:tc>
        <w:tc>
          <w:tcPr>
            <w:tcW w:w="345" w:type="dxa"/>
            <w:vMerge w:val="continue"/>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rPr>
                <w:rFonts w:hint="eastAsia" w:ascii="宋体"/>
                <w:sz w:val="24"/>
                <w:szCs w:val="24"/>
              </w:rPr>
            </w:pPr>
          </w:p>
        </w:tc>
        <w:tc>
          <w:tcPr>
            <w:tcW w:w="345"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rPr>
                <w:rFonts w:hint="eastAsia" w:ascii="宋体"/>
                <w:sz w:val="24"/>
                <w:szCs w:val="24"/>
              </w:rPr>
            </w:pPr>
          </w:p>
        </w:tc>
        <w:tc>
          <w:tcPr>
            <w:tcW w:w="345"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rPr>
                <w:rFonts w:hint="eastAsia" w:ascii="宋体"/>
                <w:sz w:val="24"/>
                <w:szCs w:val="24"/>
              </w:rPr>
            </w:pPr>
          </w:p>
        </w:tc>
        <w:tc>
          <w:tcPr>
            <w:tcW w:w="420" w:type="dxa"/>
            <w:vMerge w:val="continue"/>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rPr>
                <w:rFonts w:hint="eastAsia" w:ascii="宋体"/>
                <w:sz w:val="24"/>
                <w:szCs w:val="24"/>
              </w:rPr>
            </w:pPr>
          </w:p>
        </w:tc>
        <w:tc>
          <w:tcPr>
            <w:tcW w:w="31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15"/>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15"/>
              <w:jc w:val="center"/>
            </w:pPr>
            <w:r>
              <w:rPr>
                <w:rFonts w:hint="eastAsia" w:ascii="黑体" w:hAnsi="宋体" w:eastAsia="黑体" w:cs="黑体"/>
                <w:i w:val="0"/>
                <w:iCs w:val="0"/>
                <w:color w:val="000000"/>
                <w:spacing w:val="0"/>
                <w:sz w:val="18"/>
                <w:szCs w:val="18"/>
                <w:bdr w:val="none" w:color="auto" w:sz="0" w:space="0"/>
              </w:rPr>
              <w:t>维持</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pPr>
            <w:r>
              <w:rPr>
                <w:rFonts w:hint="eastAsia" w:ascii="黑体" w:hAnsi="宋体" w:eastAsia="黑体" w:cs="黑体"/>
                <w:i w:val="0"/>
                <w:iCs w:val="0"/>
                <w:color w:val="000000"/>
                <w:spacing w:val="0"/>
                <w:sz w:val="18"/>
                <w:szCs w:val="18"/>
                <w:bdr w:val="none" w:color="auto" w:sz="0" w:space="0"/>
              </w:rPr>
              <w:t>纠正</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30"/>
              <w:jc w:val="center"/>
            </w:pPr>
            <w:r>
              <w:rPr>
                <w:rFonts w:hint="eastAsia" w:ascii="黑体" w:hAnsi="宋体" w:eastAsia="黑体" w:cs="黑体"/>
                <w:i w:val="0"/>
                <w:iCs w:val="0"/>
                <w:color w:val="000000"/>
                <w:spacing w:val="0"/>
                <w:sz w:val="18"/>
                <w:szCs w:val="18"/>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30"/>
              <w:jc w:val="center"/>
            </w:pPr>
            <w:r>
              <w:rPr>
                <w:rFonts w:hint="eastAsia" w:ascii="黑体" w:hAnsi="宋体" w:eastAsia="黑体" w:cs="黑体"/>
                <w:i w:val="0"/>
                <w:iCs w:val="0"/>
                <w:color w:val="000000"/>
                <w:spacing w:val="0"/>
                <w:sz w:val="18"/>
                <w:szCs w:val="18"/>
                <w:bdr w:val="none" w:color="auto" w:sz="0" w:space="0"/>
              </w:rPr>
              <w:t>结果</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44"/>
              <w:jc w:val="center"/>
            </w:pPr>
            <w:r>
              <w:rPr>
                <w:rFonts w:hint="eastAsia" w:ascii="黑体" w:hAnsi="宋体" w:eastAsia="黑体" w:cs="黑体"/>
                <w:i w:val="0"/>
                <w:iCs w:val="0"/>
                <w:color w:val="000000"/>
                <w:spacing w:val="0"/>
                <w:sz w:val="18"/>
                <w:szCs w:val="18"/>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44"/>
              <w:jc w:val="center"/>
            </w:pPr>
            <w:r>
              <w:rPr>
                <w:rFonts w:hint="eastAsia" w:ascii="黑体" w:hAnsi="宋体" w:eastAsia="黑体" w:cs="黑体"/>
                <w:i w:val="0"/>
                <w:iCs w:val="0"/>
                <w:color w:val="000000"/>
                <w:spacing w:val="0"/>
                <w:sz w:val="18"/>
                <w:szCs w:val="18"/>
                <w:bdr w:val="none" w:color="auto" w:sz="0" w:space="0"/>
              </w:rPr>
              <w:t>审结</w:t>
            </w:r>
          </w:p>
        </w:tc>
        <w:tc>
          <w:tcPr>
            <w:tcW w:w="37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总计</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pPr>
            <w:r>
              <w:rPr>
                <w:rFonts w:hint="eastAsia" w:ascii="黑体" w:hAnsi="宋体" w:eastAsia="黑体" w:cs="黑体"/>
                <w:i w:val="0"/>
                <w:iCs w:val="0"/>
                <w:color w:val="000000"/>
                <w:spacing w:val="0"/>
                <w:sz w:val="18"/>
                <w:szCs w:val="18"/>
                <w:bdr w:val="none" w:color="auto" w:sz="0" w:space="0"/>
              </w:rPr>
              <w:t>维持</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15"/>
              <w:jc w:val="center"/>
            </w:pPr>
            <w:r>
              <w:rPr>
                <w:rFonts w:hint="eastAsia" w:ascii="黑体" w:hAnsi="宋体" w:eastAsia="黑体" w:cs="黑体"/>
                <w:i w:val="0"/>
                <w:iCs w:val="0"/>
                <w:color w:val="000000"/>
                <w:spacing w:val="0"/>
                <w:sz w:val="18"/>
                <w:szCs w:val="18"/>
                <w:bdr w:val="none" w:color="auto" w:sz="0" w:space="0"/>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15"/>
              <w:jc w:val="center"/>
            </w:pPr>
            <w:r>
              <w:rPr>
                <w:rFonts w:hint="eastAsia" w:ascii="黑体" w:hAnsi="宋体" w:eastAsia="黑体" w:cs="黑体"/>
                <w:i w:val="0"/>
                <w:iCs w:val="0"/>
                <w:color w:val="000000"/>
                <w:spacing w:val="0"/>
                <w:sz w:val="18"/>
                <w:szCs w:val="18"/>
                <w:bdr w:val="none" w:color="auto" w:sz="0" w:space="0"/>
              </w:rPr>
              <w:t>纠正</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7" w:right="-130"/>
              <w:jc w:val="center"/>
            </w:pPr>
            <w:r>
              <w:rPr>
                <w:rFonts w:hint="eastAsia" w:ascii="黑体" w:hAnsi="宋体" w:eastAsia="黑体" w:cs="黑体"/>
                <w:i w:val="0"/>
                <w:iCs w:val="0"/>
                <w:color w:val="000000"/>
                <w:spacing w:val="0"/>
                <w:sz w:val="18"/>
                <w:szCs w:val="18"/>
                <w:bdr w:val="none" w:color="auto" w:sz="0" w:space="0"/>
              </w:rPr>
              <w:t>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7" w:right="-130"/>
              <w:jc w:val="center"/>
            </w:pPr>
            <w:r>
              <w:rPr>
                <w:rFonts w:hint="eastAsia" w:ascii="黑体" w:hAnsi="宋体" w:eastAsia="黑体" w:cs="黑体"/>
                <w:i w:val="0"/>
                <w:iCs w:val="0"/>
                <w:color w:val="000000"/>
                <w:spacing w:val="0"/>
                <w:sz w:val="18"/>
                <w:szCs w:val="18"/>
                <w:bdr w:val="none" w:color="auto" w:sz="0" w:space="0"/>
              </w:rPr>
              <w:t>结果</w:t>
            </w:r>
          </w:p>
        </w:tc>
        <w:tc>
          <w:tcPr>
            <w:tcW w:w="34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01"/>
              <w:jc w:val="center"/>
            </w:pPr>
            <w:r>
              <w:rPr>
                <w:rFonts w:hint="eastAsia" w:ascii="黑体" w:hAnsi="宋体" w:eastAsia="黑体" w:cs="黑体"/>
                <w:i w:val="0"/>
                <w:iCs w:val="0"/>
                <w:color w:val="000000"/>
                <w:spacing w:val="0"/>
                <w:sz w:val="18"/>
                <w:szCs w:val="18"/>
                <w:bdr w:val="none" w:color="auto" w:sz="0" w:space="0"/>
              </w:rPr>
              <w:t>尚未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01"/>
              <w:jc w:val="center"/>
            </w:pPr>
            <w:r>
              <w:rPr>
                <w:rFonts w:hint="eastAsia" w:ascii="黑体" w:hAnsi="宋体" w:eastAsia="黑体" w:cs="黑体"/>
                <w:i w:val="0"/>
                <w:iCs w:val="0"/>
                <w:color w:val="000000"/>
                <w:spacing w:val="0"/>
                <w:sz w:val="18"/>
                <w:szCs w:val="18"/>
                <w:bdr w:val="none" w:color="auto" w:sz="0" w:space="0"/>
              </w:rPr>
              <w:t>审结</w:t>
            </w:r>
          </w:p>
        </w:tc>
        <w:tc>
          <w:tcPr>
            <w:tcW w:w="375" w:type="dxa"/>
            <w:tcBorders>
              <w:top w:val="single" w:color="000000" w:sz="6" w:space="0"/>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jc w:val="center"/>
        </w:trPr>
        <w:tc>
          <w:tcPr>
            <w:tcW w:w="330" w:type="dxa"/>
            <w:tcBorders>
              <w:top w:val="nil"/>
              <w:left w:val="single" w:color="000000" w:sz="6" w:space="0"/>
              <w:bottom w:val="single" w:color="000000" w:sz="6" w:space="0"/>
              <w:right w:val="single" w:color="000000" w:sz="6" w:space="0"/>
            </w:tcBorders>
            <w:shd w:val="clear"/>
            <w:tcMar>
              <w:top w:w="0" w:type="dxa"/>
              <w:left w:w="101"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Calibri" w:hAnsi="Calibri" w:cs="Calibri"/>
                <w:color w:val="000000"/>
                <w:sz w:val="20"/>
                <w:szCs w:val="20"/>
                <w:bdr w:val="none" w:color="auto" w:sz="0" w:space="0"/>
              </w:rPr>
              <w:t>1</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1</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1</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Calibri" w:hAnsi="Calibri" w:cs="Calibri"/>
                <w:color w:val="000000"/>
                <w:sz w:val="20"/>
                <w:szCs w:val="20"/>
                <w:bdr w:val="none" w:color="auto" w:sz="0" w:space="0"/>
              </w:rPr>
              <w:t>0</w:t>
            </w:r>
          </w:p>
        </w:tc>
        <w:tc>
          <w:tcPr>
            <w:tcW w:w="420"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3</w:t>
            </w:r>
          </w:p>
        </w:tc>
        <w:tc>
          <w:tcPr>
            <w:tcW w:w="31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7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4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c>
          <w:tcPr>
            <w:tcW w:w="375" w:type="dxa"/>
            <w:tcBorders>
              <w:top w:val="nil"/>
              <w:left w:val="nil"/>
              <w:bottom w:val="single" w:color="000000" w:sz="6" w:space="0"/>
              <w:right w:val="single" w:color="000000" w:sz="6" w:space="0"/>
            </w:tcBorders>
            <w:shd w:val="clear"/>
            <w:tcMar>
              <w:top w:w="0" w:type="dxa"/>
              <w:left w:w="0" w:type="dxa"/>
              <w:bottom w:w="0" w:type="dxa"/>
              <w:right w:w="101"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Times New Roman" w:hAnsi="Times New Roman" w:cs="Times New Roman"/>
                <w:i w:val="0"/>
                <w:iCs w:val="0"/>
                <w:color w:val="000000"/>
                <w:spacing w:val="0"/>
                <w:sz w:val="20"/>
                <w:szCs w:val="20"/>
                <w:bdr w:val="none" w:color="auto" w:sz="0" w:space="0"/>
              </w:rPr>
              <w:t>0</w:t>
            </w:r>
          </w:p>
        </w:tc>
      </w:tr>
    </w:tbl>
    <w:p>
      <w:pPr>
        <w:pStyle w:val="3"/>
        <w:keepNext w:val="0"/>
        <w:keepLines w:val="0"/>
        <w:widowControl/>
        <w:suppressLineNumbers w:val="0"/>
        <w:spacing w:before="274" w:beforeAutospacing="0" w:after="274" w:afterAutospacing="0" w:line="374" w:lineRule="atLeast"/>
        <w:ind w:left="0" w:firstLine="605"/>
        <w:jc w:val="both"/>
      </w:pPr>
      <w:bookmarkStart w:id="14" w:name="_GoBack"/>
      <w:r>
        <w:rPr>
          <w:color w:val="000000"/>
          <w:spacing w:val="0"/>
        </w:rPr>
        <w:t> </w:t>
      </w:r>
      <w:r>
        <w:rPr>
          <w:rFonts w:hint="eastAsia" w:ascii="黑体" w:hAnsi="宋体" w:eastAsia="黑体" w:cs="黑体"/>
          <w:b w:val="0"/>
          <w:bCs w:val="0"/>
          <w:i w:val="0"/>
          <w:iCs w:val="0"/>
          <w:color w:val="000000"/>
          <w:spacing w:val="0"/>
          <w:sz w:val="30"/>
          <w:szCs w:val="30"/>
        </w:rPr>
        <w:t>五、存在的主要问题及改进情况</w:t>
      </w:r>
    </w:p>
    <w:p>
      <w:pPr>
        <w:pStyle w:val="3"/>
        <w:keepNext w:val="0"/>
        <w:keepLines w:val="0"/>
        <w:widowControl/>
        <w:suppressLineNumbers w:val="0"/>
        <w:spacing w:before="274" w:beforeAutospacing="0" w:after="274" w:afterAutospacing="0" w:line="374" w:lineRule="atLeast"/>
        <w:ind w:left="0" w:firstLine="418"/>
        <w:jc w:val="both"/>
      </w:pPr>
      <w:r>
        <w:rPr>
          <w:rFonts w:ascii="华文楷体" w:hAnsi="华文楷体" w:eastAsia="华文楷体" w:cs="华文楷体"/>
          <w:b w:val="0"/>
          <w:bCs w:val="0"/>
          <w:color w:val="000000"/>
          <w:sz w:val="30"/>
          <w:szCs w:val="30"/>
          <w:shd w:val="clear" w:fill="FFFFFF"/>
        </w:rPr>
        <w:t>（一）工作中存在的主要困难和问题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bdr w:val="none" w:color="auto" w:sz="0" w:space="0"/>
          <w:shd w:val="clear" w:fill="FFFFFF"/>
        </w:rPr>
        <w:t>2023年，我街道政府信息公开工作虽然取得较好成效，但仍然存在不少困难和问题。主要表现在：一是公开内容不够全面，政务信息公开的时效性有待增强；二是政务信息公开的队伍建设有待进一步加强；三是关于政务信息公开的规范性有待提升问题。</w:t>
      </w:r>
    </w:p>
    <w:p>
      <w:pPr>
        <w:pStyle w:val="3"/>
        <w:keepNext w:val="0"/>
        <w:keepLines w:val="0"/>
        <w:widowControl/>
        <w:suppressLineNumbers w:val="0"/>
        <w:spacing w:before="274" w:beforeAutospacing="0" w:after="274" w:afterAutospacing="0" w:line="374" w:lineRule="atLeast"/>
        <w:ind w:left="0" w:firstLine="418"/>
        <w:jc w:val="both"/>
      </w:pPr>
      <w:r>
        <w:rPr>
          <w:rFonts w:hint="eastAsia" w:ascii="华文楷体" w:hAnsi="华文楷体" w:eastAsia="华文楷体" w:cs="华文楷体"/>
          <w:b w:val="0"/>
          <w:bCs w:val="0"/>
          <w:color w:val="000000"/>
          <w:sz w:val="30"/>
          <w:szCs w:val="30"/>
          <w:shd w:val="clear" w:fill="FFFFFF"/>
        </w:rPr>
        <w:t>（二）具体解决办法和改进措施</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根据市政府对政府信息公开工作的安排部署及要求，我们将进一步加大政府信息公开工作的力度。主要做好以下几个方面的工作：</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一是进一步加强领导。 切实提高政务信息公开工作认识，加强组织领导，强化工作机构职能，形成“主要领导亲自抓、分管领导具体抓、专门部门负责、专人落实”的工作体系，及时梳理、收集信息发布，确保平台中栏目得到及时更新。</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二是加强对政务信息公开队伍建设，着力提高机关工作人员信息公开意识，开展多种形式的交流，开阔工作人员视野，加强信息内容提炼和升华。</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三是进一步规范管理。进一步规范政府信息公开工作流程，认真梳理细化政府信息栏目，进一步扩大公开内容，不断完善政府信息公开目录，强化制度落实，加强日常督导，定期开展检查。</w:t>
      </w:r>
    </w:p>
    <w:p>
      <w:pPr>
        <w:pStyle w:val="3"/>
        <w:keepNext w:val="0"/>
        <w:keepLines w:val="0"/>
        <w:widowControl/>
        <w:suppressLineNumbers w:val="0"/>
        <w:spacing w:before="274" w:beforeAutospacing="0" w:after="0" w:afterAutospacing="0" w:line="605" w:lineRule="atLeast"/>
        <w:ind w:left="0" w:firstLine="634"/>
        <w:jc w:val="left"/>
      </w:pPr>
      <w:r>
        <w:rPr>
          <w:rFonts w:hint="eastAsia" w:ascii="黑体" w:hAnsi="宋体" w:eastAsia="黑体" w:cs="黑体"/>
          <w:b w:val="0"/>
          <w:bCs w:val="0"/>
          <w:i w:val="0"/>
          <w:iCs w:val="0"/>
          <w:color w:val="000000"/>
          <w:spacing w:val="0"/>
          <w:sz w:val="30"/>
          <w:szCs w:val="30"/>
          <w:shd w:val="clear" w:fill="FFFFFF"/>
        </w:rPr>
        <w:t>六、其他需要报告的事项</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1、2023年未收取政府信息公开信息处理费。</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2、2023</w:t>
      </w:r>
      <w:r>
        <w:rPr>
          <w:rFonts w:hint="eastAsia" w:ascii="仿宋_GB2312" w:hAnsi="宋体" w:eastAsia="仿宋_GB2312" w:cs="仿宋_GB2312"/>
          <w:b w:val="0"/>
          <w:bCs w:val="0"/>
          <w:i w:val="0"/>
          <w:iCs w:val="0"/>
          <w:color w:val="000000"/>
          <w:spacing w:val="0"/>
          <w:sz w:val="30"/>
          <w:szCs w:val="30"/>
        </w:rPr>
        <w:t>年龙泉街道认真落实滕州市政务公开工作要点。进一步加强政务信息管理、对政务公开平台进行优化，坚持规</w:t>
      </w:r>
      <w:r>
        <w:rPr>
          <w:rFonts w:hint="eastAsia" w:ascii="仿宋_GB2312" w:hAnsi="宋体" w:eastAsia="仿宋_GB2312" w:cs="仿宋_GB2312"/>
          <w:b w:val="0"/>
          <w:bCs w:val="0"/>
          <w:i w:val="0"/>
          <w:iCs w:val="0"/>
          <w:color w:val="000000"/>
          <w:spacing w:val="0"/>
          <w:sz w:val="30"/>
          <w:szCs w:val="30"/>
          <w:shd w:val="clear" w:fill="FFFFFF"/>
        </w:rPr>
        <w:t>范服务，推进政务公开便民化，将政务公开与政务服务紧密结合，坚持把提升政务公开效能作为助力优化营商环境的有效手段；</w:t>
      </w:r>
      <w:r>
        <w:rPr>
          <w:rFonts w:hint="eastAsia" w:ascii="仿宋_GB2312" w:hAnsi="宋体" w:eastAsia="仿宋_GB2312" w:cs="仿宋_GB2312"/>
          <w:b w:val="0"/>
          <w:bCs w:val="0"/>
          <w:i w:val="0"/>
          <w:iCs w:val="0"/>
          <w:color w:val="000000"/>
          <w:spacing w:val="0"/>
          <w:sz w:val="30"/>
          <w:szCs w:val="30"/>
        </w:rPr>
        <w:t>切实推进政务公开制度化规范化，抓好政府信息公开条例贯彻落实；对政务公开工作进行细化分工，提高工作效率，全力推动各项工作有序开展，确保圆满完成各项指标。</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3、2023年度龙泉街道未办理人大、政协建议提案。</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4</w:t>
      </w:r>
      <w:r>
        <w:rPr>
          <w:rFonts w:hint="eastAsia" w:ascii="仿宋_GB2312" w:hAnsi="宋体" w:eastAsia="仿宋_GB2312" w:cs="仿宋_GB2312"/>
          <w:b w:val="0"/>
          <w:bCs w:val="0"/>
          <w:i w:val="0"/>
          <w:iCs w:val="0"/>
          <w:color w:val="000000"/>
          <w:spacing w:val="0"/>
          <w:sz w:val="30"/>
          <w:szCs w:val="30"/>
        </w:rPr>
        <w:t>、</w:t>
      </w:r>
      <w:r>
        <w:rPr>
          <w:rFonts w:hint="eastAsia" w:ascii="仿宋_GB2312" w:hAnsi="宋体" w:eastAsia="仿宋_GB2312" w:cs="仿宋_GB2312"/>
          <w:b w:val="0"/>
          <w:bCs w:val="0"/>
          <w:i w:val="0"/>
          <w:iCs w:val="0"/>
          <w:color w:val="000000"/>
          <w:spacing w:val="0"/>
          <w:sz w:val="30"/>
          <w:szCs w:val="30"/>
          <w:shd w:val="clear" w:fill="FFFFFF"/>
        </w:rPr>
        <w:t>创新工作思路，拓宽政务公开渠道，认真总结政务公开工作经验；“三字诀”提升公开效能，助优营商环境；畅通政民互动渠道，组织开展“政府开放日”活动。</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5、本年度政府信息公开年报中的数据真实可查。</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6、龙泉街道无需要报告的其他事项。</w:t>
      </w:r>
    </w:p>
    <w:p>
      <w:pPr>
        <w:pStyle w:val="3"/>
        <w:keepNext w:val="0"/>
        <w:keepLines w:val="0"/>
        <w:widowControl/>
        <w:suppressLineNumbers w:val="0"/>
        <w:spacing w:before="274" w:beforeAutospacing="0" w:after="0" w:afterAutospacing="0" w:line="605" w:lineRule="atLeast"/>
        <w:ind w:left="0" w:firstLine="634"/>
        <w:jc w:val="left"/>
      </w:pPr>
      <w:r>
        <w:rPr>
          <w:rFonts w:hint="eastAsia" w:ascii="仿宋_GB2312" w:eastAsia="仿宋_GB2312" w:cs="仿宋_GB2312"/>
          <w:b w:val="0"/>
          <w:bCs w:val="0"/>
          <w:i w:val="0"/>
          <w:iCs w:val="0"/>
          <w:color w:val="000000"/>
          <w:spacing w:val="0"/>
          <w:sz w:val="30"/>
          <w:szCs w:val="30"/>
        </w:rPr>
        <w:t>7、无其他有关文件专门要求通过政府信息公开年度报告予以报告的事项。</w:t>
      </w:r>
    </w:p>
    <w:p>
      <w:pPr>
        <w:pStyle w:val="3"/>
        <w:keepNext w:val="0"/>
        <w:keepLines w:val="0"/>
        <w:widowControl/>
        <w:suppressLineNumbers w:val="0"/>
        <w:spacing w:before="274" w:beforeAutospacing="0" w:after="274" w:afterAutospacing="0" w:line="562" w:lineRule="atLeast"/>
        <w:ind w:left="0" w:firstLine="418"/>
        <w:jc w:val="both"/>
      </w:pPr>
      <w:r>
        <w:rPr>
          <w:color w:val="000000"/>
          <w:spacing w:val="0"/>
          <w:u w:val="none"/>
          <w:shd w:val="clear" w:fill="FFFFFF"/>
        </w:rPr>
        <w:t> </w:t>
      </w:r>
      <w:r>
        <w:rPr>
          <w:rFonts w:hint="eastAsia" w:ascii="仿宋_GB2312" w:eastAsia="仿宋_GB2312" w:cs="仿宋_GB2312"/>
          <w:b w:val="0"/>
          <w:bCs w:val="0"/>
          <w:i w:val="0"/>
          <w:iCs w:val="0"/>
          <w:color w:val="000000"/>
          <w:spacing w:val="0"/>
          <w:sz w:val="30"/>
          <w:szCs w:val="30"/>
        </w:rPr>
        <w:t>本报告的电子版可在“中国滕州网”（http://www.tengzhou.gov.cn/</w:t>
      </w:r>
      <w:r>
        <w:rPr>
          <w:rFonts w:hint="eastAsia" w:ascii="仿宋_GB2312" w:eastAsia="仿宋_GB2312" w:cs="仿宋_GB2312"/>
          <w:b w:val="0"/>
          <w:bCs w:val="0"/>
          <w:i w:val="0"/>
          <w:iCs w:val="0"/>
          <w:color w:val="000000"/>
          <w:spacing w:val="0"/>
          <w:sz w:val="30"/>
          <w:szCs w:val="30"/>
          <w:lang w:eastAsia="zh-CN"/>
        </w:rPr>
        <w:t>）网站查询和下载。如对本报告有任何疑问，请与</w:t>
      </w:r>
      <w:r>
        <w:rPr>
          <w:rFonts w:hint="eastAsia" w:ascii="仿宋_GB2312" w:eastAsia="仿宋_GB2312" w:cs="仿宋_GB2312"/>
          <w:i w:val="0"/>
          <w:iCs w:val="0"/>
          <w:color w:val="000000"/>
          <w:spacing w:val="0"/>
          <w:sz w:val="30"/>
          <w:szCs w:val="30"/>
        </w:rPr>
        <w:t>龙泉街道办事处联系（地址：滕州市龙泉南路2169</w:t>
      </w:r>
      <w:r>
        <w:rPr>
          <w:rFonts w:hint="eastAsia" w:ascii="仿宋_GB2312" w:eastAsia="仿宋_GB2312" w:cs="仿宋_GB2312"/>
          <w:i w:val="0"/>
          <w:iCs w:val="0"/>
          <w:sz w:val="30"/>
          <w:szCs w:val="30"/>
        </w:rPr>
        <w:t>号；邮编：277599；联系电话：0632-5858008）。</w:t>
      </w:r>
    </w:p>
    <w:bookmarkEnd w:id="14"/>
    <w:p>
      <w:pPr>
        <w:pStyle w:val="3"/>
        <w:keepNext w:val="0"/>
        <w:keepLines w:val="0"/>
        <w:widowControl/>
        <w:suppressLineNumbers w:val="0"/>
        <w:spacing w:before="274" w:beforeAutospacing="0" w:after="0" w:afterAutospacing="0" w:line="576" w:lineRule="atLeast"/>
        <w:ind w:left="0" w:firstLine="418"/>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altName w:val="楷体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zE4YzBiMDIwZGFkZGVmMmM5YzUxZmIwMzBiOTMifQ=="/>
  </w:docVars>
  <w:rsids>
    <w:rsidRoot w:val="7673142F"/>
    <w:rsid w:val="50016951"/>
    <w:rsid w:val="7673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2024-01-28T01:35:00Z</dcterms:created>
  <dc:creator>Administrator</dc:creator>
  <cp:lastModifiedBy>Administrator</cp:lastModifiedBy>
  <dcterms:modified xsi:type="dcterms:W3CDTF">2024-01-28T01:54:58Z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76A736A6B2574D8CBC0E674381975A86_11</vt:lpwstr>
  </property>
</Properties>
</file>