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44"/>
          <w:szCs w:val="44"/>
        </w:rPr>
      </w:pPr>
      <w:r>
        <w:rPr>
          <w:rFonts w:hint="eastAsia" w:ascii="宋体" w:hAnsi="宋体" w:eastAsia="宋体" w:cs="宋体"/>
          <w:sz w:val="44"/>
          <w:szCs w:val="44"/>
        </w:rPr>
        <w:t>滕州市羊庄</w:t>
      </w:r>
      <w:r>
        <w:rPr>
          <w:rFonts w:hint="eastAsia" w:ascii="宋体" w:hAnsi="宋体" w:eastAsia="宋体" w:cs="宋体"/>
          <w:sz w:val="44"/>
          <w:szCs w:val="44"/>
          <w:lang w:val="en-US" w:eastAsia="zh-CN"/>
        </w:rPr>
        <w:t>镇人民政府</w:t>
      </w:r>
      <w:r>
        <w:rPr>
          <w:rFonts w:hint="eastAsia" w:ascii="宋体" w:hAnsi="宋体" w:eastAsia="宋体" w:cs="宋体"/>
          <w:sz w:val="44"/>
          <w:szCs w:val="44"/>
        </w:rPr>
        <w:t>2023年政府信息公开工作年度报告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按照《国务院办公厅政府信息与政务公开办公室关于印发&lt;中华人民共和国政府信息公开工作年度报告格式&gt;的通知》（国办公开办函〔2021〕30号）、山东省人民政府办公厅、滕州市人民政府办公室《关于做好2023年政府信息公开工作年度报告编制和发布工作的通知》等文件要求，结合</w:t>
      </w:r>
      <w:r>
        <w:rPr>
          <w:rFonts w:hint="eastAsia" w:ascii="宋体" w:hAnsi="宋体" w:eastAsia="宋体" w:cs="宋体"/>
          <w:sz w:val="24"/>
          <w:szCs w:val="24"/>
          <w:lang w:val="en-US" w:eastAsia="zh-CN"/>
        </w:rPr>
        <w:t>羊庄</w:t>
      </w:r>
      <w:r>
        <w:rPr>
          <w:rFonts w:hint="eastAsia" w:ascii="宋体" w:hAnsi="宋体" w:eastAsia="宋体" w:cs="宋体"/>
          <w:sz w:val="24"/>
          <w:szCs w:val="24"/>
        </w:rPr>
        <w:t>实际</w:t>
      </w:r>
      <w:r>
        <w:rPr>
          <w:rFonts w:hint="eastAsia" w:ascii="宋体" w:hAnsi="宋体" w:eastAsia="宋体" w:cs="宋体"/>
          <w:sz w:val="24"/>
          <w:szCs w:val="24"/>
          <w:lang w:eastAsia="zh-CN"/>
        </w:rPr>
        <w:t>，</w:t>
      </w:r>
      <w:r>
        <w:rPr>
          <w:rFonts w:hint="eastAsia" w:ascii="宋体" w:hAnsi="宋体" w:eastAsia="宋体" w:cs="宋体"/>
          <w:sz w:val="24"/>
          <w:szCs w:val="24"/>
        </w:rPr>
        <w:t>特编制2023年度</w:t>
      </w:r>
      <w:r>
        <w:rPr>
          <w:rFonts w:hint="eastAsia" w:ascii="宋体" w:hAnsi="宋体" w:eastAsia="宋体" w:cs="宋体"/>
          <w:sz w:val="24"/>
          <w:szCs w:val="24"/>
          <w:lang w:val="en-US" w:eastAsia="zh-CN"/>
        </w:rPr>
        <w:t>羊庄</w:t>
      </w:r>
      <w:r>
        <w:rPr>
          <w:rFonts w:hint="eastAsia" w:ascii="宋体" w:hAnsi="宋体" w:eastAsia="宋体" w:cs="宋体"/>
          <w:sz w:val="24"/>
          <w:szCs w:val="24"/>
        </w:rPr>
        <w:t>镇政府信息公开年度报告并向社会公布。报告主要内容包括：总体情况、主动公开政府信息情况、收到和处理政府信息公开申请情况、政府信息公开行政复议、行政诉讼情况、存在的主要问题和改进情况和其他需要报告的事项。年报中所列数据的统计期限自2023年1月1日起至2023年12月31日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pPr>
      <w:r>
        <w:rPr>
          <w:rFonts w:hint="eastAsia" w:ascii="ÃƒÂ¥Ã‚Â¾Ã‚Â®ÃƒÂ¨Ã‚Â½Ã‚Â¯ÃƒÂ©Ã¢â" w:hAnsi="ÃƒÂ¥Ã‚Â¾Ã‚Â®ÃƒÂ¨Ã‚Â½Ã‚Â¯ÃƒÂ©Ã¢â" w:eastAsia="宋体" w:cs="ÃƒÂ¥Ã‚Â¾Ã‚Â®ÃƒÂ¨Ã‚Â½Ã‚Â¯ÃƒÂ©Ã¢â"/>
          <w:b/>
          <w:bCs/>
          <w:i w:val="0"/>
          <w:iCs w:val="0"/>
          <w:caps w:val="0"/>
          <w:color w:val="000000"/>
          <w:spacing w:val="0"/>
          <w:sz w:val="24"/>
          <w:szCs w:val="24"/>
          <w:shd w:val="clear" w:fill="FFFFFF"/>
          <w:lang w:val="en-US" w:eastAsia="zh-CN"/>
        </w:rPr>
        <w:t>一、</w:t>
      </w:r>
      <w:r>
        <w:rPr>
          <w:rFonts w:ascii="ÃƒÂ¥Ã‚Â¾Ã‚Â®ÃƒÂ¨Ã‚Â½Ã‚Â¯ÃƒÂ©Ã¢â" w:hAnsi="ÃƒÂ¥Ã‚Â¾Ã‚Â®ÃƒÂ¨Ã‚Â½Ã‚Â¯ÃƒÂ©Ã¢â" w:eastAsia="ÃƒÂ¥Ã‚Â¾Ã‚Â®ÃƒÂ¨Ã‚Â½Ã‚Â¯ÃƒÂ©Ã¢â" w:cs="ÃƒÂ¥Ã‚Â¾Ã‚Â®ÃƒÂ¨Ã‚Â½Ã‚Â¯ÃƒÂ©Ã¢â"/>
          <w:b/>
          <w:bCs/>
          <w:i w:val="0"/>
          <w:iCs w:val="0"/>
          <w:caps w:val="0"/>
          <w:color w:val="000000"/>
          <w:spacing w:val="0"/>
          <w:sz w:val="24"/>
          <w:szCs w:val="24"/>
          <w:shd w:val="clear" w:fill="FFFFFF"/>
        </w:rPr>
        <w:t>总体情况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lang w:val="en-US" w:eastAsia="zh-CN"/>
        </w:rPr>
        <w:t>2023年</w:t>
      </w:r>
      <w:r>
        <w:rPr>
          <w:rFonts w:hint="eastAsia" w:ascii="宋体" w:hAnsi="宋体" w:eastAsia="宋体" w:cs="宋体"/>
          <w:i w:val="0"/>
          <w:iCs w:val="0"/>
          <w:caps w:val="0"/>
          <w:color w:val="000000"/>
          <w:spacing w:val="0"/>
          <w:sz w:val="24"/>
          <w:szCs w:val="24"/>
          <w:shd w:val="clear" w:fill="FFFFFF"/>
        </w:rPr>
        <w:t>以来，羊庄镇人民政府高度重视政府信息公开工作，认真贯彻落实中央、省、枣庄、滕州两级市政府信息公开工作会议精神，准确把握新时代政务公开工作的职责定位和面临的新形势，秉持“以人为本、服务群众”的工作思路，不断加强组织领导，明确责任分工，夯实工作基础，提升服务质量，优化政府信息公开及公民的依申请公开内容，坚持“以公开为常态、不公开为例外”原则，全面提升政务公开质量和实效，努力打造法治政府、创新政府、廉洁政府和服务型政府，提升政府工作透明度，保障了公民知情权、监督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lang w:eastAsia="zh-CN"/>
        </w:rPr>
        <w:drawing>
          <wp:inline distT="0" distB="0" distL="114300" distR="114300">
            <wp:extent cx="4890135" cy="3141345"/>
            <wp:effectExtent l="0" t="0" r="5715" b="1905"/>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4"/>
                    <a:stretch>
                      <a:fillRect/>
                    </a:stretch>
                  </pic:blipFill>
                  <pic:spPr>
                    <a:xfrm>
                      <a:off x="0" y="0"/>
                      <a:ext cx="4890135" cy="31413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b/>
          <w:bCs/>
          <w:i w:val="0"/>
          <w:iCs w:val="0"/>
          <w:caps w:val="0"/>
          <w:color w:val="000000"/>
          <w:spacing w:val="0"/>
          <w:sz w:val="24"/>
          <w:szCs w:val="24"/>
          <w:shd w:val="clear" w:fill="FFFFFF"/>
        </w:rPr>
        <w:t>（一）主动公开政府信息情况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rPr>
        <w:t>通过滕州市政府信息公开、滕州市羊庄镇人民政府网站、微信、微博等多种途径，及时准确地公开政府信息，共累计更新发布政务信息</w:t>
      </w:r>
      <w:r>
        <w:rPr>
          <w:rFonts w:hint="eastAsia" w:ascii="宋体" w:hAnsi="宋体" w:eastAsia="宋体" w:cs="宋体"/>
          <w:i w:val="0"/>
          <w:iCs w:val="0"/>
          <w:caps w:val="0"/>
          <w:color w:val="000000"/>
          <w:spacing w:val="0"/>
          <w:sz w:val="24"/>
          <w:szCs w:val="24"/>
          <w:shd w:val="clear" w:fill="FFFFFF"/>
          <w:lang w:val="en-US" w:eastAsia="zh-CN"/>
        </w:rPr>
        <w:t>2002</w:t>
      </w:r>
      <w:r>
        <w:rPr>
          <w:rFonts w:hint="eastAsia" w:ascii="宋体" w:hAnsi="宋体" w:eastAsia="宋体" w:cs="宋体"/>
          <w:i w:val="0"/>
          <w:iCs w:val="0"/>
          <w:caps w:val="0"/>
          <w:color w:val="000000"/>
          <w:spacing w:val="0"/>
          <w:sz w:val="24"/>
          <w:szCs w:val="24"/>
          <w:shd w:val="clear" w:fill="FFFFFF"/>
        </w:rPr>
        <w:t>篇，其中通过滕州市羊庄镇人民政府网站发布信息</w:t>
      </w:r>
      <w:r>
        <w:rPr>
          <w:rFonts w:hint="eastAsia" w:ascii="宋体" w:hAnsi="宋体" w:eastAsia="宋体" w:cs="宋体"/>
          <w:i w:val="0"/>
          <w:iCs w:val="0"/>
          <w:caps w:val="0"/>
          <w:color w:val="000000"/>
          <w:spacing w:val="0"/>
          <w:sz w:val="24"/>
          <w:szCs w:val="24"/>
          <w:shd w:val="clear" w:fill="FFFFFF"/>
          <w:lang w:val="en-US" w:eastAsia="zh-CN"/>
        </w:rPr>
        <w:t>358</w:t>
      </w:r>
      <w:r>
        <w:rPr>
          <w:rFonts w:hint="eastAsia" w:ascii="宋体" w:hAnsi="宋体" w:eastAsia="宋体" w:cs="宋体"/>
          <w:i w:val="0"/>
          <w:iCs w:val="0"/>
          <w:caps w:val="0"/>
          <w:color w:val="000000"/>
          <w:spacing w:val="0"/>
          <w:sz w:val="24"/>
          <w:szCs w:val="24"/>
          <w:shd w:val="clear" w:fill="FFFFFF"/>
        </w:rPr>
        <w:t>篇，通过微信公众平台发布信息</w:t>
      </w:r>
      <w:r>
        <w:rPr>
          <w:rFonts w:hint="eastAsia" w:ascii="宋体" w:hAnsi="宋体" w:eastAsia="宋体" w:cs="宋体"/>
          <w:i w:val="0"/>
          <w:iCs w:val="0"/>
          <w:caps w:val="0"/>
          <w:color w:val="000000"/>
          <w:spacing w:val="0"/>
          <w:sz w:val="24"/>
          <w:szCs w:val="24"/>
          <w:shd w:val="clear" w:fill="FFFFFF"/>
          <w:lang w:val="en-US" w:eastAsia="zh-CN"/>
        </w:rPr>
        <w:t>1398</w:t>
      </w:r>
      <w:r>
        <w:rPr>
          <w:rFonts w:hint="eastAsia" w:ascii="宋体" w:hAnsi="宋体" w:eastAsia="宋体" w:cs="宋体"/>
          <w:i w:val="0"/>
          <w:iCs w:val="0"/>
          <w:caps w:val="0"/>
          <w:color w:val="000000"/>
          <w:spacing w:val="0"/>
          <w:sz w:val="24"/>
          <w:szCs w:val="24"/>
          <w:shd w:val="clear" w:fill="FFFFFF"/>
        </w:rPr>
        <w:t>篇，通过新浪微博发布信息227篇，通过信息公开网站主动公开政府信息数</w:t>
      </w:r>
      <w:r>
        <w:rPr>
          <w:rFonts w:hint="eastAsia" w:ascii="宋体" w:hAnsi="宋体" w:eastAsia="宋体" w:cs="宋体"/>
          <w:i w:val="0"/>
          <w:iCs w:val="0"/>
          <w:caps w:val="0"/>
          <w:color w:val="000000"/>
          <w:spacing w:val="0"/>
          <w:sz w:val="24"/>
          <w:szCs w:val="24"/>
          <w:shd w:val="clear" w:fill="FFFFFF"/>
          <w:lang w:val="en-US" w:eastAsia="zh-CN"/>
        </w:rPr>
        <w:t>19</w:t>
      </w:r>
      <w:r>
        <w:rPr>
          <w:rFonts w:hint="eastAsia" w:ascii="宋体" w:hAnsi="宋体" w:eastAsia="宋体" w:cs="宋体"/>
          <w:i w:val="0"/>
          <w:iCs w:val="0"/>
          <w:caps w:val="0"/>
          <w:color w:val="000000"/>
          <w:spacing w:val="0"/>
          <w:sz w:val="24"/>
          <w:szCs w:val="24"/>
          <w:shd w:val="clear" w:fill="FFFFFF"/>
        </w:rPr>
        <w:t>条，其中，通知公告3条，政策文件3条，规划计划3篇，组织管理</w:t>
      </w:r>
      <w:r>
        <w:rPr>
          <w:rFonts w:hint="eastAsia" w:ascii="宋体" w:hAnsi="宋体" w:eastAsia="宋体" w:cs="宋体"/>
          <w:i w:val="0"/>
          <w:iCs w:val="0"/>
          <w:caps w:val="0"/>
          <w:color w:val="000000"/>
          <w:spacing w:val="0"/>
          <w:sz w:val="24"/>
          <w:szCs w:val="24"/>
          <w:shd w:val="clear" w:fill="FFFFFF"/>
          <w:lang w:val="en-US" w:eastAsia="zh-CN"/>
        </w:rPr>
        <w:t>8</w:t>
      </w:r>
      <w:r>
        <w:rPr>
          <w:rFonts w:hint="eastAsia" w:ascii="宋体" w:hAnsi="宋体" w:eastAsia="宋体" w:cs="宋体"/>
          <w:i w:val="0"/>
          <w:iCs w:val="0"/>
          <w:caps w:val="0"/>
          <w:color w:val="000000"/>
          <w:spacing w:val="0"/>
          <w:sz w:val="24"/>
          <w:szCs w:val="24"/>
          <w:shd w:val="clear" w:fill="FFFFFF"/>
        </w:rPr>
        <w:t>篇，公开目录2篇。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lang w:eastAsia="zh-CN"/>
        </w:rPr>
        <w:drawing>
          <wp:inline distT="0" distB="0" distL="114300" distR="114300">
            <wp:extent cx="4124960" cy="2540000"/>
            <wp:effectExtent l="0" t="0" r="8890" b="12700"/>
            <wp:docPr id="2" name="图片 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1"/>
                    <pic:cNvPicPr>
                      <a:picLocks noChangeAspect="1"/>
                    </pic:cNvPicPr>
                  </pic:nvPicPr>
                  <pic:blipFill>
                    <a:blip r:embed="rId5"/>
                    <a:stretch>
                      <a:fillRect/>
                    </a:stretch>
                  </pic:blipFill>
                  <pic:spPr>
                    <a:xfrm>
                      <a:off x="0" y="0"/>
                      <a:ext cx="4124960" cy="25400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000000"/>
          <w:spacing w:val="0"/>
          <w:sz w:val="24"/>
          <w:szCs w:val="24"/>
          <w:shd w:val="clear" w:fill="FFFFFF"/>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lang w:eastAsia="zh-CN"/>
        </w:rPr>
        <w:drawing>
          <wp:inline distT="0" distB="0" distL="114300" distR="114300">
            <wp:extent cx="4145915" cy="3627755"/>
            <wp:effectExtent l="0" t="0" r="6985" b="10795"/>
            <wp:docPr id="4" name="图片 4" descr="3-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2_副本"/>
                    <pic:cNvPicPr>
                      <a:picLocks noChangeAspect="1"/>
                    </pic:cNvPicPr>
                  </pic:nvPicPr>
                  <pic:blipFill>
                    <a:blip r:embed="rId6"/>
                    <a:stretch>
                      <a:fillRect/>
                    </a:stretch>
                  </pic:blipFill>
                  <pic:spPr>
                    <a:xfrm>
                      <a:off x="0" y="0"/>
                      <a:ext cx="4145915" cy="36277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b/>
          <w:bCs/>
          <w:i w:val="0"/>
          <w:iCs w:val="0"/>
          <w:caps w:val="0"/>
          <w:color w:val="000000"/>
          <w:spacing w:val="0"/>
          <w:sz w:val="24"/>
          <w:szCs w:val="24"/>
          <w:shd w:val="clear" w:fill="FFFFFF"/>
        </w:rPr>
        <w:t>（二）政府信息依申请公开情况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202</w:t>
      </w:r>
      <w:r>
        <w:rPr>
          <w:rFonts w:hint="eastAsia" w:ascii="宋体" w:hAnsi="宋体" w:eastAsia="宋体" w:cs="宋体"/>
          <w:i w:val="0"/>
          <w:iCs w:val="0"/>
          <w:caps w:val="0"/>
          <w:color w:val="000000"/>
          <w:spacing w:val="0"/>
          <w:sz w:val="24"/>
          <w:szCs w:val="24"/>
          <w:shd w:val="clear" w:fill="FFFFFF"/>
          <w:lang w:val="en-US" w:eastAsia="zh-CN"/>
        </w:rPr>
        <w:t>3</w:t>
      </w:r>
      <w:r>
        <w:rPr>
          <w:rFonts w:hint="eastAsia" w:ascii="宋体" w:hAnsi="宋体" w:eastAsia="宋体" w:cs="宋体"/>
          <w:i w:val="0"/>
          <w:iCs w:val="0"/>
          <w:caps w:val="0"/>
          <w:color w:val="000000"/>
          <w:spacing w:val="0"/>
          <w:sz w:val="24"/>
          <w:szCs w:val="24"/>
          <w:shd w:val="clear" w:fill="FFFFFF"/>
        </w:rPr>
        <w:t>年，羊庄镇人民政府</w:t>
      </w:r>
      <w:r>
        <w:rPr>
          <w:rFonts w:hint="eastAsia" w:ascii="宋体" w:hAnsi="宋体" w:eastAsia="宋体" w:cs="宋体"/>
          <w:i w:val="0"/>
          <w:iCs w:val="0"/>
          <w:caps w:val="0"/>
          <w:color w:val="000000"/>
          <w:spacing w:val="0"/>
          <w:sz w:val="24"/>
          <w:szCs w:val="24"/>
          <w:shd w:val="clear" w:fill="FFFFFF"/>
          <w:lang w:val="en-US" w:eastAsia="zh-CN"/>
        </w:rPr>
        <w:t>未收到处理</w:t>
      </w:r>
      <w:r>
        <w:rPr>
          <w:rFonts w:hint="eastAsia" w:ascii="宋体" w:hAnsi="宋体" w:eastAsia="宋体" w:cs="宋体"/>
          <w:i w:val="0"/>
          <w:iCs w:val="0"/>
          <w:caps w:val="0"/>
          <w:color w:val="000000"/>
          <w:spacing w:val="0"/>
          <w:sz w:val="24"/>
          <w:szCs w:val="24"/>
          <w:shd w:val="clear" w:fill="FFFFFF"/>
        </w:rPr>
        <w:t>依申请公开政府信息事项。本年度无因政府信息公开工作被申请行政复议、提起行政诉讼情况。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lang w:val="en-US" w:eastAsia="zh-CN"/>
        </w:rPr>
        <w:t>2022年，羊庄镇人民政府未收到处理</w:t>
      </w:r>
      <w:r>
        <w:rPr>
          <w:rFonts w:hint="eastAsia" w:ascii="宋体" w:hAnsi="宋体" w:eastAsia="宋体" w:cs="宋体"/>
          <w:i w:val="0"/>
          <w:iCs w:val="0"/>
          <w:caps w:val="0"/>
          <w:color w:val="000000"/>
          <w:spacing w:val="0"/>
          <w:sz w:val="24"/>
          <w:szCs w:val="24"/>
          <w:shd w:val="clear" w:fill="FFFFFF"/>
        </w:rPr>
        <w:t>依申请公开政府信息事项。</w:t>
      </w:r>
      <w:r>
        <w:rPr>
          <w:rFonts w:hint="eastAsia" w:ascii="宋体" w:hAnsi="宋体" w:eastAsia="宋体" w:cs="宋体"/>
          <w:i w:val="0"/>
          <w:iCs w:val="0"/>
          <w:caps w:val="0"/>
          <w:color w:val="000000"/>
          <w:spacing w:val="0"/>
          <w:sz w:val="24"/>
          <w:szCs w:val="24"/>
          <w:shd w:val="clear" w:fill="FFFFFF"/>
          <w:lang w:val="en-US" w:eastAsia="zh-CN"/>
        </w:rPr>
        <w:t>与2022年相比，2023年数量未发生变化。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b/>
          <w:bCs/>
          <w:i w:val="0"/>
          <w:iCs w:val="0"/>
          <w:caps w:val="0"/>
          <w:color w:val="000000"/>
          <w:spacing w:val="0"/>
          <w:sz w:val="24"/>
          <w:szCs w:val="24"/>
          <w:shd w:val="clear" w:fill="FFFFFF"/>
        </w:rPr>
        <w:t>（</w:t>
      </w:r>
      <w:r>
        <w:rPr>
          <w:rFonts w:hint="eastAsia" w:ascii="宋体" w:hAnsi="宋体" w:eastAsia="宋体" w:cs="宋体"/>
          <w:b/>
          <w:bCs/>
          <w:i w:val="0"/>
          <w:iCs w:val="0"/>
          <w:caps w:val="0"/>
          <w:color w:val="000000"/>
          <w:spacing w:val="0"/>
          <w:sz w:val="24"/>
          <w:szCs w:val="24"/>
          <w:shd w:val="clear" w:fill="FFFFFF"/>
          <w:lang w:val="en-US" w:eastAsia="zh-CN"/>
        </w:rPr>
        <w:t>三</w:t>
      </w:r>
      <w:r>
        <w:rPr>
          <w:rFonts w:hint="eastAsia" w:ascii="宋体" w:hAnsi="宋体" w:eastAsia="宋体" w:cs="宋体"/>
          <w:b/>
          <w:bCs/>
          <w:i w:val="0"/>
          <w:iCs w:val="0"/>
          <w:caps w:val="0"/>
          <w:color w:val="000000"/>
          <w:spacing w:val="0"/>
          <w:sz w:val="24"/>
          <w:szCs w:val="24"/>
          <w:shd w:val="clear" w:fill="FFFFFF"/>
        </w:rPr>
        <w:t>）政府信息管理情况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羊庄镇人民政府结合工作实际，按省、枣庄、滕州两级市政府信息公开工作要求，不断优化政府信息公开工作制度和工作措施。成立了羊庄镇政府信息公开工作领导小组，加强对政府信息公开工作的领导和实施，全面推进全镇政府信息公开工作。镇党政办公室、宣传信息室、精神文明室具体负责信息公开的汇总、审核、公布和受理申请等工作，严格开展政府信息公开内容审查。202</w:t>
      </w:r>
      <w:r>
        <w:rPr>
          <w:rFonts w:hint="eastAsia" w:ascii="宋体" w:hAnsi="宋体" w:eastAsia="宋体" w:cs="宋体"/>
          <w:i w:val="0"/>
          <w:iCs w:val="0"/>
          <w:caps w:val="0"/>
          <w:color w:val="000000"/>
          <w:spacing w:val="0"/>
          <w:sz w:val="24"/>
          <w:szCs w:val="24"/>
          <w:shd w:val="clear" w:fill="FFFFFF"/>
          <w:lang w:val="en-US" w:eastAsia="zh-CN"/>
        </w:rPr>
        <w:t>3</w:t>
      </w:r>
      <w:r>
        <w:rPr>
          <w:rFonts w:hint="eastAsia" w:ascii="宋体" w:hAnsi="宋体" w:eastAsia="宋体" w:cs="宋体"/>
          <w:i w:val="0"/>
          <w:iCs w:val="0"/>
          <w:caps w:val="0"/>
          <w:color w:val="000000"/>
          <w:spacing w:val="0"/>
          <w:sz w:val="24"/>
          <w:szCs w:val="24"/>
          <w:shd w:val="clear" w:fill="FFFFFF"/>
        </w:rPr>
        <w:t>年度，无违反规定和失泄密情况。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b/>
          <w:bCs/>
          <w:i w:val="0"/>
          <w:iCs w:val="0"/>
          <w:caps w:val="0"/>
          <w:color w:val="000000"/>
          <w:spacing w:val="0"/>
          <w:sz w:val="24"/>
          <w:szCs w:val="24"/>
          <w:shd w:val="clear" w:fill="FFFFFF"/>
        </w:rPr>
        <w:t>（</w:t>
      </w:r>
      <w:r>
        <w:rPr>
          <w:rFonts w:hint="eastAsia" w:ascii="宋体" w:hAnsi="宋体" w:eastAsia="宋体" w:cs="宋体"/>
          <w:b/>
          <w:bCs/>
          <w:i w:val="0"/>
          <w:iCs w:val="0"/>
          <w:caps w:val="0"/>
          <w:color w:val="000000"/>
          <w:spacing w:val="0"/>
          <w:sz w:val="24"/>
          <w:szCs w:val="24"/>
          <w:shd w:val="clear" w:fill="FFFFFF"/>
          <w:lang w:val="en-US" w:eastAsia="zh-CN"/>
        </w:rPr>
        <w:t>四</w:t>
      </w:r>
      <w:r>
        <w:rPr>
          <w:rFonts w:hint="eastAsia" w:ascii="宋体" w:hAnsi="宋体" w:eastAsia="宋体" w:cs="宋体"/>
          <w:b/>
          <w:bCs/>
          <w:i w:val="0"/>
          <w:iCs w:val="0"/>
          <w:caps w:val="0"/>
          <w:color w:val="000000"/>
          <w:spacing w:val="0"/>
          <w:sz w:val="24"/>
          <w:szCs w:val="24"/>
          <w:shd w:val="clear" w:fill="FFFFFF"/>
        </w:rPr>
        <w:t>）公开平台建设情况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按照上级对政府信息平台建设工作的要求，结合工作实际，规范建设了滕州市羊庄镇人民政府门户网站，通过网站及时向社会发布羊庄镇的工作动态、通知公告等内容；同时开通了微羊庄微信公众号、微羊庄新浪微博账号及时、准确、全面地社会推送羊庄镇经济社会发展的相关信息。此外，还</w:t>
      </w:r>
      <w:r>
        <w:rPr>
          <w:rFonts w:hint="eastAsia" w:ascii="宋体" w:hAnsi="宋体" w:eastAsia="宋体" w:cs="宋体"/>
          <w:i w:val="0"/>
          <w:iCs w:val="0"/>
          <w:caps w:val="0"/>
          <w:color w:val="000000"/>
          <w:spacing w:val="0"/>
          <w:sz w:val="24"/>
          <w:szCs w:val="24"/>
          <w:shd w:val="clear" w:fill="FFFFFF"/>
          <w:lang w:val="en-US" w:eastAsia="zh-CN"/>
        </w:rPr>
        <w:t>继续保持专人维护</w:t>
      </w:r>
      <w:r>
        <w:rPr>
          <w:rFonts w:hint="eastAsia" w:ascii="宋体" w:hAnsi="宋体" w:eastAsia="宋体" w:cs="宋体"/>
          <w:i w:val="0"/>
          <w:iCs w:val="0"/>
          <w:caps w:val="0"/>
          <w:color w:val="000000"/>
          <w:spacing w:val="0"/>
          <w:sz w:val="24"/>
          <w:szCs w:val="24"/>
          <w:shd w:val="clear" w:fill="FFFFFF"/>
        </w:rPr>
        <w:t>羊庄镇为民服务中心政务公开体验区，开展政府开放日等相关活动，提升群众政务公开参与度。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lang w:eastAsia="zh-CN"/>
        </w:rPr>
        <w:drawing>
          <wp:inline distT="0" distB="0" distL="114300" distR="114300">
            <wp:extent cx="5269865" cy="3137535"/>
            <wp:effectExtent l="0" t="0" r="6985" b="5715"/>
            <wp:docPr id="5" name="图片 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
                    <pic:cNvPicPr>
                      <a:picLocks noChangeAspect="1"/>
                    </pic:cNvPicPr>
                  </pic:nvPicPr>
                  <pic:blipFill>
                    <a:blip r:embed="rId7"/>
                    <a:stretch>
                      <a:fillRect/>
                    </a:stretch>
                  </pic:blipFill>
                  <pic:spPr>
                    <a:xfrm>
                      <a:off x="0" y="0"/>
                      <a:ext cx="5269865" cy="31375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lang w:eastAsia="zh-CN"/>
        </w:rPr>
        <w:drawing>
          <wp:inline distT="0" distB="0" distL="114300" distR="114300">
            <wp:extent cx="4453255" cy="4257040"/>
            <wp:effectExtent l="0" t="0" r="4445" b="10160"/>
            <wp:docPr id="7" name="图片 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
                    <pic:cNvPicPr>
                      <a:picLocks noChangeAspect="1"/>
                    </pic:cNvPicPr>
                  </pic:nvPicPr>
                  <pic:blipFill>
                    <a:blip r:embed="rId8"/>
                    <a:stretch>
                      <a:fillRect/>
                    </a:stretch>
                  </pic:blipFill>
                  <pic:spPr>
                    <a:xfrm>
                      <a:off x="0" y="0"/>
                      <a:ext cx="4453255" cy="42570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lang w:eastAsia="zh-CN"/>
        </w:rPr>
        <w:drawing>
          <wp:inline distT="0" distB="0" distL="114300" distR="114300">
            <wp:extent cx="4606925" cy="4378960"/>
            <wp:effectExtent l="0" t="0" r="3175" b="2540"/>
            <wp:docPr id="8" name="图片 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3"/>
                    <pic:cNvPicPr>
                      <a:picLocks noChangeAspect="1"/>
                    </pic:cNvPicPr>
                  </pic:nvPicPr>
                  <pic:blipFill>
                    <a:blip r:embed="rId9"/>
                    <a:stretch>
                      <a:fillRect/>
                    </a:stretch>
                  </pic:blipFill>
                  <pic:spPr>
                    <a:xfrm>
                      <a:off x="0" y="0"/>
                      <a:ext cx="4606925" cy="437896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000000"/>
          <w:spacing w:val="0"/>
          <w:sz w:val="24"/>
          <w:szCs w:val="24"/>
          <w:shd w:val="clear" w:fill="FFFFFF"/>
          <w:lang w:eastAsia="zh-CN"/>
        </w:rPr>
      </w:pPr>
      <w:r>
        <w:rPr>
          <w:rFonts w:hint="eastAsia" w:ascii="宋体" w:hAnsi="宋体" w:eastAsia="宋体" w:cs="宋体"/>
          <w:i w:val="0"/>
          <w:iCs w:val="0"/>
          <w:caps w:val="0"/>
          <w:color w:val="000000"/>
          <w:spacing w:val="0"/>
          <w:sz w:val="24"/>
          <w:szCs w:val="24"/>
          <w:shd w:val="clear" w:fill="FFFFFF"/>
          <w:lang w:eastAsia="zh-CN"/>
        </w:rPr>
        <w:drawing>
          <wp:inline distT="0" distB="0" distL="114300" distR="114300">
            <wp:extent cx="5269230" cy="4537710"/>
            <wp:effectExtent l="0" t="0" r="7620" b="15240"/>
            <wp:docPr id="9" name="图片 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4"/>
                    <pic:cNvPicPr>
                      <a:picLocks noChangeAspect="1"/>
                    </pic:cNvPicPr>
                  </pic:nvPicPr>
                  <pic:blipFill>
                    <a:blip r:embed="rId10"/>
                    <a:stretch>
                      <a:fillRect/>
                    </a:stretch>
                  </pic:blipFill>
                  <pic:spPr>
                    <a:xfrm>
                      <a:off x="0" y="0"/>
                      <a:ext cx="5269230" cy="45377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b/>
          <w:bCs/>
          <w:i w:val="0"/>
          <w:iCs w:val="0"/>
          <w:caps w:val="0"/>
          <w:color w:val="000000"/>
          <w:spacing w:val="0"/>
          <w:sz w:val="24"/>
          <w:szCs w:val="24"/>
          <w:shd w:val="clear" w:fill="FFFFFF"/>
        </w:rPr>
        <w:t>（六）监督保障情况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建立规范的问责体系健全制度，落实责任，羊庄镇结合工作实际，按全省、市政府信息公开工作要求，进一步细化政府信息公开相关制度和工作措施。建立健全政府信息上报制度、政府信息审核制度、政府信息公开保密审查制度。落实保密审查责任，规范审查程序。纳入202</w:t>
      </w:r>
      <w:r>
        <w:rPr>
          <w:rFonts w:hint="eastAsia" w:ascii="宋体" w:hAnsi="宋体" w:eastAsia="宋体" w:cs="宋体"/>
          <w:i w:val="0"/>
          <w:iCs w:val="0"/>
          <w:caps w:val="0"/>
          <w:color w:val="000000"/>
          <w:spacing w:val="0"/>
          <w:sz w:val="24"/>
          <w:szCs w:val="24"/>
          <w:shd w:val="clear" w:fill="FFFFFF"/>
          <w:lang w:val="en-US" w:eastAsia="zh-CN"/>
        </w:rPr>
        <w:t>3</w:t>
      </w:r>
      <w:r>
        <w:rPr>
          <w:rFonts w:hint="eastAsia" w:ascii="宋体" w:hAnsi="宋体" w:eastAsia="宋体" w:cs="宋体"/>
          <w:i w:val="0"/>
          <w:iCs w:val="0"/>
          <w:caps w:val="0"/>
          <w:color w:val="000000"/>
          <w:spacing w:val="0"/>
          <w:sz w:val="24"/>
          <w:szCs w:val="24"/>
          <w:shd w:val="clear" w:fill="FFFFFF"/>
        </w:rPr>
        <w:t>年滕州市镇街政务公开工作考核，未进行社会评议，未发生责任追究情况。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000000"/>
          <w:spacing w:val="0"/>
          <w:sz w:val="24"/>
          <w:szCs w:val="24"/>
          <w:shd w:val="clear" w:fill="FFFFFF"/>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420" w:leftChars="0" w:right="0" w:rightChars="0"/>
        <w:jc w:val="both"/>
        <w:rPr>
          <w:rStyle w:val="5"/>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pP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both"/>
        <w:rPr>
          <w:rStyle w:val="5"/>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pPr>
      <w:r>
        <w:rPr>
          <w:rStyle w:val="5"/>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t>主动公开政府信息情况</w:t>
      </w:r>
    </w:p>
    <w:tbl>
      <w:tblPr>
        <w:tblStyle w:val="3"/>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855"/>
        <w:gridCol w:w="1727"/>
        <w:gridCol w:w="1806"/>
        <w:gridCol w:w="3148"/>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567" w:hRule="atLeast"/>
        </w:trPr>
        <w:tc>
          <w:tcPr>
            <w:tcW w:w="8536" w:type="dxa"/>
            <w:gridSpan w:val="4"/>
            <w:tcBorders>
              <w:top w:val="single" w:color="000000" w:sz="6" w:space="0"/>
              <w:left w:val="single" w:color="000000" w:sz="6" w:space="0"/>
              <w:bottom w:val="single" w:color="000000" w:sz="6" w:space="0"/>
              <w:right w:val="single" w:color="000000" w:sz="6" w:space="0"/>
            </w:tcBorders>
            <w:shd w:val="clear" w:color="auto" w:fill="C6D9F1"/>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第二十条第（一）项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567" w:hRule="atLeast"/>
        </w:trPr>
        <w:tc>
          <w:tcPr>
            <w:tcW w:w="1855"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信息内容</w:t>
            </w:r>
          </w:p>
        </w:tc>
        <w:tc>
          <w:tcPr>
            <w:tcW w:w="1727"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本年制发件数</w:t>
            </w:r>
          </w:p>
        </w:tc>
        <w:tc>
          <w:tcPr>
            <w:tcW w:w="1806"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本年废止件数</w:t>
            </w:r>
          </w:p>
        </w:tc>
        <w:tc>
          <w:tcPr>
            <w:tcW w:w="3148" w:type="dxa"/>
            <w:tcBorders>
              <w:top w:val="nil"/>
              <w:left w:val="single" w:color="000000" w:sz="6" w:space="0"/>
              <w:bottom w:val="single" w:color="000000" w:sz="6" w:space="0"/>
              <w:right w:val="single" w:color="000000" w:sz="6" w:space="0"/>
            </w:tcBorders>
            <w:shd w:val="clear" w:color="auto" w:fill="FFFFFF"/>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现行有效件数</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567" w:hRule="atLeast"/>
        </w:trPr>
        <w:tc>
          <w:tcPr>
            <w:tcW w:w="1855"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规章</w:t>
            </w:r>
          </w:p>
        </w:tc>
        <w:tc>
          <w:tcPr>
            <w:tcW w:w="1727"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0</w:t>
            </w:r>
          </w:p>
        </w:tc>
        <w:tc>
          <w:tcPr>
            <w:tcW w:w="1806"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0</w:t>
            </w:r>
          </w:p>
        </w:tc>
        <w:tc>
          <w:tcPr>
            <w:tcW w:w="3148" w:type="dxa"/>
            <w:tcBorders>
              <w:top w:val="nil"/>
              <w:left w:val="single" w:color="000000" w:sz="6" w:space="0"/>
              <w:bottom w:val="single" w:color="000000" w:sz="6" w:space="0"/>
              <w:right w:val="single" w:color="000000" w:sz="6" w:space="0"/>
            </w:tcBorders>
            <w:shd w:val="clear" w:color="auto" w:fill="FFFFFF"/>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567" w:hRule="atLeast"/>
        </w:trPr>
        <w:tc>
          <w:tcPr>
            <w:tcW w:w="1855"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行政规范性文件</w:t>
            </w:r>
          </w:p>
        </w:tc>
        <w:tc>
          <w:tcPr>
            <w:tcW w:w="1727"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0</w:t>
            </w:r>
          </w:p>
        </w:tc>
        <w:tc>
          <w:tcPr>
            <w:tcW w:w="1806"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0</w:t>
            </w:r>
          </w:p>
        </w:tc>
        <w:tc>
          <w:tcPr>
            <w:tcW w:w="3148" w:type="dxa"/>
            <w:tcBorders>
              <w:top w:val="nil"/>
              <w:left w:val="single" w:color="000000" w:sz="6" w:space="0"/>
              <w:bottom w:val="single" w:color="000000" w:sz="6" w:space="0"/>
              <w:right w:val="single" w:color="000000" w:sz="6" w:space="0"/>
            </w:tcBorders>
            <w:shd w:val="clear" w:color="auto" w:fill="FFFFFF"/>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567" w:hRule="atLeast"/>
        </w:trPr>
        <w:tc>
          <w:tcPr>
            <w:tcW w:w="8536" w:type="dxa"/>
            <w:gridSpan w:val="4"/>
            <w:tcBorders>
              <w:top w:val="single" w:color="000000" w:sz="6" w:space="0"/>
              <w:left w:val="single" w:color="000000" w:sz="6" w:space="0"/>
              <w:bottom w:val="single" w:color="000000" w:sz="6" w:space="0"/>
              <w:right w:val="single" w:color="000000" w:sz="6" w:space="0"/>
            </w:tcBorders>
            <w:shd w:val="clear" w:color="auto" w:fill="C6D9F1"/>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第二十条第（五）项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567" w:hRule="atLeast"/>
        </w:trPr>
        <w:tc>
          <w:tcPr>
            <w:tcW w:w="1855"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信息内容</w:t>
            </w:r>
          </w:p>
        </w:tc>
        <w:tc>
          <w:tcPr>
            <w:tcW w:w="6681" w:type="dxa"/>
            <w:gridSpan w:val="3"/>
            <w:tcBorders>
              <w:top w:val="single" w:color="000000" w:sz="6" w:space="0"/>
              <w:left w:val="single" w:color="000000" w:sz="6" w:space="0"/>
              <w:bottom w:val="single" w:color="000000" w:sz="6" w:space="0"/>
              <w:right w:val="single" w:color="000000" w:sz="6" w:space="0"/>
            </w:tcBorders>
            <w:shd w:val="clear" w:color="auto" w:fill="FFFFFF"/>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567" w:hRule="atLeast"/>
        </w:trPr>
        <w:tc>
          <w:tcPr>
            <w:tcW w:w="1855"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行政许可</w:t>
            </w:r>
          </w:p>
        </w:tc>
        <w:tc>
          <w:tcPr>
            <w:tcW w:w="6681" w:type="dxa"/>
            <w:gridSpan w:val="3"/>
            <w:tcBorders>
              <w:top w:val="single" w:color="000000" w:sz="6" w:space="0"/>
              <w:left w:val="single" w:color="000000" w:sz="6" w:space="0"/>
              <w:bottom w:val="single" w:color="000000" w:sz="6" w:space="0"/>
              <w:right w:val="single" w:color="000000" w:sz="6" w:space="0"/>
            </w:tcBorders>
            <w:shd w:val="clear" w:color="auto" w:fill="FFFFFF"/>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567" w:hRule="atLeast"/>
        </w:trPr>
        <w:tc>
          <w:tcPr>
            <w:tcW w:w="8536" w:type="dxa"/>
            <w:gridSpan w:val="4"/>
            <w:tcBorders>
              <w:top w:val="single" w:color="000000" w:sz="6" w:space="0"/>
              <w:left w:val="single" w:color="000000" w:sz="6" w:space="0"/>
              <w:bottom w:val="single" w:color="000000" w:sz="6" w:space="0"/>
              <w:right w:val="single" w:color="000000" w:sz="6" w:space="0"/>
            </w:tcBorders>
            <w:shd w:val="clear" w:color="auto" w:fill="C6D9F1"/>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第二十条第（六）项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567" w:hRule="atLeast"/>
        </w:trPr>
        <w:tc>
          <w:tcPr>
            <w:tcW w:w="1855"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信息内容</w:t>
            </w:r>
          </w:p>
        </w:tc>
        <w:tc>
          <w:tcPr>
            <w:tcW w:w="6681" w:type="dxa"/>
            <w:gridSpan w:val="3"/>
            <w:tcBorders>
              <w:top w:val="single" w:color="000000" w:sz="6" w:space="0"/>
              <w:left w:val="single" w:color="000000" w:sz="6" w:space="0"/>
              <w:bottom w:val="single" w:color="000000" w:sz="6" w:space="0"/>
              <w:right w:val="single" w:color="000000" w:sz="6" w:space="0"/>
            </w:tcBorders>
            <w:shd w:val="clear" w:color="auto" w:fill="FFFFFF"/>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本年处理决定数量</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567" w:hRule="atLeast"/>
        </w:trPr>
        <w:tc>
          <w:tcPr>
            <w:tcW w:w="1855"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行政处罚</w:t>
            </w:r>
          </w:p>
        </w:tc>
        <w:tc>
          <w:tcPr>
            <w:tcW w:w="6681" w:type="dxa"/>
            <w:gridSpan w:val="3"/>
            <w:tcBorders>
              <w:top w:val="single" w:color="000000" w:sz="6" w:space="0"/>
              <w:left w:val="single" w:color="000000" w:sz="6" w:space="0"/>
              <w:bottom w:val="single" w:color="000000" w:sz="6" w:space="0"/>
              <w:right w:val="single" w:color="000000" w:sz="6" w:space="0"/>
            </w:tcBorders>
            <w:shd w:val="clear" w:color="auto" w:fill="FFFFFF"/>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567" w:hRule="atLeast"/>
        </w:trPr>
        <w:tc>
          <w:tcPr>
            <w:tcW w:w="1855"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行政强制</w:t>
            </w:r>
          </w:p>
        </w:tc>
        <w:tc>
          <w:tcPr>
            <w:tcW w:w="6681" w:type="dxa"/>
            <w:gridSpan w:val="3"/>
            <w:tcBorders>
              <w:top w:val="single" w:color="000000" w:sz="6" w:space="0"/>
              <w:left w:val="single" w:color="000000" w:sz="6" w:space="0"/>
              <w:bottom w:val="single" w:color="000000" w:sz="6" w:space="0"/>
              <w:right w:val="single" w:color="000000" w:sz="6" w:space="0"/>
            </w:tcBorders>
            <w:shd w:val="clear" w:color="auto" w:fill="FFFFFF"/>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0</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567" w:hRule="atLeast"/>
        </w:trPr>
        <w:tc>
          <w:tcPr>
            <w:tcW w:w="8536" w:type="dxa"/>
            <w:gridSpan w:val="4"/>
            <w:tcBorders>
              <w:top w:val="single" w:color="000000" w:sz="6" w:space="0"/>
              <w:left w:val="single" w:color="000000" w:sz="6" w:space="0"/>
              <w:bottom w:val="single" w:color="000000" w:sz="6" w:space="0"/>
              <w:right w:val="single" w:color="000000" w:sz="6" w:space="0"/>
            </w:tcBorders>
            <w:shd w:val="clear" w:color="auto" w:fill="C6D9F1"/>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第二十条第（八）项</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cantSplit/>
          <w:trHeight w:val="567" w:hRule="atLeast"/>
        </w:trPr>
        <w:tc>
          <w:tcPr>
            <w:tcW w:w="1855"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信息内容</w:t>
            </w:r>
          </w:p>
        </w:tc>
        <w:tc>
          <w:tcPr>
            <w:tcW w:w="6681" w:type="dxa"/>
            <w:gridSpan w:val="3"/>
            <w:tcBorders>
              <w:top w:val="single" w:color="000000" w:sz="6" w:space="0"/>
              <w:left w:val="single" w:color="000000" w:sz="6" w:space="0"/>
              <w:bottom w:val="single" w:color="000000" w:sz="6" w:space="0"/>
              <w:right w:val="single" w:color="000000" w:sz="6" w:space="0"/>
            </w:tcBorders>
            <w:shd w:val="clear" w:color="auto" w:fill="FFFFFF"/>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本年收费金额（单位：万元）</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cantSplit/>
          <w:trHeight w:val="567" w:hRule="atLeast"/>
        </w:trPr>
        <w:tc>
          <w:tcPr>
            <w:tcW w:w="1855" w:type="dxa"/>
            <w:tcBorders>
              <w:top w:val="nil"/>
              <w:left w:val="single" w:color="000000" w:sz="6" w:space="0"/>
              <w:bottom w:val="single" w:color="000000" w:sz="6" w:space="0"/>
              <w:right w:val="nil"/>
            </w:tcBorders>
            <w:shd w:val="clear" w:color="auto" w:fill="FFFFFF"/>
            <w:tcMar>
              <w:lef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行政事业性收费</w:t>
            </w:r>
          </w:p>
        </w:tc>
        <w:tc>
          <w:tcPr>
            <w:tcW w:w="6681" w:type="dxa"/>
            <w:gridSpan w:val="3"/>
            <w:tcBorders>
              <w:top w:val="single" w:color="000000" w:sz="6" w:space="0"/>
              <w:left w:val="single" w:color="000000" w:sz="6" w:space="0"/>
              <w:bottom w:val="single" w:color="000000" w:sz="6" w:space="0"/>
              <w:right w:val="single" w:color="000000" w:sz="6" w:space="0"/>
            </w:tcBorders>
            <w:shd w:val="clear" w:color="auto" w:fill="FFFFFF"/>
            <w:tcMar>
              <w:left w:w="115" w:type="dxa"/>
              <w:right w:w="11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rFonts w:hint="eastAsia" w:ascii="宋体" w:hAnsi="宋体" w:eastAsia="宋体" w:cs="宋体"/>
                <w:i w:val="0"/>
                <w:iCs w:val="0"/>
                <w:caps w:val="0"/>
                <w:color w:val="000000"/>
                <w:spacing w:val="0"/>
                <w:kern w:val="2"/>
                <w:sz w:val="24"/>
                <w:szCs w:val="24"/>
                <w:shd w:val="clear" w:fill="FFFFFF"/>
                <w:lang w:val="en-US" w:eastAsia="zh-CN" w:bidi="ar-SA"/>
              </w:rPr>
            </w:pPr>
            <w:r>
              <w:rPr>
                <w:rFonts w:hint="eastAsia" w:ascii="宋体" w:hAnsi="宋体" w:eastAsia="宋体" w:cs="宋体"/>
                <w:i w:val="0"/>
                <w:iCs w:val="0"/>
                <w:caps w:val="0"/>
                <w:color w:val="000000"/>
                <w:spacing w:val="0"/>
                <w:kern w:val="2"/>
                <w:sz w:val="24"/>
                <w:szCs w:val="24"/>
                <w:shd w:val="clear" w:fill="FFFFFF"/>
                <w:lang w:val="en-US" w:eastAsia="zh-CN" w:bidi="ar-SA"/>
              </w:rPr>
              <w:t>0</w:t>
            </w:r>
          </w:p>
        </w:tc>
      </w:tr>
    </w:tbl>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420" w:leftChars="0" w:right="0" w:rightChars="0"/>
        <w:jc w:val="both"/>
        <w:rPr>
          <w:rStyle w:val="5"/>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both"/>
        <w:rPr>
          <w:rStyle w:val="5"/>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both"/>
        <w:rPr>
          <w:rStyle w:val="5"/>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both"/>
        <w:rPr>
          <w:rStyle w:val="5"/>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both"/>
        <w:rPr>
          <w:rStyle w:val="5"/>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both"/>
        <w:rPr>
          <w:rStyle w:val="5"/>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left="0" w:right="0" w:firstLine="420"/>
        <w:jc w:val="both"/>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r>
        <w:rPr>
          <w:rStyle w:val="5"/>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t>三、收到和处理政府信息公开申请情况</w:t>
      </w:r>
    </w:p>
    <w:tbl>
      <w:tblPr>
        <w:tblStyle w:val="3"/>
        <w:tblW w:w="9315"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05" w:type="dxa"/>
          <w:left w:w="105" w:type="dxa"/>
          <w:bottom w:w="105" w:type="dxa"/>
          <w:right w:w="105" w:type="dxa"/>
        </w:tblCellMar>
      </w:tblPr>
      <w:tblGrid>
        <w:gridCol w:w="795"/>
        <w:gridCol w:w="809"/>
        <w:gridCol w:w="2822"/>
        <w:gridCol w:w="519"/>
        <w:gridCol w:w="886"/>
        <w:gridCol w:w="832"/>
        <w:gridCol w:w="954"/>
        <w:gridCol w:w="941"/>
        <w:gridCol w:w="368"/>
        <w:gridCol w:w="3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blCellSpacing w:w="0" w:type="dxa"/>
          <w:jc w:val="center"/>
        </w:trPr>
        <w:tc>
          <w:tcPr>
            <w:tcW w:w="4426" w:type="dxa"/>
            <w:gridSpan w:val="3"/>
            <w:vMerge w:val="restart"/>
            <w:tcBorders>
              <w:top w:val="single" w:color="000000" w:sz="8"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（本列数据的勾稽关系为：第一项加第二项之和，等于第三项加第四项之和）</w:t>
            </w:r>
            <w:bookmarkStart w:id="9" w:name="_GoBack"/>
            <w:bookmarkEnd w:id="9"/>
          </w:p>
        </w:tc>
        <w:tc>
          <w:tcPr>
            <w:tcW w:w="4889" w:type="dxa"/>
            <w:gridSpan w:val="7"/>
            <w:tcBorders>
              <w:top w:val="single" w:color="000000" w:sz="8"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申请人情况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blCellSpacing w:w="0" w:type="dxa"/>
          <w:jc w:val="center"/>
        </w:trPr>
        <w:tc>
          <w:tcPr>
            <w:tcW w:w="4426" w:type="dxa"/>
            <w:gridSpan w:val="3"/>
            <w:vMerge w:val="continue"/>
            <w:tcBorders>
              <w:top w:val="single" w:color="000000" w:sz="8"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519" w:type="dxa"/>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自然人</w:t>
            </w:r>
          </w:p>
        </w:tc>
        <w:tc>
          <w:tcPr>
            <w:tcW w:w="3981" w:type="dxa"/>
            <w:gridSpan w:val="5"/>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法人或其他组织</w:t>
            </w:r>
          </w:p>
        </w:tc>
        <w:tc>
          <w:tcPr>
            <w:tcW w:w="389" w:type="dxa"/>
            <w:vMerge w:val="restart"/>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blCellSpacing w:w="0" w:type="dxa"/>
          <w:jc w:val="center"/>
        </w:trPr>
        <w:tc>
          <w:tcPr>
            <w:tcW w:w="4426" w:type="dxa"/>
            <w:gridSpan w:val="3"/>
            <w:vMerge w:val="continue"/>
            <w:tcBorders>
              <w:top w:val="single" w:color="000000" w:sz="8"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51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商业企业</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科研机构</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社会公益组织</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法律服务机构</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其他</w:t>
            </w:r>
          </w:p>
        </w:tc>
        <w:tc>
          <w:tcPr>
            <w:tcW w:w="389" w:type="dxa"/>
            <w:vMerge w:val="continue"/>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rHeight w:val="316" w:hRule="atLeast"/>
          <w:tblCellSpacing w:w="0" w:type="dxa"/>
          <w:jc w:val="center"/>
        </w:trPr>
        <w:tc>
          <w:tcPr>
            <w:tcW w:w="4426" w:type="dxa"/>
            <w:gridSpan w:val="3"/>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bookmarkStart w:id="0" w:name="_Hlk66973412"/>
            <w:bookmarkEnd w:id="0"/>
            <w:r>
              <w:rPr>
                <w:rFonts w:hint="eastAsia" w:ascii="宋体" w:hAnsi="宋体" w:eastAsia="宋体" w:cs="宋体"/>
                <w:b w:val="0"/>
                <w:bCs w:val="0"/>
                <w:spacing w:val="0"/>
                <w:sz w:val="21"/>
                <w:szCs w:val="21"/>
                <w:lang w:eastAsia="zh-CN"/>
              </w:rPr>
              <w:t>一、本年新收政府信息公开申请数量</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lang w:eastAsia="zh-CN"/>
              </w:rPr>
            </w:pPr>
            <w:r>
              <w:rPr>
                <w:rFonts w:hint="eastAsia" w:ascii="宋体" w:hAnsi="宋体" w:eastAsia="宋体" w:cs="宋体"/>
                <w:b w:val="0"/>
                <w:bCs w:val="0"/>
                <w:spacing w:val="0"/>
                <w:sz w:val="21"/>
                <w:szCs w:val="21"/>
                <w:lang w:val="en-US" w:eastAsia="zh-CN"/>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lang w:eastAsia="zh-CN"/>
              </w:rPr>
            </w:pPr>
            <w:r>
              <w:rPr>
                <w:rFonts w:hint="eastAsia" w:ascii="宋体" w:hAnsi="宋体" w:eastAsia="宋体" w:cs="宋体"/>
                <w:b w:val="0"/>
                <w:bCs w:val="0"/>
                <w:spacing w:val="0"/>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rHeight w:val="316" w:hRule="atLeast"/>
          <w:tblCellSpacing w:w="0" w:type="dxa"/>
          <w:jc w:val="center"/>
        </w:trPr>
        <w:tc>
          <w:tcPr>
            <w:tcW w:w="4426" w:type="dxa"/>
            <w:gridSpan w:val="3"/>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二、上年结转政府信息公开申请数量</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blCellSpacing w:w="0" w:type="dxa"/>
          <w:jc w:val="center"/>
        </w:trPr>
        <w:tc>
          <w:tcPr>
            <w:tcW w:w="795" w:type="dxa"/>
            <w:vMerge w:val="restart"/>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三、本年度办理结果</w:t>
            </w:r>
          </w:p>
        </w:tc>
        <w:tc>
          <w:tcPr>
            <w:tcW w:w="363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（一）予以公开</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lang w:eastAsia="zh-CN"/>
              </w:rPr>
            </w:pPr>
            <w:r>
              <w:rPr>
                <w:rFonts w:hint="eastAsia" w:ascii="宋体" w:hAnsi="宋体" w:eastAsia="宋体" w:cs="宋体"/>
                <w:b w:val="0"/>
                <w:bCs w:val="0"/>
                <w:spacing w:val="0"/>
                <w:sz w:val="21"/>
                <w:szCs w:val="21"/>
                <w:lang w:val="en-US" w:eastAsia="zh-CN"/>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lang w:eastAsia="zh-CN"/>
              </w:rPr>
            </w:pPr>
            <w:r>
              <w:rPr>
                <w:rFonts w:hint="eastAsia" w:ascii="宋体" w:hAnsi="宋体" w:eastAsia="宋体" w:cs="宋体"/>
                <w:b w:val="0"/>
                <w:bCs w:val="0"/>
                <w:spacing w:val="0"/>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363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bookmarkStart w:id="1" w:name="_Hlk66973981"/>
            <w:bookmarkEnd w:id="1"/>
            <w:r>
              <w:rPr>
                <w:rFonts w:hint="eastAsia" w:ascii="宋体" w:hAnsi="宋体" w:eastAsia="宋体" w:cs="宋体"/>
                <w:b w:val="0"/>
                <w:bCs w:val="0"/>
                <w:spacing w:val="0"/>
                <w:sz w:val="21"/>
                <w:szCs w:val="21"/>
                <w:lang w:eastAsia="zh-CN"/>
              </w:rPr>
              <w:t>（二）部分公开（区分处理的，只计这一情形，不计其他情形）</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（三）不予公开</w:t>
            </w: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1.</w:t>
            </w:r>
            <w:r>
              <w:rPr>
                <w:rFonts w:hint="eastAsia" w:ascii="宋体" w:hAnsi="宋体" w:eastAsia="宋体" w:cs="宋体"/>
                <w:b w:val="0"/>
                <w:bCs w:val="0"/>
                <w:spacing w:val="0"/>
                <w:sz w:val="21"/>
                <w:szCs w:val="21"/>
                <w:lang w:eastAsia="zh-CN"/>
              </w:rPr>
              <w:t>属于国家秘密</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bookmarkStart w:id="2" w:name="_Hlk66974104"/>
            <w:bookmarkEnd w:id="2"/>
            <w:r>
              <w:rPr>
                <w:rFonts w:hint="eastAsia" w:ascii="宋体" w:hAnsi="宋体" w:eastAsia="宋体" w:cs="宋体"/>
                <w:b w:val="0"/>
                <w:bCs w:val="0"/>
                <w:spacing w:val="0"/>
                <w:sz w:val="21"/>
                <w:szCs w:val="21"/>
              </w:rPr>
              <w:t>2.</w:t>
            </w:r>
            <w:r>
              <w:rPr>
                <w:rFonts w:hint="eastAsia" w:ascii="宋体" w:hAnsi="宋体" w:eastAsia="宋体" w:cs="宋体"/>
                <w:b w:val="0"/>
                <w:bCs w:val="0"/>
                <w:spacing w:val="0"/>
                <w:sz w:val="21"/>
                <w:szCs w:val="21"/>
                <w:lang w:eastAsia="zh-CN"/>
              </w:rPr>
              <w:t>其他法律行政法规禁止公开</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3.</w:t>
            </w:r>
            <w:r>
              <w:rPr>
                <w:rFonts w:hint="eastAsia" w:ascii="宋体" w:hAnsi="宋体" w:eastAsia="宋体" w:cs="宋体"/>
                <w:b w:val="0"/>
                <w:bCs w:val="0"/>
                <w:spacing w:val="0"/>
                <w:sz w:val="21"/>
                <w:szCs w:val="21"/>
                <w:lang w:eastAsia="zh-CN"/>
              </w:rPr>
              <w:t>危及“三安全一稳定”</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bookmarkStart w:id="3" w:name="_Hlk66974290"/>
            <w:bookmarkEnd w:id="3"/>
            <w:r>
              <w:rPr>
                <w:rFonts w:hint="eastAsia" w:ascii="宋体" w:hAnsi="宋体" w:eastAsia="宋体" w:cs="宋体"/>
                <w:b w:val="0"/>
                <w:bCs w:val="0"/>
                <w:spacing w:val="0"/>
                <w:sz w:val="21"/>
                <w:szCs w:val="21"/>
              </w:rPr>
              <w:t>4.</w:t>
            </w:r>
            <w:r>
              <w:rPr>
                <w:rFonts w:hint="eastAsia" w:ascii="宋体" w:hAnsi="宋体" w:eastAsia="宋体" w:cs="宋体"/>
                <w:b w:val="0"/>
                <w:bCs w:val="0"/>
                <w:spacing w:val="0"/>
                <w:sz w:val="21"/>
                <w:szCs w:val="21"/>
                <w:lang w:eastAsia="zh-CN"/>
              </w:rPr>
              <w:t>保护第三方合法权益</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5.</w:t>
            </w:r>
            <w:r>
              <w:rPr>
                <w:rFonts w:hint="eastAsia" w:ascii="宋体" w:hAnsi="宋体" w:eastAsia="宋体" w:cs="宋体"/>
                <w:b w:val="0"/>
                <w:bCs w:val="0"/>
                <w:spacing w:val="0"/>
                <w:sz w:val="21"/>
                <w:szCs w:val="21"/>
                <w:lang w:eastAsia="zh-CN"/>
              </w:rPr>
              <w:t>属于三类内部事务信息</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bookmarkStart w:id="4" w:name="_Hlk66974555"/>
            <w:bookmarkEnd w:id="4"/>
            <w:r>
              <w:rPr>
                <w:rFonts w:hint="eastAsia" w:ascii="宋体" w:hAnsi="宋体" w:eastAsia="宋体" w:cs="宋体"/>
                <w:b w:val="0"/>
                <w:bCs w:val="0"/>
                <w:spacing w:val="0"/>
                <w:sz w:val="21"/>
                <w:szCs w:val="21"/>
              </w:rPr>
              <w:t>6.</w:t>
            </w:r>
            <w:r>
              <w:rPr>
                <w:rFonts w:hint="eastAsia" w:ascii="宋体" w:hAnsi="宋体" w:eastAsia="宋体" w:cs="宋体"/>
                <w:b w:val="0"/>
                <w:bCs w:val="0"/>
                <w:spacing w:val="0"/>
                <w:sz w:val="21"/>
                <w:szCs w:val="21"/>
                <w:lang w:eastAsia="zh-CN"/>
              </w:rPr>
              <w:t>属于四类过程性信息</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7.</w:t>
            </w:r>
            <w:r>
              <w:rPr>
                <w:rFonts w:hint="eastAsia" w:ascii="宋体" w:hAnsi="宋体" w:eastAsia="宋体" w:cs="宋体"/>
                <w:b w:val="0"/>
                <w:bCs w:val="0"/>
                <w:spacing w:val="0"/>
                <w:sz w:val="21"/>
                <w:szCs w:val="21"/>
                <w:lang w:eastAsia="zh-CN"/>
              </w:rPr>
              <w:t>属于行政执法案卷</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bookmarkStart w:id="5" w:name="_Hlk66975211"/>
            <w:bookmarkEnd w:id="5"/>
            <w:r>
              <w:rPr>
                <w:rFonts w:hint="eastAsia" w:ascii="宋体" w:hAnsi="宋体" w:eastAsia="宋体" w:cs="宋体"/>
                <w:b w:val="0"/>
                <w:bCs w:val="0"/>
                <w:spacing w:val="0"/>
                <w:sz w:val="21"/>
                <w:szCs w:val="21"/>
              </w:rPr>
              <w:t>8.</w:t>
            </w:r>
            <w:r>
              <w:rPr>
                <w:rFonts w:hint="eastAsia" w:ascii="宋体" w:hAnsi="宋体" w:eastAsia="宋体" w:cs="宋体"/>
                <w:b w:val="0"/>
                <w:bCs w:val="0"/>
                <w:spacing w:val="0"/>
                <w:sz w:val="21"/>
                <w:szCs w:val="21"/>
                <w:lang w:eastAsia="zh-CN"/>
              </w:rPr>
              <w:t>属于行政查询事项</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（四）无法提供</w:t>
            </w: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1.</w:t>
            </w:r>
            <w:r>
              <w:rPr>
                <w:rFonts w:hint="eastAsia" w:ascii="宋体" w:hAnsi="宋体" w:eastAsia="宋体" w:cs="宋体"/>
                <w:b w:val="0"/>
                <w:bCs w:val="0"/>
                <w:spacing w:val="0"/>
                <w:sz w:val="21"/>
                <w:szCs w:val="21"/>
                <w:lang w:eastAsia="zh-CN"/>
              </w:rPr>
              <w:t>本机关不掌握相关政府信息</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bookmarkStart w:id="6" w:name="_Hlk66975392"/>
            <w:bookmarkEnd w:id="6"/>
            <w:r>
              <w:rPr>
                <w:rFonts w:hint="eastAsia" w:ascii="宋体" w:hAnsi="宋体" w:eastAsia="宋体" w:cs="宋体"/>
                <w:b w:val="0"/>
                <w:bCs w:val="0"/>
                <w:spacing w:val="0"/>
                <w:sz w:val="21"/>
                <w:szCs w:val="21"/>
              </w:rPr>
              <w:t>2.</w:t>
            </w:r>
            <w:r>
              <w:rPr>
                <w:rFonts w:hint="eastAsia" w:ascii="宋体" w:hAnsi="宋体" w:eastAsia="宋体" w:cs="宋体"/>
                <w:b w:val="0"/>
                <w:bCs w:val="0"/>
                <w:spacing w:val="0"/>
                <w:sz w:val="21"/>
                <w:szCs w:val="21"/>
                <w:lang w:eastAsia="zh-CN"/>
              </w:rPr>
              <w:t>没有现成信息需要另行制作</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bookmarkStart w:id="7" w:name="_Hlk66975466"/>
            <w:bookmarkEnd w:id="7"/>
            <w:r>
              <w:rPr>
                <w:rFonts w:hint="eastAsia" w:ascii="宋体" w:hAnsi="宋体" w:eastAsia="宋体" w:cs="宋体"/>
                <w:b w:val="0"/>
                <w:bCs w:val="0"/>
                <w:spacing w:val="0"/>
                <w:sz w:val="21"/>
                <w:szCs w:val="21"/>
              </w:rPr>
              <w:t>3.</w:t>
            </w:r>
            <w:r>
              <w:rPr>
                <w:rFonts w:hint="eastAsia" w:ascii="宋体" w:hAnsi="宋体" w:eastAsia="宋体" w:cs="宋体"/>
                <w:b w:val="0"/>
                <w:bCs w:val="0"/>
                <w:spacing w:val="0"/>
                <w:sz w:val="21"/>
                <w:szCs w:val="21"/>
                <w:lang w:eastAsia="zh-CN"/>
              </w:rPr>
              <w:t>补正后申请内容仍不明确</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（五）不予处理</w:t>
            </w: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bookmarkStart w:id="8" w:name="_Hlk66975537"/>
            <w:bookmarkEnd w:id="8"/>
            <w:r>
              <w:rPr>
                <w:rFonts w:hint="eastAsia" w:ascii="宋体" w:hAnsi="宋体" w:eastAsia="宋体" w:cs="宋体"/>
                <w:b w:val="0"/>
                <w:bCs w:val="0"/>
                <w:spacing w:val="0"/>
                <w:sz w:val="21"/>
                <w:szCs w:val="21"/>
              </w:rPr>
              <w:t>1.</w:t>
            </w:r>
            <w:r>
              <w:rPr>
                <w:rFonts w:hint="eastAsia" w:ascii="宋体" w:hAnsi="宋体" w:eastAsia="宋体" w:cs="宋体"/>
                <w:b w:val="0"/>
                <w:bCs w:val="0"/>
                <w:spacing w:val="0"/>
                <w:sz w:val="21"/>
                <w:szCs w:val="21"/>
                <w:lang w:eastAsia="zh-CN"/>
              </w:rPr>
              <w:t>信访举报投诉类申请</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2.</w:t>
            </w:r>
            <w:r>
              <w:rPr>
                <w:rFonts w:hint="eastAsia" w:ascii="宋体" w:hAnsi="宋体" w:eastAsia="宋体" w:cs="宋体"/>
                <w:b w:val="0"/>
                <w:bCs w:val="0"/>
                <w:spacing w:val="0"/>
                <w:sz w:val="21"/>
                <w:szCs w:val="21"/>
                <w:lang w:eastAsia="zh-CN"/>
              </w:rPr>
              <w:t>重复申请</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3.</w:t>
            </w:r>
            <w:r>
              <w:rPr>
                <w:rFonts w:hint="eastAsia" w:ascii="宋体" w:hAnsi="宋体" w:eastAsia="宋体" w:cs="宋体"/>
                <w:b w:val="0"/>
                <w:bCs w:val="0"/>
                <w:spacing w:val="0"/>
                <w:sz w:val="21"/>
                <w:szCs w:val="21"/>
                <w:lang w:eastAsia="zh-CN"/>
              </w:rPr>
              <w:t>要求提供公开出版物</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4.</w:t>
            </w:r>
            <w:r>
              <w:rPr>
                <w:rFonts w:hint="eastAsia" w:ascii="宋体" w:hAnsi="宋体" w:eastAsia="宋体" w:cs="宋体"/>
                <w:b w:val="0"/>
                <w:bCs w:val="0"/>
                <w:spacing w:val="0"/>
                <w:sz w:val="21"/>
                <w:szCs w:val="21"/>
                <w:lang w:eastAsia="zh-CN"/>
              </w:rPr>
              <w:t>无正当理由大量反复申请</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0"/>
              <w:ind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5.</w:t>
            </w:r>
            <w:r>
              <w:rPr>
                <w:rFonts w:hint="eastAsia" w:ascii="宋体" w:hAnsi="宋体" w:eastAsia="宋体" w:cs="宋体"/>
                <w:b w:val="0"/>
                <w:bCs w:val="0"/>
                <w:spacing w:val="0"/>
                <w:sz w:val="21"/>
                <w:szCs w:val="21"/>
                <w:lang w:eastAsia="zh-CN"/>
              </w:rPr>
              <w:t>要求行政机关确认或重新出具已获取信息</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restart"/>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（六）其他处理</w:t>
            </w: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1.</w:t>
            </w:r>
            <w:r>
              <w:rPr>
                <w:rFonts w:hint="eastAsia" w:ascii="宋体" w:hAnsi="宋体" w:eastAsia="宋体" w:cs="宋体"/>
                <w:b w:val="0"/>
                <w:bCs w:val="0"/>
                <w:spacing w:val="0"/>
                <w:sz w:val="21"/>
                <w:szCs w:val="21"/>
                <w:lang w:eastAsia="zh-CN"/>
              </w:rPr>
              <w:t>申请人无正当理由逾期不补正、行政机关不再处理其政府信息公开申请</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2.</w:t>
            </w:r>
            <w:r>
              <w:rPr>
                <w:rFonts w:hint="eastAsia" w:ascii="宋体" w:hAnsi="宋体" w:eastAsia="宋体" w:cs="宋体"/>
                <w:b w:val="0"/>
                <w:bCs w:val="0"/>
                <w:spacing w:val="0"/>
                <w:sz w:val="21"/>
                <w:szCs w:val="21"/>
                <w:lang w:eastAsia="zh-CN"/>
              </w:rPr>
              <w:t>申请人逾期未按收费通知要求缴纳费用、行政机关不再处理其政府信息公开申请</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809" w:type="dxa"/>
            <w:vMerge w:val="continue"/>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2822" w:type="dxa"/>
            <w:tcBorders>
              <w:top w:val="single" w:color="000000" w:sz="6" w:space="0"/>
              <w:left w:val="single" w:color="000000" w:sz="6" w:space="0"/>
              <w:bottom w:val="single" w:color="000000" w:sz="6" w:space="0"/>
              <w:right w:val="single" w:color="000000" w:sz="6" w:space="0"/>
            </w:tcBorders>
            <w:shd w:val="clear" w:color="auto" w:fill="auto"/>
            <w:tcMar>
              <w:top w:w="0" w:type="dxa"/>
              <w:left w:w="0" w:type="dxa"/>
              <w:bottom w:w="0" w:type="dxa"/>
              <w:right w:w="0"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3.</w:t>
            </w:r>
            <w:r>
              <w:rPr>
                <w:rFonts w:hint="eastAsia" w:ascii="宋体" w:hAnsi="宋体" w:eastAsia="宋体" w:cs="宋体"/>
                <w:b w:val="0"/>
                <w:bCs w:val="0"/>
                <w:spacing w:val="0"/>
                <w:sz w:val="21"/>
                <w:szCs w:val="21"/>
                <w:lang w:eastAsia="zh-CN"/>
              </w:rPr>
              <w:t>其他</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blCellSpacing w:w="0" w:type="dxa"/>
          <w:jc w:val="center"/>
        </w:trPr>
        <w:tc>
          <w:tcPr>
            <w:tcW w:w="795" w:type="dxa"/>
            <w:vMerge w:val="continue"/>
            <w:tcBorders>
              <w:top w:val="single" w:color="000000" w:sz="6" w:space="0"/>
              <w:left w:val="single" w:color="000000" w:sz="8" w:space="0"/>
              <w:bottom w:val="single" w:color="000000" w:sz="6" w:space="0"/>
              <w:right w:val="single" w:color="000000" w:sz="6" w:space="0"/>
            </w:tcBorders>
            <w:shd w:val="clear" w:color="auto" w:fill="auto"/>
            <w:tcMar>
              <w:top w:w="0" w:type="dxa"/>
              <w:left w:w="115" w:type="dxa"/>
              <w:bottom w:w="0" w:type="dxa"/>
              <w:right w:w="115" w:type="dxa"/>
            </w:tcMar>
            <w:vAlign w:val="center"/>
          </w:tcPr>
          <w:p>
            <w:pPr>
              <w:rPr>
                <w:rFonts w:hint="eastAsia" w:ascii="宋体" w:hAnsi="宋体" w:eastAsia="宋体" w:cs="宋体"/>
                <w:sz w:val="21"/>
                <w:szCs w:val="21"/>
              </w:rPr>
            </w:pPr>
          </w:p>
        </w:tc>
        <w:tc>
          <w:tcPr>
            <w:tcW w:w="3631" w:type="dxa"/>
            <w:gridSpan w:val="2"/>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（七）总计</w:t>
            </w:r>
          </w:p>
        </w:tc>
        <w:tc>
          <w:tcPr>
            <w:tcW w:w="519"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lang w:eastAsia="zh-CN"/>
              </w:rPr>
            </w:pPr>
            <w:r>
              <w:rPr>
                <w:rFonts w:hint="eastAsia" w:ascii="宋体" w:hAnsi="宋体" w:eastAsia="宋体" w:cs="宋体"/>
                <w:b w:val="0"/>
                <w:bCs w:val="0"/>
                <w:spacing w:val="0"/>
                <w:sz w:val="21"/>
                <w:szCs w:val="21"/>
                <w:lang w:val="en-US" w:eastAsia="zh-CN"/>
              </w:rPr>
              <w:t>0</w:t>
            </w:r>
          </w:p>
        </w:tc>
        <w:tc>
          <w:tcPr>
            <w:tcW w:w="886"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6"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6"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lang w:eastAsia="zh-CN"/>
              </w:rPr>
            </w:pPr>
            <w:r>
              <w:rPr>
                <w:rFonts w:hint="eastAsia" w:ascii="宋体" w:hAnsi="宋体" w:eastAsia="宋体" w:cs="宋体"/>
                <w:b w:val="0"/>
                <w:bCs w:val="0"/>
                <w:spacing w:val="0"/>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05" w:type="dxa"/>
            <w:left w:w="105" w:type="dxa"/>
            <w:bottom w:w="105" w:type="dxa"/>
            <w:right w:w="105" w:type="dxa"/>
          </w:tblCellMar>
        </w:tblPrEx>
        <w:trPr>
          <w:trHeight w:val="316" w:hRule="atLeast"/>
          <w:tblCellSpacing w:w="0" w:type="dxa"/>
          <w:jc w:val="center"/>
        </w:trPr>
        <w:tc>
          <w:tcPr>
            <w:tcW w:w="4426" w:type="dxa"/>
            <w:gridSpan w:val="3"/>
            <w:tcBorders>
              <w:top w:val="single" w:color="000000" w:sz="6" w:space="0"/>
              <w:left w:val="single" w:color="000000" w:sz="8" w:space="0"/>
              <w:bottom w:val="single" w:color="000000" w:sz="8"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lang w:eastAsia="zh-CN"/>
              </w:rPr>
              <w:t>四、结转下年度继续办理</w:t>
            </w:r>
          </w:p>
        </w:tc>
        <w:tc>
          <w:tcPr>
            <w:tcW w:w="519" w:type="dxa"/>
            <w:tcBorders>
              <w:top w:val="single" w:color="000000" w:sz="6" w:space="0"/>
              <w:left w:val="single" w:color="000000" w:sz="6" w:space="0"/>
              <w:bottom w:val="single" w:color="000000" w:sz="8"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86" w:type="dxa"/>
            <w:tcBorders>
              <w:top w:val="single" w:color="000000" w:sz="6" w:space="0"/>
              <w:left w:val="single" w:color="000000" w:sz="6" w:space="0"/>
              <w:bottom w:val="single" w:color="000000" w:sz="8"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832" w:type="dxa"/>
            <w:tcBorders>
              <w:top w:val="single" w:color="000000" w:sz="6" w:space="0"/>
              <w:left w:val="single" w:color="000000" w:sz="6" w:space="0"/>
              <w:bottom w:val="single" w:color="000000" w:sz="8"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54" w:type="dxa"/>
            <w:tcBorders>
              <w:top w:val="single" w:color="000000" w:sz="6" w:space="0"/>
              <w:left w:val="single" w:color="000000" w:sz="6" w:space="0"/>
              <w:bottom w:val="single" w:color="000000" w:sz="8"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941" w:type="dxa"/>
            <w:tcBorders>
              <w:top w:val="single" w:color="000000" w:sz="6" w:space="0"/>
              <w:left w:val="single" w:color="000000" w:sz="6" w:space="0"/>
              <w:bottom w:val="single" w:color="000000" w:sz="8"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68" w:type="dxa"/>
            <w:tcBorders>
              <w:top w:val="single" w:color="000000" w:sz="6" w:space="0"/>
              <w:left w:val="single" w:color="000000" w:sz="6" w:space="0"/>
              <w:bottom w:val="single" w:color="000000" w:sz="8" w:space="0"/>
              <w:right w:val="single" w:color="000000" w:sz="6"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c>
          <w:tcPr>
            <w:tcW w:w="389" w:type="dxa"/>
            <w:tcBorders>
              <w:top w:val="single" w:color="000000" w:sz="6" w:space="0"/>
              <w:left w:val="single" w:color="000000" w:sz="6" w:space="0"/>
              <w:bottom w:val="single" w:color="000000" w:sz="8" w:space="0"/>
              <w:right w:val="single" w:color="000000" w:sz="8" w:space="0"/>
            </w:tcBorders>
            <w:shd w:val="clear" w:color="auto" w:fill="auto"/>
            <w:tcMar>
              <w:top w:w="0" w:type="dxa"/>
              <w:left w:w="115" w:type="dxa"/>
              <w:bottom w:w="0" w:type="dxa"/>
              <w:right w:w="115" w:type="dxa"/>
            </w:tcMar>
            <w:vAlign w:val="center"/>
          </w:tcPr>
          <w:p>
            <w:pPr>
              <w:pStyle w:val="2"/>
              <w:keepNext w:val="0"/>
              <w:keepLines w:val="0"/>
              <w:widowControl/>
              <w:suppressLineNumbers w:val="0"/>
              <w:spacing w:before="0" w:beforeAutospacing="1" w:after="0" w:afterAutospacing="1"/>
              <w:ind w:left="0" w:right="0"/>
              <w:jc w:val="center"/>
              <w:rPr>
                <w:rFonts w:hint="eastAsia" w:ascii="宋体" w:hAnsi="宋体" w:eastAsia="宋体" w:cs="宋体"/>
                <w:b w:val="0"/>
                <w:bCs w:val="0"/>
                <w:spacing w:val="0"/>
                <w:sz w:val="21"/>
                <w:szCs w:val="21"/>
              </w:rPr>
            </w:pPr>
            <w:r>
              <w:rPr>
                <w:rFonts w:hint="eastAsia" w:ascii="宋体" w:hAnsi="宋体" w:eastAsia="宋体" w:cs="宋体"/>
                <w:b w:val="0"/>
                <w:bCs w:val="0"/>
                <w:spacing w:val="0"/>
                <w:sz w:val="21"/>
                <w:szCs w:val="21"/>
              </w:rPr>
              <w:t>0</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right="0" w:firstLine="480" w:firstLineChars="200"/>
        <w:jc w:val="both"/>
        <w:rPr>
          <w:rStyle w:val="5"/>
          <w:rFonts w:hint="default" w:ascii="ÃƒÂ¥Ã‚Â¾Ã‚Â®ÃƒÂ¨Ã‚Â½Ã‚Â¯ÃƒÂ©Ã¢â" w:hAnsi="ÃƒÂ¥Ã‚Â¾Ã‚Â®ÃƒÂ¨Ã‚Â½Ã‚Â¯ÃƒÂ©Ã¢â" w:eastAsia="ÃƒÂ¥Ã‚Â¾Ã‚Â®ÃƒÂ¨Ã‚Â½Ã‚Â¯ÃƒÂ©Ã¢â" w:cs="ÃƒÂ¥Ã‚Â¾Ã‚Â®ÃƒÂ¨Ã‚Â½Ã‚Â¯ÃƒÂ©Ã¢â"/>
          <w:b/>
          <w:bCs w:val="0"/>
          <w:i w:val="0"/>
          <w:iCs w:val="0"/>
          <w:caps w:val="0"/>
          <w:color w:val="000000"/>
          <w:spacing w:val="0"/>
          <w:sz w:val="24"/>
          <w:szCs w:val="24"/>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68" w:lineRule="atLeast"/>
        <w:ind w:right="0" w:firstLine="480" w:firstLineChars="200"/>
        <w:jc w:val="both"/>
        <w:rPr>
          <w:rFonts w:hint="default"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rPr>
      </w:pPr>
      <w:r>
        <w:rPr>
          <w:rStyle w:val="5"/>
          <w:rFonts w:hint="default" w:ascii="ÃƒÂ¥Ã‚Â¾Ã‚Â®ÃƒÂ¨Ã‚Â½Ã‚Â¯ÃƒÂ©Ã¢â" w:hAnsi="ÃƒÂ¥Ã‚Â¾Ã‚Â®ÃƒÂ¨Ã‚Â½Ã‚Â¯ÃƒÂ©Ã¢â" w:eastAsia="ÃƒÂ¥Ã‚Â¾Ã‚Â®ÃƒÂ¨Ã‚Â½Ã‚Â¯ÃƒÂ©Ã¢â" w:cs="ÃƒÂ¥Ã‚Â¾Ã‚Â®ÃƒÂ¨Ã‚Â½Ã‚Â¯ÃƒÂ©Ã¢â"/>
          <w:b/>
          <w:bCs w:val="0"/>
          <w:i w:val="0"/>
          <w:iCs w:val="0"/>
          <w:caps w:val="0"/>
          <w:color w:val="000000"/>
          <w:spacing w:val="0"/>
          <w:sz w:val="24"/>
          <w:szCs w:val="24"/>
          <w:shd w:val="clear" w:fill="FFFFFF"/>
        </w:rPr>
        <w:t>四、政府信息公开行政复议、行政诉讼情况</w:t>
      </w:r>
    </w:p>
    <w:tbl>
      <w:tblPr>
        <w:tblStyle w:val="3"/>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90"/>
        <w:gridCol w:w="390"/>
        <w:gridCol w:w="390"/>
        <w:gridCol w:w="390"/>
        <w:gridCol w:w="1177"/>
        <w:gridCol w:w="390"/>
        <w:gridCol w:w="390"/>
        <w:gridCol w:w="390"/>
        <w:gridCol w:w="390"/>
        <w:gridCol w:w="1156"/>
        <w:gridCol w:w="390"/>
        <w:gridCol w:w="390"/>
        <w:gridCol w:w="390"/>
        <w:gridCol w:w="390"/>
        <w:gridCol w:w="1443"/>
      </w:tblGrid>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PrEx>
        <w:tc>
          <w:tcPr>
            <w:tcW w:w="2835" w:type="dxa"/>
            <w:gridSpan w:val="5"/>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行政复议</w:t>
            </w:r>
          </w:p>
        </w:tc>
        <w:tc>
          <w:tcPr>
            <w:tcW w:w="6210" w:type="dxa"/>
            <w:gridSpan w:val="10"/>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行政诉讼</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c>
          <w:tcPr>
            <w:tcW w:w="16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结果维持</w:t>
            </w:r>
          </w:p>
        </w:tc>
        <w:tc>
          <w:tcPr>
            <w:tcW w:w="19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结果纠正</w:t>
            </w:r>
          </w:p>
        </w:tc>
        <w:tc>
          <w:tcPr>
            <w:tcW w:w="19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其他结果</w:t>
            </w:r>
          </w:p>
        </w:tc>
        <w:tc>
          <w:tcPr>
            <w:tcW w:w="195"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尚未审结</w:t>
            </w:r>
          </w:p>
        </w:tc>
        <w:tc>
          <w:tcPr>
            <w:tcW w:w="1110" w:type="dxa"/>
            <w:vMerge w:val="restart"/>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总计</w:t>
            </w:r>
          </w:p>
        </w:tc>
        <w:tc>
          <w:tcPr>
            <w:tcW w:w="2775" w:type="dxa"/>
            <w:gridSpan w:val="5"/>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未经复议直接起诉</w:t>
            </w:r>
          </w:p>
        </w:tc>
        <w:tc>
          <w:tcPr>
            <w:tcW w:w="2940" w:type="dxa"/>
            <w:gridSpan w:val="5"/>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复议后起诉</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jc w:val="center"/>
              <w:rPr>
                <w:rFonts w:hint="eastAsia" w:ascii="宋体"/>
                <w:sz w:val="24"/>
                <w:szCs w:val="24"/>
              </w:rPr>
            </w:pPr>
          </w:p>
        </w:tc>
        <w:tc>
          <w:tcPr>
            <w:tcW w:w="19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jc w:val="center"/>
              <w:rPr>
                <w:rFonts w:hint="eastAsia" w:ascii="宋体"/>
                <w:sz w:val="24"/>
                <w:szCs w:val="24"/>
              </w:rPr>
            </w:pPr>
          </w:p>
        </w:tc>
        <w:tc>
          <w:tcPr>
            <w:tcW w:w="19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jc w:val="center"/>
              <w:rPr>
                <w:rFonts w:hint="eastAsia" w:ascii="宋体"/>
                <w:sz w:val="24"/>
                <w:szCs w:val="24"/>
              </w:rPr>
            </w:pPr>
          </w:p>
        </w:tc>
        <w:tc>
          <w:tcPr>
            <w:tcW w:w="195"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jc w:val="center"/>
              <w:rPr>
                <w:rFonts w:hint="eastAsia" w:ascii="宋体"/>
                <w:sz w:val="24"/>
                <w:szCs w:val="24"/>
              </w:rPr>
            </w:pPr>
          </w:p>
        </w:tc>
        <w:tc>
          <w:tcPr>
            <w:tcW w:w="1110" w:type="dxa"/>
            <w:vMerge w:val="continue"/>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jc w:val="center"/>
              <w:rPr>
                <w:rFonts w:hint="eastAsia" w:ascii="宋体"/>
                <w:sz w:val="24"/>
                <w:szCs w:val="24"/>
              </w:rPr>
            </w:pPr>
          </w:p>
        </w:tc>
        <w:tc>
          <w:tcPr>
            <w:tcW w:w="15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结果维持</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结果纠正</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其他结果</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尚未审结</w:t>
            </w:r>
          </w:p>
        </w:tc>
        <w:tc>
          <w:tcPr>
            <w:tcW w:w="118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总计</w:t>
            </w:r>
          </w:p>
        </w:tc>
        <w:tc>
          <w:tcPr>
            <w:tcW w:w="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结果维持</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结果纠正</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其他结果</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尚未审结</w:t>
            </w:r>
          </w:p>
        </w:tc>
        <w:tc>
          <w:tcPr>
            <w:tcW w:w="13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总计</w:t>
            </w:r>
          </w:p>
        </w:tc>
      </w:tr>
      <w:tr>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24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7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08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95"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c>
          <w:tcPr>
            <w:tcW w:w="1320" w:type="dxa"/>
            <w:tcBorders>
              <w:top w:val="outset" w:color="auto" w:sz="6" w:space="0"/>
              <w:left w:val="outset" w:color="auto" w:sz="6" w:space="0"/>
              <w:bottom w:val="outset" w:color="auto" w:sz="6" w:space="0"/>
              <w:right w:val="outset" w:color="auto" w:sz="6" w:space="0"/>
            </w:tcBorders>
            <w:shd w:val="clear" w:color="auto" w:fill="auto"/>
            <w:tcMar>
              <w:left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26" w:lineRule="atLeast"/>
              <w:ind w:left="0" w:right="0"/>
              <w:jc w:val="center"/>
              <w:rPr>
                <w:sz w:val="24"/>
                <w:szCs w:val="24"/>
              </w:rPr>
            </w:pPr>
            <w:r>
              <w:rPr>
                <w:sz w:val="24"/>
                <w:szCs w:val="24"/>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i w:val="0"/>
          <w:iCs w:val="0"/>
          <w:caps w:val="0"/>
          <w:color w:val="000000"/>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b/>
          <w:bCs/>
          <w:i w:val="0"/>
          <w:iCs w:val="0"/>
          <w:caps w:val="0"/>
          <w:color w:val="000000"/>
          <w:spacing w:val="0"/>
          <w:sz w:val="24"/>
          <w:szCs w:val="24"/>
          <w:shd w:val="clear" w:fill="FFFFFF"/>
        </w:rPr>
        <w:t>五、存在的主要问题及改进情况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202</w:t>
      </w:r>
      <w:r>
        <w:rPr>
          <w:rFonts w:hint="eastAsia" w:ascii="宋体" w:hAnsi="宋体" w:eastAsia="宋体" w:cs="宋体"/>
          <w:i w:val="0"/>
          <w:iCs w:val="0"/>
          <w:caps w:val="0"/>
          <w:color w:val="000000"/>
          <w:spacing w:val="0"/>
          <w:sz w:val="24"/>
          <w:szCs w:val="24"/>
          <w:shd w:val="clear" w:fill="FFFFFF"/>
          <w:lang w:val="en-US" w:eastAsia="zh-CN"/>
        </w:rPr>
        <w:t>3</w:t>
      </w:r>
      <w:r>
        <w:rPr>
          <w:rFonts w:hint="eastAsia" w:ascii="宋体" w:hAnsi="宋体" w:eastAsia="宋体" w:cs="宋体"/>
          <w:i w:val="0"/>
          <w:iCs w:val="0"/>
          <w:caps w:val="0"/>
          <w:color w:val="000000"/>
          <w:spacing w:val="0"/>
          <w:sz w:val="24"/>
          <w:szCs w:val="24"/>
          <w:shd w:val="clear" w:fill="FFFFFF"/>
        </w:rPr>
        <w:t>年度，羊庄镇政府信息公开工作虽然取得了一定的成绩，但与先进镇街相比，与公众的政务信息需求相比，还存在差距。主要体现为：信息的全面性、公开的及时性、平台的便利性、工作人员的能力素质均有待提高。为此， 2023年政府信息公开工作我们将采取以下措施积极改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i w:val="0"/>
          <w:iCs w:val="0"/>
          <w:caps w:val="0"/>
          <w:color w:val="000000"/>
          <w:spacing w:val="0"/>
          <w:sz w:val="24"/>
          <w:szCs w:val="24"/>
          <w:shd w:val="clear" w:fill="FFFFFF"/>
          <w:lang w:val="en-US"/>
        </w:rPr>
      </w:pPr>
      <w:r>
        <w:rPr>
          <w:rFonts w:hint="eastAsia" w:ascii="宋体" w:hAnsi="宋体" w:eastAsia="宋体" w:cs="宋体"/>
          <w:i w:val="0"/>
          <w:iCs w:val="0"/>
          <w:caps w:val="0"/>
          <w:color w:val="000000"/>
          <w:spacing w:val="0"/>
          <w:sz w:val="24"/>
          <w:szCs w:val="24"/>
          <w:shd w:val="clear" w:fill="FFFFFF"/>
        </w:rPr>
        <w:t>1、</w:t>
      </w:r>
      <w:r>
        <w:rPr>
          <w:rFonts w:hint="eastAsia" w:ascii="宋体" w:hAnsi="宋体" w:eastAsia="宋体" w:cs="宋体"/>
          <w:i w:val="0"/>
          <w:iCs w:val="0"/>
          <w:caps w:val="0"/>
          <w:color w:val="000000"/>
          <w:spacing w:val="0"/>
          <w:sz w:val="24"/>
          <w:szCs w:val="24"/>
          <w:shd w:val="clear" w:fill="FFFFFF"/>
          <w:lang w:val="en-US" w:eastAsia="zh-CN"/>
        </w:rPr>
        <w:t>按照山东省、枣庄市、滕州市有关要求，结合羊庄镇实际，不断优化政务公开工作机制，努力使主动公开、依申请公开等业务的办理更规范。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lang w:val="en-US" w:eastAsia="zh-CN"/>
        </w:rPr>
        <w:t>2</w:t>
      </w:r>
      <w:r>
        <w:rPr>
          <w:rFonts w:hint="eastAsia" w:ascii="宋体" w:hAnsi="宋体" w:eastAsia="宋体" w:cs="宋体"/>
          <w:i w:val="0"/>
          <w:iCs w:val="0"/>
          <w:caps w:val="0"/>
          <w:color w:val="000000"/>
          <w:spacing w:val="0"/>
          <w:sz w:val="24"/>
          <w:szCs w:val="24"/>
          <w:shd w:val="clear" w:fill="FFFFFF"/>
        </w:rPr>
        <w:t>、</w:t>
      </w:r>
      <w:r>
        <w:rPr>
          <w:rFonts w:hint="eastAsia" w:ascii="宋体" w:hAnsi="宋体" w:eastAsia="宋体" w:cs="宋体"/>
          <w:i w:val="0"/>
          <w:iCs w:val="0"/>
          <w:caps w:val="0"/>
          <w:color w:val="000000"/>
          <w:spacing w:val="0"/>
          <w:sz w:val="24"/>
          <w:szCs w:val="24"/>
          <w:shd w:val="clear" w:fill="FFFFFF"/>
          <w:lang w:val="en-US" w:eastAsia="zh-CN"/>
        </w:rPr>
        <w:t>努力提升政务信息公开从业人员工作能力和专业素养</w:t>
      </w:r>
      <w:r>
        <w:rPr>
          <w:rFonts w:hint="eastAsia" w:ascii="宋体" w:hAnsi="宋体" w:eastAsia="宋体" w:cs="宋体"/>
          <w:i w:val="0"/>
          <w:iCs w:val="0"/>
          <w:caps w:val="0"/>
          <w:color w:val="000000"/>
          <w:spacing w:val="0"/>
          <w:sz w:val="24"/>
          <w:szCs w:val="24"/>
          <w:shd w:val="clear" w:fill="FFFFFF"/>
        </w:rPr>
        <w:t>。</w:t>
      </w:r>
      <w:r>
        <w:rPr>
          <w:rFonts w:hint="eastAsia" w:ascii="宋体" w:hAnsi="宋体" w:eastAsia="宋体" w:cs="宋体"/>
          <w:i w:val="0"/>
          <w:iCs w:val="0"/>
          <w:caps w:val="0"/>
          <w:color w:val="000000"/>
          <w:spacing w:val="0"/>
          <w:sz w:val="24"/>
          <w:szCs w:val="24"/>
          <w:shd w:val="clear" w:fill="FFFFFF"/>
          <w:lang w:val="en-US" w:eastAsia="zh-CN"/>
        </w:rPr>
        <w:t>常态开展纪律培训、法治培训，确保依纪依法开展工作。定期开展业务培训，努力提高工作人员职业素养。</w:t>
      </w:r>
      <w:r>
        <w:rPr>
          <w:rFonts w:hint="eastAsia" w:ascii="宋体" w:hAnsi="宋体" w:eastAsia="宋体" w:cs="宋体"/>
          <w:i w:val="0"/>
          <w:iCs w:val="0"/>
          <w:caps w:val="0"/>
          <w:color w:val="000000"/>
          <w:spacing w:val="0"/>
          <w:sz w:val="24"/>
          <w:szCs w:val="24"/>
          <w:shd w:val="clear" w:fill="FFFFFF"/>
        </w:rPr>
        <w:t>为全面开展好政务信息公开工作奠定坚实的人力资源基础。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i w:val="0"/>
          <w:iCs w:val="0"/>
          <w:caps w:val="0"/>
          <w:color w:val="000000"/>
          <w:spacing w:val="0"/>
          <w:sz w:val="24"/>
          <w:szCs w:val="24"/>
          <w:shd w:val="clear" w:fill="FFFFFF"/>
          <w:lang w:val="en-US" w:eastAsia="zh-CN"/>
        </w:rPr>
      </w:pPr>
      <w:r>
        <w:rPr>
          <w:rFonts w:hint="eastAsia" w:ascii="宋体" w:hAnsi="宋体" w:eastAsia="宋体" w:cs="宋体"/>
          <w:i w:val="0"/>
          <w:iCs w:val="0"/>
          <w:caps w:val="0"/>
          <w:color w:val="000000"/>
          <w:spacing w:val="0"/>
          <w:sz w:val="24"/>
          <w:szCs w:val="24"/>
          <w:shd w:val="clear" w:fill="FFFFFF"/>
          <w:lang w:val="en-US" w:eastAsia="zh-CN"/>
        </w:rPr>
        <w:t>3、继续完善平台建设。</w:t>
      </w:r>
      <w:r>
        <w:rPr>
          <w:rFonts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t>规范信息制作、发布流程</w:t>
      </w:r>
      <w:r>
        <w:rPr>
          <w:rFonts w:hint="eastAsia" w:ascii="ÃƒÂ¥Ã‚Â¾Ã‚Â®ÃƒÂ¨Ã‚Â½Ã‚Â¯ÃƒÂ©Ã¢â" w:hAnsi="ÃƒÂ¥Ã‚Â¾Ã‚Â®ÃƒÂ¨Ã‚Â½Ã‚Â¯ÃƒÂ©Ã¢â" w:eastAsia="宋体" w:cs="ÃƒÂ¥Ã‚Â¾Ã‚Â®ÃƒÂ¨Ã‚Â½Ã‚Â¯ÃƒÂ©Ã¢â"/>
          <w:i w:val="0"/>
          <w:iCs w:val="0"/>
          <w:caps w:val="0"/>
          <w:color w:val="000000"/>
          <w:spacing w:val="0"/>
          <w:sz w:val="24"/>
          <w:szCs w:val="24"/>
          <w:shd w:val="clear" w:fill="FFFFFF"/>
          <w:lang w:eastAsia="zh-CN"/>
        </w:rPr>
        <w:t>，</w:t>
      </w:r>
      <w:r>
        <w:rPr>
          <w:rFonts w:hint="eastAsia" w:ascii="宋体" w:hAnsi="宋体" w:eastAsia="宋体" w:cs="宋体"/>
          <w:i w:val="0"/>
          <w:iCs w:val="0"/>
          <w:caps w:val="0"/>
          <w:color w:val="000000"/>
          <w:spacing w:val="0"/>
          <w:sz w:val="24"/>
          <w:szCs w:val="24"/>
          <w:shd w:val="clear" w:fill="FFFFFF"/>
          <w:lang w:val="en-US" w:eastAsia="zh-CN"/>
        </w:rPr>
        <w:t>加强政民互动，运用图解、视频等可视化方式，以多形式易了解的形式公开政府信息，确保群众“看得见、听得懂”。</w:t>
      </w:r>
      <w:r>
        <w:rPr>
          <w:rFonts w:hint="eastAsia" w:ascii="ÃƒÂ¥Ã‚Â¾Ã‚Â®ÃƒÂ¨Ã‚Â½Ã‚Â¯ÃƒÂ©Ã¢â" w:hAnsi="ÃƒÂ¥Ã‚Â¾Ã‚Â®ÃƒÂ¨Ã‚Â½Ã‚Â¯ÃƒÂ©Ã¢â" w:eastAsia="宋体" w:cs="ÃƒÂ¥Ã‚Â¾Ã‚Â®ÃƒÂ¨Ã‚Â½Ã‚Â¯ÃƒÂ©Ã¢â"/>
          <w:i w:val="0"/>
          <w:iCs w:val="0"/>
          <w:caps w:val="0"/>
          <w:color w:val="000000"/>
          <w:spacing w:val="0"/>
          <w:sz w:val="24"/>
          <w:szCs w:val="24"/>
          <w:shd w:val="clear" w:fill="FFFFFF"/>
          <w:lang w:val="en-US" w:eastAsia="zh-CN"/>
        </w:rPr>
        <w:t>此外</w:t>
      </w:r>
      <w:r>
        <w:rPr>
          <w:rFonts w:ascii="ÃƒÂ¥Ã‚Â¾Ã‚Â®ÃƒÂ¨Ã‚Â½Ã‚Â¯ÃƒÂ©Ã¢â" w:hAnsi="ÃƒÂ¥Ã‚Â¾Ã‚Â®ÃƒÂ¨Ã‚Â½Ã‚Â¯ÃƒÂ©Ã¢â" w:eastAsia="ÃƒÂ¥Ã‚Â¾Ã‚Â®ÃƒÂ¨Ã‚Â½Ã‚Â¯ÃƒÂ©Ã¢â" w:cs="ÃƒÂ¥Ã‚Â¾Ã‚Â®ÃƒÂ¨Ã‚Â½Ã‚Â¯ÃƒÂ©Ã¢â"/>
          <w:i w:val="0"/>
          <w:iCs w:val="0"/>
          <w:caps w:val="0"/>
          <w:color w:val="000000"/>
          <w:spacing w:val="0"/>
          <w:sz w:val="24"/>
          <w:szCs w:val="24"/>
          <w:shd w:val="clear" w:fill="FFFFFF"/>
        </w:rPr>
        <w:t>，继续按要求做好政府信息公开申请的答复和相关电话咨询，满足政府信息公开申请人的知情权。另外，做好日常工作自我检查，发现的问题及时整改，推进各项任务落实，提升我镇政务公开工作水平。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i w:val="0"/>
          <w:iCs w:val="0"/>
          <w:caps w:val="0"/>
          <w:color w:val="000000"/>
          <w:spacing w:val="0"/>
          <w:sz w:val="24"/>
          <w:szCs w:val="24"/>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b/>
          <w:bCs/>
          <w:i w:val="0"/>
          <w:iCs w:val="0"/>
          <w:caps w:val="0"/>
          <w:color w:val="000000"/>
          <w:spacing w:val="0"/>
          <w:sz w:val="24"/>
          <w:szCs w:val="24"/>
          <w:shd w:val="clear" w:fill="FFFFFF"/>
        </w:rPr>
        <w:t>六、其他需要报告的事项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1.收取信息处理费情况方面。202</w:t>
      </w:r>
      <w:r>
        <w:rPr>
          <w:rFonts w:hint="eastAsia" w:ascii="宋体" w:hAnsi="宋体" w:eastAsia="宋体" w:cs="宋体"/>
          <w:i w:val="0"/>
          <w:iCs w:val="0"/>
          <w:caps w:val="0"/>
          <w:color w:val="000000"/>
          <w:spacing w:val="0"/>
          <w:sz w:val="24"/>
          <w:szCs w:val="24"/>
          <w:shd w:val="clear" w:fill="FFFFFF"/>
          <w:lang w:val="en-US" w:eastAsia="zh-CN"/>
        </w:rPr>
        <w:t>3</w:t>
      </w:r>
      <w:r>
        <w:rPr>
          <w:rFonts w:hint="eastAsia" w:ascii="宋体" w:hAnsi="宋体" w:eastAsia="宋体" w:cs="宋体"/>
          <w:i w:val="0"/>
          <w:iCs w:val="0"/>
          <w:caps w:val="0"/>
          <w:color w:val="000000"/>
          <w:spacing w:val="0"/>
          <w:sz w:val="24"/>
          <w:szCs w:val="24"/>
          <w:shd w:val="clear" w:fill="FFFFFF"/>
        </w:rPr>
        <w:t>年度，本单位未收取信息处理费； 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2.落实上级年度政务公开工作要点情况。按照</w:t>
      </w:r>
      <w:r>
        <w:rPr>
          <w:rFonts w:hint="eastAsia" w:ascii="宋体" w:hAnsi="宋体" w:eastAsia="宋体" w:cs="宋体"/>
          <w:i w:val="0"/>
          <w:iCs w:val="0"/>
          <w:caps w:val="0"/>
          <w:color w:val="000000"/>
          <w:spacing w:val="0"/>
          <w:sz w:val="24"/>
          <w:szCs w:val="24"/>
          <w:shd w:val="clear" w:fill="FFFFFF"/>
          <w:lang w:val="en-US" w:eastAsia="zh-CN"/>
        </w:rPr>
        <w:t>山东省、枣庄市、滕州市有关</w:t>
      </w:r>
      <w:r>
        <w:rPr>
          <w:rFonts w:hint="eastAsia" w:ascii="宋体" w:hAnsi="宋体" w:eastAsia="宋体" w:cs="宋体"/>
          <w:i w:val="0"/>
          <w:iCs w:val="0"/>
          <w:caps w:val="0"/>
          <w:color w:val="000000"/>
          <w:spacing w:val="0"/>
          <w:sz w:val="24"/>
          <w:szCs w:val="24"/>
          <w:shd w:val="clear" w:fill="FFFFFF"/>
        </w:rPr>
        <w:t>要求及分工，结合</w:t>
      </w:r>
      <w:r>
        <w:rPr>
          <w:rFonts w:hint="eastAsia" w:ascii="宋体" w:hAnsi="宋体" w:eastAsia="宋体" w:cs="宋体"/>
          <w:i w:val="0"/>
          <w:iCs w:val="0"/>
          <w:caps w:val="0"/>
          <w:color w:val="000000"/>
          <w:spacing w:val="0"/>
          <w:sz w:val="24"/>
          <w:szCs w:val="24"/>
          <w:shd w:val="clear" w:fill="FFFFFF"/>
          <w:lang w:val="en-US" w:eastAsia="zh-CN"/>
        </w:rPr>
        <w:t>本</w:t>
      </w:r>
      <w:r>
        <w:rPr>
          <w:rFonts w:hint="eastAsia" w:ascii="宋体" w:hAnsi="宋体" w:eastAsia="宋体" w:cs="宋体"/>
          <w:i w:val="0"/>
          <w:iCs w:val="0"/>
          <w:caps w:val="0"/>
          <w:color w:val="000000"/>
          <w:spacing w:val="0"/>
          <w:sz w:val="24"/>
          <w:szCs w:val="24"/>
          <w:shd w:val="clear" w:fill="FFFFFF"/>
        </w:rPr>
        <w:t>镇工作实际，不断加强对政务公开工作的组织领导，细化完善政务公开工作方案，压实部门人员责任，确保政务公开工作成效。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3.人大代表建议和政协提案办理情况方面。202</w:t>
      </w:r>
      <w:r>
        <w:rPr>
          <w:rFonts w:hint="eastAsia" w:ascii="宋体" w:hAnsi="宋体" w:eastAsia="宋体" w:cs="宋体"/>
          <w:i w:val="0"/>
          <w:iCs w:val="0"/>
          <w:caps w:val="0"/>
          <w:color w:val="000000"/>
          <w:spacing w:val="0"/>
          <w:sz w:val="24"/>
          <w:szCs w:val="24"/>
          <w:shd w:val="clear" w:fill="FFFFFF"/>
          <w:lang w:val="en-US" w:eastAsia="zh-CN"/>
        </w:rPr>
        <w:t>3</w:t>
      </w:r>
      <w:r>
        <w:rPr>
          <w:rFonts w:hint="eastAsia" w:ascii="宋体" w:hAnsi="宋体" w:eastAsia="宋体" w:cs="宋体"/>
          <w:i w:val="0"/>
          <w:iCs w:val="0"/>
          <w:caps w:val="0"/>
          <w:color w:val="000000"/>
          <w:spacing w:val="0"/>
          <w:sz w:val="24"/>
          <w:szCs w:val="24"/>
          <w:shd w:val="clear" w:fill="FFFFFF"/>
        </w:rPr>
        <w:t>年，未办理人大代表建议和政协提案。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4.开展政务公开创新方面。羊庄镇人民政府将持续推进政府开放日、政务公开体验区等创新形式。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5.本单位政府信息公开工作年度报告数据统计需要说明的事项：无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6.其他有关文件专门要求通过政府信息公开工作年度报告予以报告的事项：无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7.本报告的电子版可在“中国滕州网”（http://www.tengzhou.gov.cn/）网站查询和下载。如对本报告有任何疑问，请与羊庄镇人民政府联系。 （地址：滕州市羊庄镇人民政府，联系电话：0632—2917120）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i w:val="0"/>
          <w:iCs w:val="0"/>
          <w:caps w:val="0"/>
          <w:color w:val="000000"/>
          <w:spacing w:val="0"/>
          <w:sz w:val="24"/>
          <w:szCs w:val="24"/>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ÃƒÂ¥Ã‚Â¾Ã‚Â®ÃƒÂ¨Ã‚Â½Ã‚Â¯ÃƒÂ©Ã¢â">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1DDB31"/>
    <w:multiLevelType w:val="singleLevel"/>
    <w:tmpl w:val="941DDB3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kNTVlZGFmZTc4YzQzYWVlZGJlOTdmYjExYzBlNTQifQ=="/>
  </w:docVars>
  <w:rsids>
    <w:rsidRoot w:val="00000000"/>
    <w:rsid w:val="0DC44DD3"/>
    <w:rsid w:val="0EE75FEF"/>
    <w:rsid w:val="224114F2"/>
    <w:rsid w:val="26581B0E"/>
    <w:rsid w:val="3230086B"/>
    <w:rsid w:val="3D5D19B6"/>
    <w:rsid w:val="578810DA"/>
    <w:rsid w:val="64E06FD6"/>
    <w:rsid w:val="67803B7C"/>
    <w:rsid w:val="6EE44114"/>
    <w:rsid w:val="79A3211B"/>
    <w:rsid w:val="79F5608E"/>
    <w:rsid w:val="7DE47D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5">
    <w:name w:val="Strong"/>
    <w:basedOn w:val="4"/>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河畔</cp:lastModifiedBy>
  <dcterms:modified xsi:type="dcterms:W3CDTF">2024-01-23T04:38:10Z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B688C8C6293A4A79BCF48F6196FD091E_12</vt:lpwstr>
  </property>
</Properties>
</file>