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滕州市城乡水务局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eastAsia="zh-CN"/>
        </w:rPr>
        <w:t>0</w:t>
      </w: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年政府信息公开年度报告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根据《中华人民共和国政府信息公开条例》《山东省政府信息公开办法》和省政府办公厅、枣庄市政府办公室、滕州市政府办公室通知要求，特编制滕州市城乡水务局2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年政府信息公开年度报告并向社会公布。本报告中所列数据的统计期限自2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年1月1日起至2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局高度重视政府信息公开工作，认真学习《中华人民共和国政府信息公开条例》和省、市政府信息公开工作会议精神，完善信息公开组织机构建设，遵循公开、公平、便民的原则，深化政府信息公开内容，规范政府信息公开程序，切实保障群众的知情权、参与权和监督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（一）政府信息主动公开情况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lang w:eastAsia="zh-CN"/>
        </w:rPr>
      </w:pPr>
      <w:r>
        <w:rPr>
          <w:rFonts w:hint="eastAsia" w:eastAsiaTheme="minorEastAsia"/>
          <w:lang w:eastAsia="zh-CN"/>
        </w:rPr>
        <w:drawing>
          <wp:inline distT="0" distB="0" distL="114300" distR="114300">
            <wp:extent cx="4806315" cy="2736215"/>
            <wp:effectExtent l="0" t="0" r="13335" b="698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5"/>
                    <a:stretch>
                      <a:fillRect/>
                    </a:stretch>
                  </pic:blipFill>
                  <pic:spPr>
                    <a:xfrm>
                      <a:off x="0" y="0"/>
                      <a:ext cx="4806315" cy="27362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FF0000"/>
          <w:sz w:val="32"/>
          <w:szCs w:val="32"/>
          <w:highlight w:val="yellow"/>
          <w:lang w:val="en-US" w:eastAsia="zh-CN"/>
        </w:rPr>
      </w:pPr>
      <w:r>
        <w:rPr>
          <w:rFonts w:hint="eastAsia" w:ascii="仿宋_GB2312" w:hAnsi="仿宋_GB2312" w:eastAsia="仿宋_GB2312" w:cs="仿宋_GB2312"/>
          <w:sz w:val="32"/>
          <w:szCs w:val="32"/>
        </w:rPr>
        <w:t>主动公开政府信息</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条，其中通知公告</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条、政策文件信息</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条、规划计划信息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条、财政信息</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条、行政权力信息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条、建议提案信息</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条、重点领域信息</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条、组织管理信息</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条。2023年全年滕州市城乡水务局门户网站</w:t>
      </w:r>
      <w:r>
        <w:rPr>
          <w:rFonts w:hint="eastAsia" w:ascii="仿宋_GB2312" w:hAnsi="仿宋_GB2312" w:eastAsia="仿宋_GB2312" w:cs="仿宋_GB2312"/>
          <w:sz w:val="32"/>
          <w:szCs w:val="32"/>
          <w:lang w:eastAsia="zh-CN"/>
        </w:rPr>
        <w:t>发布信息</w:t>
      </w:r>
      <w:r>
        <w:rPr>
          <w:rFonts w:hint="eastAsia" w:ascii="仿宋_GB2312" w:hAnsi="仿宋_GB2312" w:eastAsia="仿宋_GB2312" w:cs="仿宋_GB2312"/>
          <w:sz w:val="32"/>
          <w:szCs w:val="32"/>
          <w:lang w:val="en-US" w:eastAsia="zh-CN"/>
        </w:rPr>
        <w:t>305条</w:t>
      </w:r>
      <w:r>
        <w:rPr>
          <w:rFonts w:hint="eastAsia" w:ascii="仿宋_GB2312" w:hAnsi="仿宋_GB2312" w:eastAsia="仿宋_GB2312" w:cs="仿宋_GB2312"/>
          <w:sz w:val="32"/>
          <w:szCs w:val="32"/>
          <w:lang w:eastAsia="zh-CN"/>
        </w:rPr>
        <w:t>，“滕州水务”微信公众号发布信息</w:t>
      </w:r>
      <w:r>
        <w:rPr>
          <w:rFonts w:hint="eastAsia" w:ascii="仿宋_GB2312" w:hAnsi="仿宋_GB2312" w:eastAsia="仿宋_GB2312" w:cs="仿宋_GB2312"/>
          <w:sz w:val="32"/>
          <w:szCs w:val="32"/>
          <w:lang w:val="en-US" w:eastAsia="zh-CN"/>
        </w:rPr>
        <w:t>52条。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（二）政府信息依申请公开情况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eastAsia="仿宋_GB2312" w:asciiTheme="majorEastAsia" w:hAnsiTheme="majorEastAsia" w:cstheme="majorEastAsia"/>
          <w:sz w:val="32"/>
          <w:szCs w:val="32"/>
          <w:lang w:eastAsia="zh-CN"/>
        </w:rPr>
        <w:drawing>
          <wp:inline distT="0" distB="0" distL="114300" distR="114300">
            <wp:extent cx="4806315" cy="2736215"/>
            <wp:effectExtent l="0" t="0" r="13335" b="698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6"/>
                    <a:stretch>
                      <a:fillRect/>
                    </a:stretch>
                  </pic:blipFill>
                  <pic:spPr>
                    <a:xfrm>
                      <a:off x="0" y="0"/>
                      <a:ext cx="4806315" cy="27362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市城乡水务局受理依申请公开</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件，全部按时限要求办结，其中予以公开</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件，部分公开</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件，不予公开</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件，无法提供</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件，不予处理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件，转结下年度继续办理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与2022年相比增加</w:t>
      </w:r>
      <w:r>
        <w:rPr>
          <w:rFonts w:hint="eastAsia" w:ascii="仿宋_GB2312" w:hAnsi="仿宋_GB2312" w:eastAsia="仿宋_GB2312" w:cs="仿宋_GB2312"/>
          <w:sz w:val="32"/>
          <w:szCs w:val="32"/>
          <w:lang w:val="en-US" w:eastAsia="zh-CN"/>
        </w:rPr>
        <w:t>2件。</w:t>
      </w:r>
      <w:r>
        <w:rPr>
          <w:rFonts w:hint="eastAsia" w:ascii="仿宋_GB2312" w:hAnsi="仿宋_GB2312" w:eastAsia="仿宋_GB2312" w:cs="仿宋_GB2312"/>
          <w:sz w:val="32"/>
          <w:szCs w:val="32"/>
        </w:rPr>
        <w:t>本年度无因政府信息公开申请提起行政复议、行政诉讼情况。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形成“主要领导亲自抓、分管领导具体抓、机关科室合力抓、专人负责抓落实”的工作机制，认真落实“决策、执行、管理、服务、结果公开”，将“五公开”纳入办文、办事和办会程序。动态扩展公开内容，结合群众关注的重点热点问题，定期对公开内容进行梳理。严格把关政府信息公开内容审查，市城乡水务局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年度无违反规定和失泄密情况。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（四）政府信息平台建设情况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加强网站内容建设，规范栏目设置，健全用户信息保护制度，强化信息搜索、办理服务功能，做好政务公开网站与滕州市城乡水务局网站联动关系，做到多平台、多栏目、多渠道同步更新。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做好信息公开和宣传经费保障工作，严格按照信息发布流程开展工作，研究制定公开考核、评议、责任追究和监督检查办法，参加市级信息公开培训，推进和规范政府信息公开工作。2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年度参与滕州市部门政务公开绩效考核，未进行社会评议，未发生责任追究情况。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178"/>
        <w:gridCol w:w="2178"/>
        <w:gridCol w:w="2179"/>
        <w:gridCol w:w="217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820" w:type="dxa"/>
            <w:gridSpan w:val="4"/>
            <w:tcBorders>
              <w:top w:val="single" w:color="auto" w:sz="6" w:space="0"/>
              <w:left w:val="single" w:color="auto" w:sz="6" w:space="0"/>
              <w:bottom w:val="single" w:color="auto" w:sz="6" w:space="0"/>
              <w:right w:val="single" w:color="000000"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ascii="黑体" w:hAnsi="宋体" w:eastAsia="黑体" w:cs="黑体"/>
                <w:i w:val="0"/>
                <w:iCs w:val="0"/>
                <w:caps w:val="0"/>
                <w:color w:val="000000"/>
                <w:spacing w:val="0"/>
                <w:sz w:val="24"/>
                <w:szCs w:val="24"/>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ascii="仿宋_GB2312" w:hAnsi="ÃƒÂ¥Ã‚Â¾Ã‚Â®ÃƒÂ¨Ã‚Â½Ã‚Â¯ÃƒÂ©Ã¢â" w:eastAsia="仿宋_GB2312" w:cs="仿宋_GB2312"/>
                <w:i w:val="0"/>
                <w:iCs w:val="0"/>
                <w:caps w:val="0"/>
                <w:color w:val="000000"/>
                <w:spacing w:val="0"/>
                <w:sz w:val="24"/>
                <w:szCs w:val="24"/>
              </w:rPr>
              <w:t>信息内容</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本年制发件数</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本年废止件数</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规章</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宋体" w:hAnsi="宋体" w:eastAsia="宋体" w:cs="宋体"/>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行政规范性文件</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宋体" w:hAnsi="宋体" w:eastAsia="宋体" w:cs="宋体"/>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黑体" w:hAnsi="宋体" w:eastAsia="黑体" w:cs="黑体"/>
                <w:i w:val="0"/>
                <w:iCs w:val="0"/>
                <w:caps w:val="0"/>
                <w:color w:val="000000"/>
                <w:spacing w:val="0"/>
                <w:sz w:val="24"/>
                <w:szCs w:val="24"/>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信息内容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行政许可</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黑体" w:hAnsi="宋体" w:eastAsia="黑体" w:cs="黑体"/>
                <w:i w:val="0"/>
                <w:iCs w:val="0"/>
                <w:caps w:val="0"/>
                <w:color w:val="000000"/>
                <w:spacing w:val="0"/>
                <w:sz w:val="24"/>
                <w:szCs w:val="24"/>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信息内容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行政处罚</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行政强制</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黑体" w:hAnsi="宋体" w:eastAsia="黑体" w:cs="黑体"/>
                <w:i w:val="0"/>
                <w:iCs w:val="0"/>
                <w:caps w:val="0"/>
                <w:color w:val="000000"/>
                <w:spacing w:val="0"/>
                <w:sz w:val="24"/>
                <w:szCs w:val="24"/>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7"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信息内容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本年收费金额（单位：</w:t>
            </w:r>
            <w:r>
              <w:rPr>
                <w:rFonts w:hint="eastAsia" w:ascii="仿宋_GB2312" w:hAnsi="ÃƒÂ¥Ã‚Â¾Ã‚Â®ÃƒÂ¨Ã‚Â½Ã‚Â¯ÃƒÂ©Ã¢â" w:eastAsia="仿宋_GB2312" w:cs="仿宋_GB2312"/>
                <w:i w:val="0"/>
                <w:iCs w:val="0"/>
                <w:caps w:val="0"/>
                <w:color w:val="000000"/>
                <w:spacing w:val="0"/>
                <w:sz w:val="24"/>
                <w:szCs w:val="24"/>
                <w:highlight w:val="none"/>
              </w:rPr>
              <w:t>万元</w:t>
            </w:r>
            <w:r>
              <w:rPr>
                <w:rFonts w:hint="eastAsia" w:ascii="仿宋_GB2312" w:hAnsi="ÃƒÂ¥Ã‚Â¾Ã‚Â®ÃƒÂ¨Ã‚Â½Ã‚Â¯ÃƒÂ©Ã¢â" w:eastAsia="仿宋_GB2312" w:cs="仿宋_GB2312"/>
                <w:i w:val="0"/>
                <w:iCs w:val="0"/>
                <w:caps w:val="0"/>
                <w:color w:val="000000"/>
                <w:spacing w:val="0"/>
                <w:sz w:val="24"/>
                <w:szCs w:val="24"/>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行政事业性收费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default" w:eastAsia="仿宋_GB2312"/>
                <w:sz w:val="24"/>
                <w:szCs w:val="24"/>
                <w:lang w:val="en-US" w:eastAsia="zh-CN"/>
              </w:rPr>
            </w:pPr>
            <w:r>
              <w:rPr>
                <w:rFonts w:hint="eastAsia" w:ascii="仿宋_GB2312" w:hAnsi="ÃƒÂ¥Ã‚Â¾Ã‚Â®ÃƒÂ¨Ã‚Â½Ã‚Â¯ÃƒÂ©Ã¢â" w:eastAsia="仿宋_GB2312" w:cs="仿宋_GB2312"/>
                <w:i w:val="0"/>
                <w:iCs w:val="0"/>
                <w:caps w:val="0"/>
                <w:color w:val="000000"/>
                <w:spacing w:val="0"/>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54"/>
        <w:gridCol w:w="1124"/>
        <w:gridCol w:w="2014"/>
        <w:gridCol w:w="562"/>
        <w:gridCol w:w="645"/>
        <w:gridCol w:w="645"/>
        <w:gridCol w:w="804"/>
        <w:gridCol w:w="804"/>
        <w:gridCol w:w="481"/>
        <w:gridCol w:w="48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0" w:type="auto"/>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（本列数据的勾稽关系为：第一项加第二项之和，等于第三项加第四项之和）</w:t>
            </w:r>
          </w:p>
        </w:tc>
        <w:tc>
          <w:tcPr>
            <w:tcW w:w="4422" w:type="dxa"/>
            <w:gridSpan w:val="7"/>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自然人</w:t>
            </w:r>
          </w:p>
        </w:tc>
        <w:tc>
          <w:tcPr>
            <w:tcW w:w="0" w:type="auto"/>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法人或其他组织</w:t>
            </w:r>
          </w:p>
        </w:tc>
        <w:tc>
          <w:tcPr>
            <w:tcW w:w="481"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商业企业</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科研机构</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社会公益组织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法律服务机构</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w:t>
            </w:r>
          </w:p>
        </w:tc>
        <w:tc>
          <w:tcPr>
            <w:tcW w:w="48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一、本年新收政府信息公开申请数量</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二、上年结转政府信息公开申请数量</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1"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三、本年度办理结果</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ascii="楷体" w:hAnsi="楷体" w:eastAsia="楷体" w:cs="楷体"/>
                <w:i w:val="0"/>
                <w:iCs w:val="0"/>
                <w:caps w:val="0"/>
                <w:color w:val="000000"/>
                <w:spacing w:val="0"/>
                <w:sz w:val="19"/>
                <w:szCs w:val="19"/>
              </w:rPr>
              <w:t>（一）</w:t>
            </w:r>
            <w:r>
              <w:rPr>
                <w:rFonts w:hint="eastAsia" w:ascii="楷体" w:hAnsi="楷体" w:eastAsia="楷体" w:cs="楷体"/>
                <w:i w:val="0"/>
                <w:iCs w:val="0"/>
                <w:caps w:val="0"/>
                <w:color w:val="000000"/>
                <w:spacing w:val="0"/>
                <w:sz w:val="19"/>
                <w:szCs w:val="19"/>
                <w:lang w:val="en-US" w:eastAsia="zh-CN"/>
              </w:rPr>
              <w:t>予以</w:t>
            </w:r>
            <w:r>
              <w:rPr>
                <w:rFonts w:ascii="楷体" w:hAnsi="楷体" w:eastAsia="楷体" w:cs="楷体"/>
                <w:i w:val="0"/>
                <w:iCs w:val="0"/>
                <w:caps w:val="0"/>
                <w:color w:val="000000"/>
                <w:spacing w:val="0"/>
                <w:sz w:val="19"/>
                <w:szCs w:val="19"/>
              </w:rPr>
              <w:t>公开</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（二）部分公开（区分处理的，只计这一情形，不计其他情形）</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（三）不予公开</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1.属于国家秘密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2.其他法律行政法规禁止公开</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3.危及“三安全一稳定”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4.保护第三方合法权益</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5.属于三类内部事务信息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6.属于四类过程性信息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7.属于行政执法案卷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8.属于行政查询事项</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（四）无法提供</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1.本机关不掌握相关政府信息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2.没有现成信息需要另行制作</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3.补正后申请内容仍不明确</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（五）不予处理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1.信访举报投诉类申请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2.重复申请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3.要求提供公开出版物</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4.无正当理由大量反复申请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5.要求行政机关确认或重新出具已获取信息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（六）其他处理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（七）总计</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四、结转下年度继续办理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pPr w:vertAnchor="text" w:tblpXSpec="left"/>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6"/>
        <w:gridCol w:w="576"/>
        <w:gridCol w:w="576"/>
        <w:gridCol w:w="576"/>
        <w:gridCol w:w="642"/>
        <w:gridCol w:w="536"/>
        <w:gridCol w:w="577"/>
        <w:gridCol w:w="577"/>
        <w:gridCol w:w="577"/>
        <w:gridCol w:w="590"/>
        <w:gridCol w:w="577"/>
        <w:gridCol w:w="577"/>
        <w:gridCol w:w="577"/>
        <w:gridCol w:w="577"/>
        <w:gridCol w:w="60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结果维持</w:t>
            </w:r>
          </w:p>
        </w:tc>
        <w:tc>
          <w:tcPr>
            <w:tcW w:w="6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结果纠正</w:t>
            </w:r>
          </w:p>
        </w:tc>
        <w:tc>
          <w:tcPr>
            <w:tcW w:w="6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其他结果</w:t>
            </w:r>
          </w:p>
        </w:tc>
        <w:tc>
          <w:tcPr>
            <w:tcW w:w="6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尚未审结</w:t>
            </w:r>
          </w:p>
        </w:tc>
        <w:tc>
          <w:tcPr>
            <w:tcW w:w="66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c>
          <w:tcPr>
            <w:tcW w:w="297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未经复议直接起诉</w:t>
            </w:r>
          </w:p>
        </w:tc>
        <w:tc>
          <w:tcPr>
            <w:tcW w:w="303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5" w:hRule="atLeast"/>
        </w:trPr>
        <w:tc>
          <w:tcPr>
            <w:tcW w:w="60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结果维持</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结果纠正</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其他结果</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尚未审结</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结果维持</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结果纠正</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其他结果</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尚未审结</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6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滕州市城乡水务局政务公开工作存在的主要问题</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意见箱等渠道还需畅通</w:t>
      </w:r>
      <w:r>
        <w:rPr>
          <w:rFonts w:hint="eastAsia" w:ascii="仿宋_GB2312" w:hAnsi="仿宋_GB2312" w:eastAsia="仿宋_GB2312" w:cs="仿宋_GB2312"/>
          <w:sz w:val="32"/>
          <w:szCs w:val="32"/>
        </w:rPr>
        <w:t>、信息公开数量</w:t>
      </w:r>
      <w:r>
        <w:rPr>
          <w:rFonts w:hint="eastAsia" w:ascii="仿宋_GB2312" w:hAnsi="仿宋_GB2312" w:eastAsia="仿宋_GB2312" w:cs="仿宋_GB2312"/>
          <w:sz w:val="32"/>
          <w:szCs w:val="32"/>
          <w:lang w:eastAsia="zh-CN"/>
        </w:rPr>
        <w:t>不多</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针对存在的问题，改进措施</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充分发挥意见箱</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监督电话</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作用，畅通</w:t>
      </w:r>
      <w:r>
        <w:rPr>
          <w:rFonts w:hint="eastAsia" w:ascii="仿宋_GB2312" w:hAnsi="仿宋_GB2312" w:eastAsia="仿宋_GB2312" w:cs="仿宋_GB2312"/>
          <w:sz w:val="32"/>
          <w:szCs w:val="32"/>
          <w:lang w:eastAsia="zh-CN"/>
        </w:rPr>
        <w:t>拓展</w:t>
      </w:r>
      <w:r>
        <w:rPr>
          <w:rFonts w:hint="eastAsia" w:ascii="仿宋_GB2312" w:hAnsi="仿宋_GB2312" w:eastAsia="仿宋_GB2312" w:cs="仿宋_GB2312"/>
          <w:sz w:val="32"/>
          <w:szCs w:val="32"/>
        </w:rPr>
        <w:t>各种沟通渠道，确保信息公开工作</w:t>
      </w:r>
      <w:r>
        <w:rPr>
          <w:rFonts w:hint="eastAsia" w:ascii="仿宋_GB2312" w:hAnsi="仿宋_GB2312" w:eastAsia="仿宋_GB2312" w:cs="仿宋_GB2312"/>
          <w:sz w:val="32"/>
          <w:szCs w:val="32"/>
          <w:lang w:eastAsia="zh-CN"/>
        </w:rPr>
        <w:t>有效开展；</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、丰富</w:t>
      </w:r>
      <w:r>
        <w:rPr>
          <w:rFonts w:hint="eastAsia" w:ascii="仿宋_GB2312" w:hAnsi="仿宋_GB2312" w:eastAsia="仿宋_GB2312" w:cs="仿宋_GB2312"/>
          <w:sz w:val="32"/>
          <w:szCs w:val="32"/>
        </w:rPr>
        <w:t>政府信息</w:t>
      </w:r>
      <w:r>
        <w:rPr>
          <w:rFonts w:hint="eastAsia" w:ascii="仿宋_GB2312" w:hAnsi="仿宋_GB2312" w:eastAsia="仿宋_GB2312" w:cs="仿宋_GB2312"/>
          <w:sz w:val="32"/>
          <w:szCs w:val="32"/>
          <w:lang w:eastAsia="zh-CN"/>
        </w:rPr>
        <w:t>公开内容，</w:t>
      </w:r>
      <w:r>
        <w:rPr>
          <w:rFonts w:hint="eastAsia" w:ascii="仿宋_GB2312" w:hAnsi="仿宋_GB2312" w:eastAsia="仿宋_GB2312" w:cs="仿宋_GB2312"/>
          <w:sz w:val="32"/>
          <w:szCs w:val="32"/>
        </w:rPr>
        <w:t>强化信息公开工作力度，健全完善制度机制，</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提升政府信息公开数量</w:t>
      </w:r>
      <w:r>
        <w:rPr>
          <w:rFonts w:hint="eastAsia" w:ascii="仿宋_GB2312" w:hAnsi="仿宋_GB2312" w:eastAsia="仿宋_GB2312" w:cs="仿宋_GB2312"/>
          <w:sz w:val="32"/>
          <w:szCs w:val="32"/>
          <w:lang w:eastAsia="zh-CN"/>
        </w:rPr>
        <w:t>和质量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1.收取信息处理费情况方面。202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年，滕州市城乡水务局未收取信息处理费。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2.落实上级年度政务公开工作要点情况。202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年，滕州市城乡水务局认真按照《枣庄市202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年政务公开政务公开工作要点》、《滕州市202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年政务公开工作要点》等工作任务、时间节点开展工作。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3.人大代表建议和政协提案办理情况方面。202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年，滕州市城乡水务局共办理建议提案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件，已办结，并将办理结果在政务公开网站进行了公开。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4.开展政务公开创新方面。滕州市城乡水务局采取多种方式，不断创新公开形式，完善公开目录，不断提升创新政务公开工作。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5.本单位政府信息公开工作年度报告数据统计需要说明的事项：无。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6.其他有关文件专门要求通过政府信息公开工作年度报告予以报告的事项：无。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eastAsia="仿宋_GB2312" w:asciiTheme="majorEastAsia" w:hAnsiTheme="majorEastAsia" w:cstheme="majorEastAsia"/>
          <w:sz w:val="32"/>
          <w:szCs w:val="32"/>
          <w:lang w:val="en-US" w:eastAsia="zh-CN"/>
        </w:rPr>
      </w:pPr>
      <w:r>
        <w:rPr>
          <w:rFonts w:hint="eastAsia" w:ascii="仿宋_GB2312" w:hAnsi="仿宋_GB2312" w:eastAsia="仿宋_GB2312" w:cs="仿宋_GB2312"/>
          <w:sz w:val="32"/>
          <w:szCs w:val="32"/>
        </w:rPr>
        <w:t>7.如对本报告有任何疑问，请与滕州市城乡水务局联系（地址：滕州市学院东路2199号，电话：0632-5691310；电子邮箱：tzswjdys@zz.shandong.cn）</w:t>
      </w:r>
      <w:r>
        <w:rPr>
          <w:rFonts w:hint="eastAsia" w:ascii="仿宋_GB2312" w:hAnsi="仿宋_GB2312" w:eastAsia="仿宋_GB2312" w:cs="仿宋_GB2312"/>
          <w:sz w:val="32"/>
          <w:szCs w:val="32"/>
          <w:lang w:eastAsia="zh-CN"/>
        </w:rPr>
        <w:t>。</w:t>
      </w:r>
    </w:p>
    <w:sectPr>
      <w:footerReference r:id="rId3" w:type="default"/>
      <w:pgSz w:w="11906" w:h="16838"/>
      <w:pgMar w:top="1701" w:right="1701" w:bottom="1701"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1B4E9D-6ED7-4F16-9405-EDB525B6A0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49243634-2257-4B53-945C-F0B080230F25}"/>
  </w:font>
  <w:font w:name="仿宋_GB2312">
    <w:panose1 w:val="02010609030101010101"/>
    <w:charset w:val="86"/>
    <w:family w:val="auto"/>
    <w:pitch w:val="default"/>
    <w:sig w:usb0="00000001" w:usb1="080E0000" w:usb2="00000000" w:usb3="00000000" w:csb0="00040000" w:csb1="00000000"/>
    <w:embedRegular r:id="rId3" w:fontKey="{CB76109E-04D2-439A-80F9-33AA282D14E2}"/>
  </w:font>
  <w:font w:name="楷体_GB2312">
    <w:panose1 w:val="02010609030101010101"/>
    <w:charset w:val="86"/>
    <w:family w:val="auto"/>
    <w:pitch w:val="default"/>
    <w:sig w:usb0="00000001" w:usb1="080E0000" w:usb2="00000000" w:usb3="00000000" w:csb0="00040000" w:csb1="00000000"/>
    <w:embedRegular r:id="rId4" w:fontKey="{3D5011CE-DDBC-4E5A-AFED-8FBBCCD8F3B1}"/>
  </w:font>
  <w:font w:name="ÃƒÂ¥Ã‚Â¾Ã‚Â®ÃƒÂ¨Ã‚Â½Ã‚Â¯ÃƒÂ©Ã¢â">
    <w:altName w:val="Segoe Print"/>
    <w:panose1 w:val="00000000000000000000"/>
    <w:charset w:val="00"/>
    <w:family w:val="auto"/>
    <w:pitch w:val="default"/>
    <w:sig w:usb0="00000000" w:usb1="00000000" w:usb2="00000000" w:usb3="00000000" w:csb0="00000000" w:csb1="00000000"/>
    <w:embedRegular r:id="rId5" w:fontKey="{745B0306-88B3-49E3-85FA-D097BB57B0DB}"/>
  </w:font>
  <w:font w:name="楷体">
    <w:panose1 w:val="02010609060101010101"/>
    <w:charset w:val="86"/>
    <w:family w:val="auto"/>
    <w:pitch w:val="default"/>
    <w:sig w:usb0="800002BF" w:usb1="38CF7CFA" w:usb2="00000016" w:usb3="00000000" w:csb0="00040001" w:csb1="00000000"/>
    <w:embedRegular r:id="rId6" w:fontKey="{4BFB8753-80BD-4488-9AC7-7B5437E1B24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YzgxODU3YWFhNGI1MTI5MDZjZmMxY2VlMGMyYmIifQ=="/>
  </w:docVars>
  <w:rsids>
    <w:rsidRoot w:val="75123935"/>
    <w:rsid w:val="03391357"/>
    <w:rsid w:val="0607573C"/>
    <w:rsid w:val="07FA1055"/>
    <w:rsid w:val="09AC6AC4"/>
    <w:rsid w:val="0F5B2655"/>
    <w:rsid w:val="0FDB5C66"/>
    <w:rsid w:val="11924D15"/>
    <w:rsid w:val="1404150D"/>
    <w:rsid w:val="140426E0"/>
    <w:rsid w:val="173E5194"/>
    <w:rsid w:val="184B467C"/>
    <w:rsid w:val="1AA655B1"/>
    <w:rsid w:val="1E460146"/>
    <w:rsid w:val="201C78DF"/>
    <w:rsid w:val="259F51B3"/>
    <w:rsid w:val="27D8088F"/>
    <w:rsid w:val="2B14398C"/>
    <w:rsid w:val="315B138C"/>
    <w:rsid w:val="32091685"/>
    <w:rsid w:val="334E24EC"/>
    <w:rsid w:val="33E30C00"/>
    <w:rsid w:val="3A5F0DEF"/>
    <w:rsid w:val="3C246E37"/>
    <w:rsid w:val="3D927FE5"/>
    <w:rsid w:val="40736F4F"/>
    <w:rsid w:val="40F8531B"/>
    <w:rsid w:val="43F72B79"/>
    <w:rsid w:val="46EB7AE7"/>
    <w:rsid w:val="47B8731B"/>
    <w:rsid w:val="49BF133E"/>
    <w:rsid w:val="4AEB051F"/>
    <w:rsid w:val="4B8D35BB"/>
    <w:rsid w:val="4C88317F"/>
    <w:rsid w:val="504B6A9D"/>
    <w:rsid w:val="512B5D85"/>
    <w:rsid w:val="520914C1"/>
    <w:rsid w:val="531603B6"/>
    <w:rsid w:val="565F77C9"/>
    <w:rsid w:val="59213252"/>
    <w:rsid w:val="5B8127D9"/>
    <w:rsid w:val="5BC0334D"/>
    <w:rsid w:val="5F360164"/>
    <w:rsid w:val="5FD3D190"/>
    <w:rsid w:val="61ED7BB9"/>
    <w:rsid w:val="670822FF"/>
    <w:rsid w:val="67BA0E3C"/>
    <w:rsid w:val="69C61FB9"/>
    <w:rsid w:val="6A274783"/>
    <w:rsid w:val="6AE83F12"/>
    <w:rsid w:val="6F9A7209"/>
    <w:rsid w:val="70C2134D"/>
    <w:rsid w:val="729D1A86"/>
    <w:rsid w:val="733F2EED"/>
    <w:rsid w:val="74B94727"/>
    <w:rsid w:val="75123935"/>
    <w:rsid w:val="76320BBA"/>
    <w:rsid w:val="77274014"/>
    <w:rsid w:val="777D5662"/>
    <w:rsid w:val="77F5684C"/>
    <w:rsid w:val="78715547"/>
    <w:rsid w:val="7C94795F"/>
    <w:rsid w:val="7D6279C0"/>
    <w:rsid w:val="7E0A5DEF"/>
    <w:rsid w:val="7E2146A1"/>
    <w:rsid w:val="7EE8326D"/>
    <w:rsid w:val="7FD073A6"/>
    <w:rsid w:val="7FF3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2257</Words>
  <Characters>2348</Characters>
  <Lines>0</Lines>
  <Paragraphs>0</Paragraphs>
  <TotalTime>22</TotalTime>
  <ScaleCrop>false</ScaleCrop>
  <LinksUpToDate>false</LinksUpToDate>
  <CharactersWithSpaces>2360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2023-01-09T13:03:00Z</dcterms:created>
  <dc:creator>tengzhou</dc:creator>
  <cp:lastModifiedBy>tengzhou</cp:lastModifiedBy>
  <dcterms:modified xsi:type="dcterms:W3CDTF">2024-01-22T07:50:20Z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62354F651A4D4C83B6A1762742A16592_13</vt:lpwstr>
  </property>
</Properties>
</file>