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枣庄市生态环境局滕州分局</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202</w:t>
      </w:r>
      <w:r>
        <w:rPr>
          <w:rFonts w:hint="eastAsia" w:ascii="黑体" w:hAnsi="黑体" w:eastAsia="黑体" w:cs="黑体"/>
          <w:b w:val="0"/>
          <w:bCs w:val="0"/>
          <w:sz w:val="36"/>
          <w:szCs w:val="36"/>
          <w:lang w:val="en-US" w:eastAsia="zh-CN"/>
        </w:rPr>
        <w:t>3</w:t>
      </w:r>
      <w:r>
        <w:rPr>
          <w:rFonts w:hint="eastAsia" w:ascii="黑体" w:hAnsi="黑体" w:eastAsia="黑体" w:cs="黑体"/>
          <w:b w:val="0"/>
          <w:bCs w:val="0"/>
          <w:sz w:val="36"/>
          <w:szCs w:val="36"/>
        </w:rPr>
        <w:t>年政府信息公开工作年度报告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枣庄市生态环境局滕州分局202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信息公开工作年度报告根据《中华人民共和国政府信息公开条例》编制。本报告</w:t>
      </w:r>
      <w:r>
        <w:rPr>
          <w:rFonts w:hint="eastAsia" w:ascii="仿宋_GB2312" w:hAnsi="仿宋_GB2312" w:eastAsia="仿宋_GB2312" w:cs="仿宋_GB2312"/>
          <w:sz w:val="32"/>
          <w:szCs w:val="32"/>
          <w:lang w:val="en-US" w:eastAsia="zh-CN"/>
        </w:rPr>
        <w:t>主要包括主动公开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依申请公开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政府信息管理、政府信息公开平台建设、监督保障</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方面内容</w:t>
      </w:r>
      <w:r>
        <w:rPr>
          <w:rFonts w:hint="eastAsia" w:ascii="仿宋_GB2312" w:hAnsi="仿宋_GB2312" w:eastAsia="仿宋_GB2312" w:cs="仿宋_GB2312"/>
          <w:sz w:val="32"/>
          <w:szCs w:val="32"/>
        </w:rPr>
        <w:t>。本报告中所列数据的统计期限自</w:t>
      </w:r>
      <w:r>
        <w:rPr>
          <w:rFonts w:hint="default" w:ascii="仿宋_GB2312" w:hAnsi="仿宋_GB2312" w:eastAsia="仿宋_GB2312" w:cs="仿宋_GB2312"/>
          <w:sz w:val="32"/>
          <w:szCs w:val="32"/>
        </w:rPr>
        <w:t>2023年1月1日起至2023年12月31日止。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2023年，枣庄市生态环境局滕州分局</w:t>
      </w:r>
      <w:r>
        <w:rPr>
          <w:rFonts w:hint="default" w:ascii="仿宋_GB2312" w:hAnsi="仿宋_GB2312" w:eastAsia="仿宋_GB2312" w:cs="仿宋_GB2312"/>
          <w:sz w:val="32"/>
          <w:szCs w:val="32"/>
        </w:rPr>
        <w:t>认真落实《中华人民共和国政府信息公开条例》和省、市有关文件要求，加强组织领导，完善制度机制，聚焦重点工作任务，以公开促落实、促规范、促服务，不断加大政府信息公开力度，推动政府信息公开工作规范实施。</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.主动公开</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年，主动公开通知公告</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条，规划计划</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条，重点领域</w:t>
      </w:r>
      <w:r>
        <w:rPr>
          <w:rFonts w:hint="eastAsia" w:ascii="仿宋_GB2312" w:hAnsi="仿宋_GB2312" w:eastAsia="仿宋_GB2312" w:cs="仿宋_GB2312"/>
          <w:sz w:val="32"/>
          <w:szCs w:val="32"/>
          <w:lang w:val="en-US" w:eastAsia="zh-CN"/>
        </w:rPr>
        <w:t>454</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包括：政府工作报告4条， </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"http://xxgk.tengzhou.gov.cn/govsearch/searPageNew.jsp?siteid=126&amp;classinfoid=4317"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行政执法公示</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93条，建设项目影响评价331条，空气质量状况13条，</w:t>
      </w:r>
      <w:r>
        <w:rPr>
          <w:rFonts w:hint="eastAsia" w:ascii="仿宋_GB2312" w:hAnsi="仿宋_GB2312" w:eastAsia="仿宋_GB2312" w:cs="仿宋_GB2312"/>
          <w:sz w:val="32"/>
          <w:szCs w:val="32"/>
        </w:rPr>
        <w:t>生活饮用水水源水质</w:t>
      </w:r>
      <w:r>
        <w:rPr>
          <w:rFonts w:hint="eastAsia" w:ascii="仿宋_GB2312" w:hAnsi="仿宋_GB2312" w:eastAsia="仿宋_GB2312" w:cs="仿宋_GB2312"/>
          <w:sz w:val="32"/>
          <w:szCs w:val="32"/>
          <w:lang w:val="en-US" w:eastAsia="zh-CN"/>
        </w:rPr>
        <w:t>状况13条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提案议案9条，</w:t>
      </w:r>
      <w:r>
        <w:rPr>
          <w:rFonts w:hint="eastAsia" w:ascii="仿宋_GB2312" w:hAnsi="仿宋_GB2312" w:eastAsia="仿宋_GB2312" w:cs="仿宋_GB2312"/>
          <w:sz w:val="32"/>
          <w:szCs w:val="32"/>
        </w:rPr>
        <w:t>组织管理</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条，政务公开基本目录</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条。</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inline distT="0" distB="0" distL="114300" distR="114300">
            <wp:extent cx="5302885" cy="5761355"/>
            <wp:effectExtent l="4445" t="4445" r="11430" b="10160"/>
            <wp:docPr id="1" name="图表 1" descr="7b0a202020202263686172745265734964223a2022323034373133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依</w:t>
      </w:r>
      <w:r>
        <w:rPr>
          <w:rFonts w:hint="eastAsia" w:ascii="仿宋_GB2312" w:hAnsi="仿宋_GB2312" w:eastAsia="仿宋_GB2312" w:cs="仿宋_GB2312"/>
          <w:sz w:val="32"/>
          <w:szCs w:val="32"/>
        </w:rPr>
        <w:t>申请公开</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年，枣庄市生态环境局滕州分局共受理政府信息公开申请事项</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件，申请涉及</w:t>
      </w:r>
      <w:r>
        <w:rPr>
          <w:rFonts w:hint="eastAsia" w:ascii="仿宋_GB2312" w:hAnsi="仿宋_GB2312" w:eastAsia="仿宋_GB2312" w:cs="仿宋_GB2312"/>
          <w:sz w:val="32"/>
          <w:szCs w:val="32"/>
          <w:lang w:val="en-US" w:eastAsia="zh-CN"/>
        </w:rPr>
        <w:t>鲁南中联水泥有限公司采矿区环评影响报告书、滕州伦达国际商贸城工程环境影响报告书</w:t>
      </w:r>
      <w:r>
        <w:rPr>
          <w:rFonts w:hint="eastAsia" w:ascii="仿宋_GB2312" w:hAnsi="仿宋_GB2312" w:eastAsia="仿宋_GB2312" w:cs="仿宋_GB2312"/>
          <w:sz w:val="32"/>
          <w:szCs w:val="32"/>
        </w:rPr>
        <w:t>，已严格按照《条例》相关规定按时按要求对申请人进行答复。</w:t>
      </w:r>
      <w:r>
        <w:rPr>
          <w:rFonts w:hint="eastAsia" w:ascii="仿宋_GB2312" w:hAnsi="仿宋_GB2312" w:eastAsia="仿宋_GB2312" w:cs="仿宋_GB2312"/>
          <w:sz w:val="32"/>
          <w:szCs w:val="32"/>
          <w:lang w:val="en-US" w:eastAsia="zh-CN"/>
        </w:rPr>
        <w:t>与2022年相比数量增加两件。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政府信息管理。按时发布政府信息主动公开目录。严格落实公文公开属性源头认定和公开前发布审查工作规定，按要求明确公开属性。</w:t>
      </w:r>
      <w:r>
        <w:rPr>
          <w:rFonts w:hint="default" w:ascii="仿宋_GB2312" w:hAnsi="仿宋_GB2312" w:eastAsia="仿宋_GB2312" w:cs="仿宋_GB2312"/>
          <w:sz w:val="32"/>
          <w:szCs w:val="32"/>
          <w:lang w:val="en-US" w:eastAsia="zh-CN"/>
        </w:rPr>
        <w:t>2023年我局无制发、废止的规章和行政规范性文件，无现行有效的规章和行政规范性文件。</w:t>
      </w:r>
      <w:r>
        <w:rPr>
          <w:rFonts w:hint="eastAsia" w:ascii="仿宋_GB2312" w:hAnsi="Times New Roman" w:eastAsia="仿宋_GB2312"/>
          <w:sz w:val="32"/>
          <w:szCs w:val="32"/>
          <w:lang w:val="en-US" w:eastAsia="zh-CN"/>
        </w:rPr>
        <w:t>统筹信息公开和安全保密，严格执行公开前审查程序，坚决做好政府网站、政务新媒体等平台载体安全保密工作。</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政府信息公开平台建设。</w:t>
      </w:r>
      <w:r>
        <w:rPr>
          <w:rFonts w:hint="default" w:ascii="仿宋_GB2312" w:hAnsi="仿宋_GB2312" w:eastAsia="仿宋_GB2312" w:cs="仿宋_GB2312"/>
          <w:sz w:val="32"/>
          <w:szCs w:val="32"/>
          <w:lang w:val="en-US" w:eastAsia="zh-CN"/>
        </w:rPr>
        <w:t>不断规范完善政务信息公开平台建设，在局部门网站首页设置“信息公开”栏目，全面、准确、及时对相关内容进行更新公开。</w:t>
      </w:r>
      <w:r>
        <w:rPr>
          <w:rFonts w:hint="eastAsia" w:ascii="仿宋_GB2312" w:hAnsi="仿宋_GB2312" w:eastAsia="仿宋_GB2312" w:cs="仿宋_GB2312"/>
          <w:sz w:val="32"/>
          <w:szCs w:val="32"/>
          <w:lang w:val="en-US" w:eastAsia="zh-CN"/>
        </w:rPr>
        <w:t>强化本部</w:t>
      </w:r>
      <w:r>
        <w:rPr>
          <w:rFonts w:hint="eastAsia" w:ascii="仿宋_GB2312" w:hAnsi="仿宋_GB2312" w:eastAsia="仿宋_GB2312" w:cs="仿宋_GB2312"/>
          <w:sz w:val="32"/>
          <w:szCs w:val="32"/>
        </w:rPr>
        <w:t>门网站和</w:t>
      </w:r>
      <w:r>
        <w:rPr>
          <w:rFonts w:hint="eastAsia" w:ascii="仿宋_GB2312" w:hAnsi="仿宋_GB2312" w:eastAsia="仿宋_GB2312" w:cs="仿宋_GB2312"/>
          <w:sz w:val="32"/>
          <w:szCs w:val="32"/>
          <w:lang w:val="en-US" w:eastAsia="zh-CN"/>
        </w:rPr>
        <w:t>政务</w:t>
      </w:r>
      <w:r>
        <w:rPr>
          <w:rFonts w:hint="eastAsia" w:ascii="仿宋_GB2312" w:hAnsi="仿宋_GB2312" w:eastAsia="仿宋_GB2312" w:cs="仿宋_GB2312"/>
          <w:sz w:val="32"/>
          <w:szCs w:val="32"/>
        </w:rPr>
        <w:t>新媒体的管理和维护</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bookmarkStart w:id="10" w:name="_GoBack"/>
      <w:bookmarkEnd w:id="10"/>
      <w:r>
        <w:rPr>
          <w:rFonts w:hint="eastAsia" w:ascii="仿宋_GB2312" w:hAnsi="仿宋_GB2312" w:eastAsia="仿宋_GB2312" w:cs="仿宋_GB2312"/>
          <w:sz w:val="32"/>
          <w:szCs w:val="32"/>
          <w:lang w:val="en-US" w:eastAsia="zh-CN"/>
        </w:rPr>
        <w:t>监督保障。</w:t>
      </w:r>
      <w:r>
        <w:rPr>
          <w:rFonts w:hint="default" w:ascii="仿宋_GB2312" w:hAnsi="仿宋_GB2312" w:eastAsia="仿宋_GB2312" w:cs="仿宋_GB2312"/>
          <w:sz w:val="32"/>
          <w:szCs w:val="32"/>
          <w:lang w:val="en-US" w:eastAsia="zh-CN"/>
        </w:rPr>
        <w:t>严格落实政府信息公开各项制度规定，明确职责、程序和要求，加强对政务公开工作的日常指导和监督检查，规范实施政务公开工作，做到应公开尽公开。加大队伍建设力度，及时调整更新政务公开工作领导小组，明确专职工作人员，研究推进政务公开重要事项，</w:t>
      </w:r>
      <w:r>
        <w:rPr>
          <w:rFonts w:hint="eastAsia" w:ascii="仿宋_GB2312" w:hAnsi="仿宋_GB2312" w:eastAsia="仿宋_GB2312" w:cs="仿宋_GB2312"/>
          <w:sz w:val="32"/>
          <w:szCs w:val="32"/>
          <w:lang w:val="en-US" w:eastAsia="zh-CN"/>
        </w:rPr>
        <w:t>结合工作安排，适时开展政务公开培训，</w:t>
      </w:r>
      <w:r>
        <w:rPr>
          <w:rFonts w:hint="default" w:ascii="仿宋_GB2312" w:hAnsi="仿宋_GB2312" w:eastAsia="仿宋_GB2312" w:cs="仿宋_GB2312"/>
          <w:sz w:val="32"/>
          <w:szCs w:val="32"/>
          <w:lang w:val="en-US" w:eastAsia="zh-CN"/>
        </w:rPr>
        <w:t>扎实落实政务公开日常工作。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年，枣庄市生态环境局滕州分局未发生因信息公开审查不当或保密审查机构未履行保密审查职责而引起的失泄密情况。202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年度未进行社会评议，未发生责任追究情况。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8"/>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491</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25</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仿宋_GB2312" w:hAnsi="Calibri" w:eastAsia="仿宋_GB2312" w:cs="Calibri"/>
                <w:color w:val="FF0000"/>
                <w:kern w:val="0"/>
                <w:szCs w:val="21"/>
                <w:lang w:val="en-US" w:eastAsia="zh-CN"/>
              </w:rPr>
            </w:pPr>
            <w:r>
              <w:rPr>
                <w:rFonts w:hint="eastAsia" w:ascii="仿宋_GB2312" w:hAnsi="Calibri" w:eastAsia="仿宋_GB2312" w:cs="Calibri"/>
                <w:color w:val="auto"/>
                <w:kern w:val="0"/>
                <w:szCs w:val="21"/>
                <w:lang w:val="en-US" w:eastAsia="zh-CN"/>
              </w:rPr>
              <w:t>8</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Calibri" w:eastAsia="仿宋_GB2312" w:cs="Calibri"/>
                <w:color w:val="000000"/>
                <w:kern w:val="0"/>
                <w:szCs w:val="21"/>
                <w:lang w:eastAsia="zh-CN"/>
              </w:rPr>
            </w:pPr>
            <w:r>
              <w:rPr>
                <w:rFonts w:hint="eastAsia" w:ascii="仿宋_GB2312" w:hAnsi="宋体" w:eastAsia="仿宋_GB2312" w:cs="宋体"/>
                <w:color w:val="000000"/>
                <w:kern w:val="0"/>
                <w:szCs w:val="21"/>
                <w:lang w:val="en-US" w:eastAsia="zh-CN"/>
              </w:rPr>
              <w:t>0</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三、收到和处理政府信息公开申请情况</w:t>
      </w:r>
    </w:p>
    <w:tbl>
      <w:tblPr>
        <w:tblStyle w:val="8"/>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9"/>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747"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7"/>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747" w:type="dxa"/>
            <w:vMerge w:val="continue"/>
            <w:noWrap w:val="0"/>
            <w:tcMar>
              <w:left w:w="108" w:type="dxa"/>
              <w:right w:w="108" w:type="dxa"/>
            </w:tcMar>
            <w:vAlign w:val="center"/>
          </w:tcPr>
          <w:p>
            <w:pPr>
              <w:jc w:val="center"/>
              <w:rPr>
                <w:rFonts w:ascii="黑体" w:hAnsi="黑体" w:eastAsia="黑体"/>
                <w:szCs w:val="21"/>
              </w:rPr>
            </w:pPr>
          </w:p>
        </w:tc>
        <w:tc>
          <w:tcPr>
            <w:tcW w:w="540" w:type="dxa"/>
            <w:gridSpan w:val="2"/>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gridSpan w:val="2"/>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noWrap w:val="0"/>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vMerge w:val="continue"/>
            <w:noWrap w:val="0"/>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2</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5093"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752"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4677"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2</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noWrap w:val="0"/>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7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7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lang w:val="en-US"/>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4677" w:type="dxa"/>
            <w:gridSpan w:val="2"/>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2</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四、政府</w:t>
      </w:r>
      <w:r>
        <w:rPr>
          <w:rFonts w:hint="eastAsia" w:ascii="黑体" w:hAnsi="黑体" w:eastAsia="黑体" w:cs="黑体"/>
          <w:sz w:val="32"/>
          <w:szCs w:val="32"/>
        </w:rPr>
        <w:t>信息公开行政复议、行政诉讼情况</w:t>
      </w:r>
    </w:p>
    <w:tbl>
      <w:tblPr>
        <w:tblStyle w:val="8"/>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color w:val="5B9BD5" w:themeColor="accent1"/>
                <w:lang w:val="en-US" w:eastAsia="zh-CN"/>
                <w14:textFill>
                  <w14:solidFill>
                    <w14:schemeClr w14:val="accent1"/>
                  </w14:solidFill>
                </w14:textFill>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i w:val="0"/>
          <w:iCs w:val="0"/>
          <w:caps w:val="0"/>
          <w:color w:val="FF0000"/>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2023年，滕州分局</w:t>
      </w:r>
      <w:r>
        <w:rPr>
          <w:rFonts w:hint="eastAsia" w:ascii="仿宋_GB2312" w:hAnsi="仿宋_GB2312" w:eastAsia="仿宋_GB2312" w:cs="仿宋_GB2312"/>
          <w:i w:val="0"/>
          <w:iCs w:val="0"/>
          <w:caps w:val="0"/>
          <w:color w:val="333333"/>
          <w:spacing w:val="0"/>
          <w:sz w:val="32"/>
          <w:szCs w:val="32"/>
          <w:shd w:val="clear" w:fill="FFFFFF"/>
        </w:rPr>
        <w:t>政府信息公开工作还存在一些问题亟待加强和改进</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如公开形式和载体还不够丰富；新技术、新载体应用不深入等。</w:t>
      </w:r>
      <w:r>
        <w:rPr>
          <w:rFonts w:hint="eastAsia" w:ascii="仿宋_GB2312" w:hAnsi="仿宋_GB2312" w:eastAsia="仿宋_GB2312" w:cs="仿宋_GB2312"/>
          <w:i w:val="0"/>
          <w:iCs w:val="0"/>
          <w:caps w:val="0"/>
          <w:color w:val="333333"/>
          <w:spacing w:val="0"/>
          <w:sz w:val="32"/>
          <w:szCs w:val="32"/>
          <w:shd w:val="clear" w:fill="FFFFFF"/>
          <w:lang w:val="en-US" w:eastAsia="zh-CN"/>
        </w:rPr>
        <w:t>在2024年政府信息公开工作中，滕州分局</w:t>
      </w:r>
      <w:r>
        <w:rPr>
          <w:rFonts w:hint="eastAsia" w:ascii="仿宋_GB2312" w:hAnsi="仿宋_GB2312" w:eastAsia="仿宋_GB2312" w:cs="仿宋_GB2312"/>
          <w:i w:val="0"/>
          <w:iCs w:val="0"/>
          <w:caps w:val="0"/>
          <w:color w:val="333333"/>
          <w:spacing w:val="0"/>
          <w:sz w:val="32"/>
          <w:szCs w:val="32"/>
          <w:shd w:val="clear" w:fill="FFFFFF"/>
        </w:rPr>
        <w:t>将加大政府信息公开工作力度，不断丰富政务公开载体；积极运用数字化、图表化等方式准确表达政策意图，增强信息可读性，努力让群众对政策文件看得到、能理解、用得上。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六、其他需要报告的事项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1.收取信息处理费情况方面。202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年度，本单位未收取信息处理费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2.落实上级年度政务公开工作要点情况。对照《202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年枣庄市政务公开工作要点》，</w:t>
      </w:r>
      <w:r>
        <w:rPr>
          <w:rFonts w:hint="eastAsia" w:ascii="仿宋_GB2312" w:hAnsi="仿宋_GB2312" w:eastAsia="仿宋_GB2312" w:cs="仿宋_GB2312"/>
          <w:sz w:val="32"/>
          <w:szCs w:val="32"/>
          <w:lang w:val="en-US" w:eastAsia="zh-CN"/>
        </w:rPr>
        <w:t>围绕</w:t>
      </w:r>
      <w:r>
        <w:rPr>
          <w:rFonts w:hint="eastAsia" w:ascii="仿宋_GB2312" w:hAnsi="Times New Roman" w:eastAsia="仿宋_GB2312"/>
          <w:sz w:val="32"/>
          <w:szCs w:val="32"/>
          <w:lang w:val="en-US" w:eastAsia="zh-CN"/>
        </w:rPr>
        <w:t>生态环境质量等</w:t>
      </w:r>
      <w:r>
        <w:rPr>
          <w:rFonts w:hint="eastAsia" w:ascii="仿宋_GB2312" w:hAnsi="仿宋_GB2312" w:eastAsia="仿宋_GB2312" w:cs="仿宋_GB2312"/>
          <w:sz w:val="32"/>
          <w:szCs w:val="32"/>
          <w:lang w:val="en-US" w:eastAsia="zh-CN"/>
        </w:rPr>
        <w:t>重点领域加大主动公开力度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3.人大建议和政协提案办理情况方面。202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枣庄市生态环境局滕州分局</w:t>
      </w:r>
      <w:r>
        <w:rPr>
          <w:rFonts w:hint="eastAsia" w:ascii="仿宋_GB2312" w:hAnsi="仿宋_GB2312" w:eastAsia="仿宋_GB2312" w:cs="仿宋_GB2312"/>
          <w:sz w:val="32"/>
          <w:szCs w:val="32"/>
        </w:rPr>
        <w:t>承办</w:t>
      </w:r>
      <w:r>
        <w:rPr>
          <w:rFonts w:hint="eastAsia" w:ascii="仿宋_GB2312" w:hAnsi="仿宋_GB2312" w:eastAsia="仿宋_GB2312" w:cs="仿宋_GB2312"/>
          <w:sz w:val="32"/>
          <w:szCs w:val="32"/>
          <w:lang w:val="en-US" w:eastAsia="zh-CN"/>
        </w:rPr>
        <w:t>枣庄政协提案2件，</w:t>
      </w:r>
      <w:r>
        <w:rPr>
          <w:rFonts w:hint="eastAsia" w:ascii="仿宋_GB2312" w:hAnsi="仿宋_GB2312" w:eastAsia="仿宋_GB2312" w:cs="仿宋_GB2312"/>
          <w:sz w:val="32"/>
          <w:szCs w:val="32"/>
        </w:rPr>
        <w:t>已办结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承办</w:t>
      </w:r>
      <w:r>
        <w:rPr>
          <w:rFonts w:hint="eastAsia" w:ascii="仿宋_GB2312" w:hAnsi="仿宋_GB2312" w:eastAsia="仿宋_GB2312" w:cs="仿宋_GB2312"/>
          <w:sz w:val="32"/>
          <w:szCs w:val="32"/>
          <w:lang w:val="en-US" w:eastAsia="zh-CN"/>
        </w:rPr>
        <w:t>滕州人大建议2件，</w:t>
      </w:r>
      <w:r>
        <w:rPr>
          <w:rFonts w:hint="eastAsia" w:ascii="仿宋_GB2312" w:hAnsi="仿宋_GB2312" w:eastAsia="仿宋_GB2312" w:cs="仿宋_GB2312"/>
          <w:sz w:val="32"/>
          <w:szCs w:val="32"/>
        </w:rPr>
        <w:t>已办结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承办</w:t>
      </w:r>
      <w:r>
        <w:rPr>
          <w:rFonts w:hint="eastAsia" w:ascii="仿宋_GB2312" w:hAnsi="仿宋_GB2312" w:eastAsia="仿宋_GB2312" w:cs="仿宋_GB2312"/>
          <w:sz w:val="32"/>
          <w:szCs w:val="32"/>
          <w:lang w:val="en-US" w:eastAsia="zh-CN"/>
        </w:rPr>
        <w:t>滕州政协提案4件，</w:t>
      </w:r>
      <w:r>
        <w:rPr>
          <w:rFonts w:hint="eastAsia" w:ascii="仿宋_GB2312" w:hAnsi="仿宋_GB2312" w:eastAsia="仿宋_GB2312" w:cs="仿宋_GB2312"/>
          <w:sz w:val="32"/>
          <w:szCs w:val="32"/>
        </w:rPr>
        <w:t>已办结</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.本单位政府信息公开工作年度报告数据统计需要说明的事项：无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.其他有关文件专门要求通过政府信息公开工作年度报告予以报告的事项：无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.本报告的电子版可在“中国滕州网”（http://www.tengzhou.gov.cn/）网站查询和下载。如对本报告有任何疑问，请与</w:t>
      </w:r>
      <w:r>
        <w:rPr>
          <w:rFonts w:hint="eastAsia" w:ascii="仿宋_GB2312" w:hAnsi="仿宋_GB2312" w:eastAsia="仿宋_GB2312" w:cs="仿宋_GB2312"/>
          <w:sz w:val="32"/>
          <w:szCs w:val="32"/>
          <w:lang w:val="en-US" w:eastAsia="zh-CN"/>
        </w:rPr>
        <w:t>枣庄市生态环境局滕州分局环境信息中心</w:t>
      </w:r>
      <w:r>
        <w:rPr>
          <w:rFonts w:hint="eastAsia" w:ascii="仿宋_GB2312" w:hAnsi="仿宋_GB2312" w:eastAsia="仿宋_GB2312" w:cs="仿宋_GB2312"/>
          <w:sz w:val="32"/>
          <w:szCs w:val="32"/>
        </w:rPr>
        <w:t>联系。 （地址：山东省滕州市北辛中路政务</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中心 </w:t>
      </w:r>
      <w:r>
        <w:rPr>
          <w:rFonts w:hint="eastAsia" w:ascii="仿宋_GB2312" w:hAnsi="仿宋_GB2312" w:eastAsia="仿宋_GB2312" w:cs="仿宋_GB2312"/>
          <w:sz w:val="32"/>
          <w:szCs w:val="32"/>
          <w:lang w:val="en-US" w:eastAsia="zh-CN"/>
        </w:rPr>
        <w:t>515</w:t>
      </w:r>
      <w:r>
        <w:rPr>
          <w:rFonts w:hint="eastAsia" w:ascii="仿宋_GB2312" w:hAnsi="仿宋_GB2312" w:eastAsia="仿宋_GB2312" w:cs="仿宋_GB2312"/>
          <w:sz w:val="32"/>
          <w:szCs w:val="32"/>
        </w:rPr>
        <w:t>房间，联系电话：0632—</w:t>
      </w:r>
      <w:r>
        <w:rPr>
          <w:rFonts w:hint="eastAsia" w:ascii="仿宋_GB2312" w:hAnsi="仿宋_GB2312" w:eastAsia="仿宋_GB2312" w:cs="仿宋_GB2312"/>
          <w:sz w:val="32"/>
          <w:szCs w:val="32"/>
          <w:lang w:val="en-US" w:eastAsia="zh-CN"/>
        </w:rPr>
        <w:t>5510081</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"mailto:tzzwgk@zz.shandong.cn%EF%BC%89%E3%80%82" </w:instrText>
      </w:r>
      <w:r>
        <w:rPr>
          <w:rFonts w:hint="eastAsia" w:ascii="仿宋_GB2312" w:hAnsi="仿宋_GB2312" w:eastAsia="仿宋_GB2312" w:cs="仿宋_GB2312"/>
          <w:sz w:val="32"/>
          <w:szCs w:val="32"/>
        </w:rPr>
        <w:fldChar w:fldCharType="separate"/>
      </w:r>
      <w:r>
        <w:rPr>
          <w:rStyle w:val="12"/>
          <w:rFonts w:hint="eastAsia" w:ascii="仿宋_GB2312" w:hAnsi="仿宋_GB2312" w:eastAsia="仿宋_GB2312" w:cs="仿宋_GB2312"/>
          <w:i w:val="0"/>
          <w:iCs w:val="0"/>
          <w:caps w:val="0"/>
          <w:color w:val="333333"/>
          <w:spacing w:val="0"/>
          <w:sz w:val="32"/>
          <w:szCs w:val="32"/>
          <w:u w:val="none"/>
          <w:shd w:val="clear" w:fill="FFFFFF"/>
          <w:lang w:val="en-US" w:eastAsia="zh-CN"/>
        </w:rPr>
        <w:t>tzhbxxzx@</w:t>
      </w:r>
      <w:r>
        <w:rPr>
          <w:rStyle w:val="12"/>
          <w:rFonts w:hint="eastAsia" w:ascii="仿宋_GB2312" w:hAnsi="仿宋_GB2312" w:eastAsia="仿宋_GB2312" w:cs="仿宋_GB2312"/>
          <w:i w:val="0"/>
          <w:iCs w:val="0"/>
          <w:caps w:val="0"/>
          <w:color w:val="333333"/>
          <w:spacing w:val="0"/>
          <w:sz w:val="32"/>
          <w:szCs w:val="32"/>
          <w:u w:val="none"/>
          <w:shd w:val="clear" w:fill="FFFFFF"/>
        </w:rPr>
        <w:t>zz.shandong.cn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p>
      <w:pPr>
        <w:bidi w:val="0"/>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yYjg0NzYzMjZmZmQ4YTRlM2ZlM2Q2ZTg0MzdiNWUifQ=="/>
  </w:docVars>
  <w:rsids>
    <w:rsidRoot w:val="678B13FD"/>
    <w:rsid w:val="000F7DC7"/>
    <w:rsid w:val="001008BE"/>
    <w:rsid w:val="001600C5"/>
    <w:rsid w:val="005D7667"/>
    <w:rsid w:val="006971BF"/>
    <w:rsid w:val="007827C5"/>
    <w:rsid w:val="00883ED9"/>
    <w:rsid w:val="009F49CC"/>
    <w:rsid w:val="00B970F7"/>
    <w:rsid w:val="00C73588"/>
    <w:rsid w:val="00D1449B"/>
    <w:rsid w:val="00D84190"/>
    <w:rsid w:val="00E34B1D"/>
    <w:rsid w:val="02487AB4"/>
    <w:rsid w:val="04544215"/>
    <w:rsid w:val="04886E00"/>
    <w:rsid w:val="048E1D3A"/>
    <w:rsid w:val="06A4548C"/>
    <w:rsid w:val="09012783"/>
    <w:rsid w:val="0D3E799F"/>
    <w:rsid w:val="0DC3019B"/>
    <w:rsid w:val="0DEB0BBD"/>
    <w:rsid w:val="0E0B1E3B"/>
    <w:rsid w:val="0ED81726"/>
    <w:rsid w:val="10F92125"/>
    <w:rsid w:val="11163BC1"/>
    <w:rsid w:val="13CC3B21"/>
    <w:rsid w:val="159C15E7"/>
    <w:rsid w:val="164F17E0"/>
    <w:rsid w:val="17D949D7"/>
    <w:rsid w:val="1A944BF5"/>
    <w:rsid w:val="1AD95EA8"/>
    <w:rsid w:val="1AF37BE5"/>
    <w:rsid w:val="1B966EEF"/>
    <w:rsid w:val="1CAE503A"/>
    <w:rsid w:val="1F285EF3"/>
    <w:rsid w:val="1F736597"/>
    <w:rsid w:val="1F7F60B9"/>
    <w:rsid w:val="1FF20DFB"/>
    <w:rsid w:val="20AB7ECD"/>
    <w:rsid w:val="21C45690"/>
    <w:rsid w:val="23A4207F"/>
    <w:rsid w:val="24287EDB"/>
    <w:rsid w:val="243C0179"/>
    <w:rsid w:val="274A4557"/>
    <w:rsid w:val="2832064D"/>
    <w:rsid w:val="28CB2BA5"/>
    <w:rsid w:val="2931789B"/>
    <w:rsid w:val="2932200E"/>
    <w:rsid w:val="2B6D36A4"/>
    <w:rsid w:val="2C142823"/>
    <w:rsid w:val="2D7652AA"/>
    <w:rsid w:val="2E0777D8"/>
    <w:rsid w:val="30F81EA6"/>
    <w:rsid w:val="320F2461"/>
    <w:rsid w:val="32613669"/>
    <w:rsid w:val="32BB215C"/>
    <w:rsid w:val="35A53371"/>
    <w:rsid w:val="36296EA0"/>
    <w:rsid w:val="3683376A"/>
    <w:rsid w:val="37A8268A"/>
    <w:rsid w:val="383E4AD7"/>
    <w:rsid w:val="394666DC"/>
    <w:rsid w:val="3C763BDF"/>
    <w:rsid w:val="3CA84554"/>
    <w:rsid w:val="3CC53ECB"/>
    <w:rsid w:val="3DE43543"/>
    <w:rsid w:val="3F834062"/>
    <w:rsid w:val="41B30401"/>
    <w:rsid w:val="42D20FCA"/>
    <w:rsid w:val="43DC3D25"/>
    <w:rsid w:val="44060890"/>
    <w:rsid w:val="44ED579C"/>
    <w:rsid w:val="45DE5870"/>
    <w:rsid w:val="4652735B"/>
    <w:rsid w:val="476E55D0"/>
    <w:rsid w:val="47AD13CF"/>
    <w:rsid w:val="4DBC7167"/>
    <w:rsid w:val="4F7905D1"/>
    <w:rsid w:val="4F7D517D"/>
    <w:rsid w:val="50D81F61"/>
    <w:rsid w:val="51E70B3A"/>
    <w:rsid w:val="520C3A08"/>
    <w:rsid w:val="52F46F3B"/>
    <w:rsid w:val="53B42F5D"/>
    <w:rsid w:val="53D118E9"/>
    <w:rsid w:val="54E9355C"/>
    <w:rsid w:val="55721460"/>
    <w:rsid w:val="563238C0"/>
    <w:rsid w:val="56692707"/>
    <w:rsid w:val="58980E1B"/>
    <w:rsid w:val="5898712F"/>
    <w:rsid w:val="58C633EA"/>
    <w:rsid w:val="59D6437F"/>
    <w:rsid w:val="5A60384C"/>
    <w:rsid w:val="5AF41016"/>
    <w:rsid w:val="5B907432"/>
    <w:rsid w:val="5C394FAE"/>
    <w:rsid w:val="5C5D0F67"/>
    <w:rsid w:val="5FFC63AF"/>
    <w:rsid w:val="609C184C"/>
    <w:rsid w:val="614554EA"/>
    <w:rsid w:val="61497F56"/>
    <w:rsid w:val="62423FC8"/>
    <w:rsid w:val="62460FA4"/>
    <w:rsid w:val="63F94EE8"/>
    <w:rsid w:val="63FE664D"/>
    <w:rsid w:val="66B46942"/>
    <w:rsid w:val="678B13FD"/>
    <w:rsid w:val="67FA732B"/>
    <w:rsid w:val="69C36A75"/>
    <w:rsid w:val="6A993671"/>
    <w:rsid w:val="6ABD052C"/>
    <w:rsid w:val="6B517D09"/>
    <w:rsid w:val="6BDF49A8"/>
    <w:rsid w:val="6F397B08"/>
    <w:rsid w:val="6F79782E"/>
    <w:rsid w:val="70533B33"/>
    <w:rsid w:val="70DD7C0B"/>
    <w:rsid w:val="71DA7865"/>
    <w:rsid w:val="73564087"/>
    <w:rsid w:val="73B5352F"/>
    <w:rsid w:val="74303B8F"/>
    <w:rsid w:val="74B35F62"/>
    <w:rsid w:val="7578789B"/>
    <w:rsid w:val="763B293A"/>
    <w:rsid w:val="76D631AB"/>
    <w:rsid w:val="78CC0FF1"/>
    <w:rsid w:val="79477948"/>
    <w:rsid w:val="7D2C4E96"/>
    <w:rsid w:val="7DDE64AF"/>
    <w:rsid w:val="7E3B2341"/>
    <w:rsid w:val="7F1E3F4E"/>
    <w:rsid w:val="7FBC1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5"/>
    <w:autoRedefine/>
    <w:qFormat/>
    <w:uiPriority w:val="0"/>
    <w:rPr>
      <w:sz w:val="18"/>
      <w:szCs w:val="18"/>
    </w:rPr>
  </w:style>
  <w:style w:type="paragraph" w:styleId="4">
    <w:name w:val="footer"/>
    <w:basedOn w:val="1"/>
    <w:link w:val="14"/>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qFormat/>
    <w:uiPriority w:val="0"/>
    <w:pPr>
      <w:spacing w:line="660" w:lineRule="exact"/>
      <w:ind w:firstLine="705"/>
    </w:pPr>
    <w:rPr>
      <w:rFonts w:ascii="仿宋_GB2312" w:eastAsia="仿宋_GB2312"/>
      <w:color w:val="000000"/>
      <w:sz w:val="36"/>
      <w:szCs w:val="36"/>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rPr>
  </w:style>
  <w:style w:type="character" w:styleId="11">
    <w:name w:val="Emphasis"/>
    <w:basedOn w:val="9"/>
    <w:autoRedefine/>
    <w:qFormat/>
    <w:uiPriority w:val="0"/>
    <w:rPr>
      <w:i/>
    </w:rPr>
  </w:style>
  <w:style w:type="character" w:styleId="12">
    <w:name w:val="Hyperlink"/>
    <w:basedOn w:val="9"/>
    <w:autoRedefine/>
    <w:qFormat/>
    <w:uiPriority w:val="0"/>
    <w:rPr>
      <w:color w:val="0000FF"/>
      <w:u w:val="single"/>
    </w:rPr>
  </w:style>
  <w:style w:type="character" w:customStyle="1" w:styleId="13">
    <w:name w:val="页眉 Char"/>
    <w:basedOn w:val="9"/>
    <w:link w:val="5"/>
    <w:autoRedefine/>
    <w:qFormat/>
    <w:uiPriority w:val="0"/>
    <w:rPr>
      <w:rFonts w:asciiTheme="minorHAnsi" w:hAnsiTheme="minorHAnsi" w:eastAsiaTheme="minorEastAsia" w:cstheme="minorBidi"/>
      <w:kern w:val="2"/>
      <w:sz w:val="18"/>
      <w:szCs w:val="18"/>
    </w:rPr>
  </w:style>
  <w:style w:type="character" w:customStyle="1" w:styleId="14">
    <w:name w:val="页脚 Char"/>
    <w:basedOn w:val="9"/>
    <w:link w:val="4"/>
    <w:autoRedefine/>
    <w:qFormat/>
    <w:uiPriority w:val="0"/>
    <w:rPr>
      <w:rFonts w:asciiTheme="minorHAnsi" w:hAnsiTheme="minorHAnsi" w:eastAsiaTheme="minorEastAsia" w:cstheme="minorBidi"/>
      <w:kern w:val="2"/>
      <w:sz w:val="18"/>
      <w:szCs w:val="18"/>
    </w:rPr>
  </w:style>
  <w:style w:type="character" w:customStyle="1" w:styleId="15">
    <w:name w:val="批注框文本 Char"/>
    <w:basedOn w:val="9"/>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主动公开政府信息情况</a:t>
            </a:r>
          </a:p>
        </c:rich>
      </c:tx>
      <c:layout>
        <c:manualLayout>
          <c:xMode val="edge"/>
          <c:yMode val="edge"/>
          <c:x val="0.313843923653056"/>
          <c:y val="0.04714103086804"/>
        </c:manualLayout>
      </c:layout>
      <c:overlay val="0"/>
      <c:spPr>
        <a:noFill/>
        <a:ln>
          <a:noFill/>
        </a:ln>
        <a:effectLst/>
      </c:spPr>
    </c:title>
    <c:autoTitleDeleted val="0"/>
    <c:plotArea>
      <c:layout>
        <c:manualLayout>
          <c:layoutTarget val="inner"/>
          <c:xMode val="edge"/>
          <c:yMode val="edge"/>
          <c:x val="0.230973665136507"/>
          <c:y val="0.189834509173256"/>
          <c:w val="0.53716131546946"/>
          <c:h val="0.593120097299745"/>
        </c:manualLayout>
      </c:layout>
      <c:pieChart>
        <c:varyColors val="1"/>
        <c:ser>
          <c:idx val="0"/>
          <c:order val="0"/>
          <c:tx>
            <c:strRef>
              <c:f>Sheet1!$B$1</c:f>
              <c:strCache>
                <c:ptCount val="1"/>
                <c:pt idx="0">
                  <c:v>主动公开政府信息情况</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Lbls>
            <c:dLbl>
              <c:idx val="0"/>
              <c:layout>
                <c:manualLayout>
                  <c:x val="0.347910123218168"/>
                  <c:y val="-0.097642137002091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主动公开</a:t>
                    </a:r>
                  </a:p>
                  <a:p>
                    <a:pPr defTabSz="914400">
                      <a:defRPr lang="zh-CN" sz="1000" b="0" i="0" u="none" strike="noStrike" kern="1200" baseline="0">
                        <a:solidFill>
                          <a:schemeClr val="tx1">
                            <a:lumMod val="75000"/>
                            <a:lumOff val="25000"/>
                          </a:schemeClr>
                        </a:solidFill>
                        <a:latin typeface="+mn-lt"/>
                        <a:ea typeface="+mn-ea"/>
                        <a:cs typeface="+mn-cs"/>
                      </a:defRPr>
                    </a:pPr>
                    <a:r>
                      <a:t>通知公告</a:t>
                    </a:r>
                  </a:p>
                </c:rich>
              </c:tx>
              <c:dLblPos val="bestFit"/>
              <c:showLegendKey val="0"/>
              <c:showVal val="0"/>
              <c:showCatName val="0"/>
              <c:showSerName val="1"/>
              <c:showPercent val="0"/>
              <c:showBubbleSize val="0"/>
              <c:extLst>
                <c:ext xmlns:c15="http://schemas.microsoft.com/office/drawing/2012/chart" uri="{CE6537A1-D6FC-4f65-9D91-7224C49458BB}">
                  <c15:layout/>
                </c:ext>
              </c:extLst>
            </c:dLbl>
            <c:dLbl>
              <c:idx val="1"/>
              <c:layout>
                <c:manualLayout>
                  <c:x val="0.300797294032375"/>
                  <c:y val="-0.039334169421958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主动公开政府</a:t>
                    </a:r>
                  </a:p>
                  <a:p>
                    <a:pPr defTabSz="914400">
                      <a:defRPr lang="zh-CN" sz="1000" b="0" i="0" u="none" strike="noStrike" kern="1200" baseline="0">
                        <a:solidFill>
                          <a:schemeClr val="tx1">
                            <a:lumMod val="75000"/>
                            <a:lumOff val="25000"/>
                          </a:schemeClr>
                        </a:solidFill>
                        <a:latin typeface="+mn-lt"/>
                        <a:ea typeface="+mn-ea"/>
                        <a:cs typeface="+mn-cs"/>
                      </a:defRPr>
                    </a:pPr>
                    <a:r>
                      <a:t>信息情况</a:t>
                    </a:r>
                  </a:p>
                </c:rich>
              </c:tx>
              <c:dLblPos val="bestFit"/>
              <c:showLegendKey val="0"/>
              <c:showVal val="0"/>
              <c:showCatName val="0"/>
              <c:showSerName val="1"/>
              <c:showPercent val="0"/>
              <c:showBubbleSize val="0"/>
              <c:extLst>
                <c:ext xmlns:c15="http://schemas.microsoft.com/office/drawing/2012/chart" uri="{CE6537A1-D6FC-4f65-9D91-7224C49458BB}">
                  <c15:layout/>
                </c:ext>
              </c:extLst>
            </c:dLbl>
            <c:dLbl>
              <c:idx val="2"/>
              <c:layout>
                <c:manualLayout>
                  <c:x val="0.291737134573569"/>
                  <c:y val="0.035596615272248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主动公开政府</a:t>
                    </a:r>
                  </a:p>
                  <a:p>
                    <a:pPr defTabSz="914400">
                      <a:defRPr lang="zh-CN" sz="1000" b="0" i="0" u="none" strike="noStrike" kern="1200" baseline="0">
                        <a:solidFill>
                          <a:schemeClr val="tx1">
                            <a:lumMod val="75000"/>
                            <a:lumOff val="25000"/>
                          </a:schemeClr>
                        </a:solidFill>
                        <a:latin typeface="+mn-lt"/>
                        <a:ea typeface="+mn-ea"/>
                        <a:cs typeface="+mn-cs"/>
                      </a:defRPr>
                    </a:pPr>
                    <a:r>
                      <a:t>信息情况</a:t>
                    </a:r>
                  </a:p>
                </c:rich>
              </c:tx>
              <c:dLblPos val="bestFit"/>
              <c:showLegendKey val="0"/>
              <c:showVal val="0"/>
              <c:showCatName val="0"/>
              <c:showSerName val="1"/>
              <c:showPercent val="0"/>
              <c:showBubbleSize val="0"/>
              <c:extLst>
                <c:ext xmlns:c15="http://schemas.microsoft.com/office/drawing/2012/chart" uri="{CE6537A1-D6FC-4f65-9D91-7224C49458BB}">
                  <c15:layout/>
                </c:ext>
              </c:extLst>
            </c:dLbl>
            <c:dLbl>
              <c:idx val="3"/>
              <c:layout>
                <c:manualLayout>
                  <c:x val="0.105097849722155"/>
                  <c:y val="0.024539533489562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主动公开政府</a:t>
                    </a:r>
                  </a:p>
                  <a:p>
                    <a:pPr defTabSz="914400">
                      <a:defRPr lang="zh-CN" sz="1000" b="0" i="0" u="none" strike="noStrike" kern="1200" baseline="0">
                        <a:solidFill>
                          <a:schemeClr val="tx1">
                            <a:lumMod val="75000"/>
                            <a:lumOff val="25000"/>
                          </a:schemeClr>
                        </a:solidFill>
                        <a:latin typeface="+mn-lt"/>
                        <a:ea typeface="+mn-ea"/>
                        <a:cs typeface="+mn-cs"/>
                      </a:defRPr>
                    </a:pPr>
                    <a:r>
                      <a:t>信息情况</a:t>
                    </a:r>
                  </a:p>
                </c:rich>
              </c:tx>
              <c:dLblPos val="bestFit"/>
              <c:showLegendKey val="0"/>
              <c:showVal val="0"/>
              <c:showCatName val="0"/>
              <c:showSerName val="1"/>
              <c:showPercent val="0"/>
              <c:showBubbleSize val="0"/>
              <c:extLst>
                <c:ext xmlns:c15="http://schemas.microsoft.com/office/drawing/2012/chart" uri="{CE6537A1-D6FC-4f65-9D91-7224C49458BB}">
                  <c15:layout/>
                </c:ext>
              </c:extLst>
            </c:dLbl>
            <c:dLbl>
              <c:idx val="4"/>
              <c:layout>
                <c:manualLayout>
                  <c:x val="-0.152210678907949"/>
                  <c:y val="0.0075559137618376"/>
                </c:manualLayout>
              </c:layout>
              <c:dLblPos val="bestFit"/>
              <c:showLegendKey val="0"/>
              <c:showVal val="0"/>
              <c:showCatName val="0"/>
              <c:showSerName val="1"/>
              <c:showPercent val="0"/>
              <c:showBubbleSize val="0"/>
              <c:extLst>
                <c:ext xmlns:c15="http://schemas.microsoft.com/office/drawing/2012/chart" uri="{CE6537A1-D6FC-4f65-9D91-7224C49458BB}">
                  <c15:layout/>
                </c:ext>
              </c:extLst>
            </c:dLbl>
            <c:dLbl>
              <c:idx val="5"/>
              <c:layout>
                <c:manualLayout>
                  <c:x val="-0.204759603769026"/>
                  <c:y val="0.041044350701174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主动公开政府</a:t>
                    </a:r>
                  </a:p>
                  <a:p>
                    <a:pPr defTabSz="914400">
                      <a:defRPr lang="zh-CN" sz="1000" b="0" i="0" u="none" strike="noStrike" kern="1200" baseline="0">
                        <a:solidFill>
                          <a:schemeClr val="tx1">
                            <a:lumMod val="75000"/>
                            <a:lumOff val="25000"/>
                          </a:schemeClr>
                        </a:solidFill>
                        <a:latin typeface="+mn-lt"/>
                        <a:ea typeface="+mn-ea"/>
                        <a:cs typeface="+mn-cs"/>
                      </a:defRPr>
                    </a:pPr>
                    <a:r>
                      <a:t>信息情况</a:t>
                    </a:r>
                  </a:p>
                </c:rich>
              </c:tx>
              <c:dLblPos val="bestFit"/>
              <c:showLegendKey val="0"/>
              <c:showVal val="0"/>
              <c:showCatName val="0"/>
              <c:showSerName val="1"/>
              <c:showPercent val="0"/>
              <c:showBubbleSize val="0"/>
              <c:extLst>
                <c:ext xmlns:c15="http://schemas.microsoft.com/office/drawing/2012/chart" uri="{CE6537A1-D6FC-4f65-9D91-7224C49458BB}">
                  <c15:layout/>
                </c:ext>
              </c:extLst>
            </c:dLbl>
            <c:dLbl>
              <c:idx val="6"/>
              <c:layout>
                <c:manualLayout>
                  <c:x val="-0.253684464846581"/>
                  <c:y val="-0.010261087675293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主动公开政府</a:t>
                    </a:r>
                  </a:p>
                  <a:p>
                    <a:pPr defTabSz="914400">
                      <a:defRPr lang="zh-CN" sz="1000" b="0" i="0" u="none" strike="noStrike" kern="1200" baseline="0">
                        <a:solidFill>
                          <a:schemeClr val="tx1">
                            <a:lumMod val="75000"/>
                            <a:lumOff val="25000"/>
                          </a:schemeClr>
                        </a:solidFill>
                        <a:latin typeface="+mn-lt"/>
                        <a:ea typeface="+mn-ea"/>
                        <a:cs typeface="+mn-cs"/>
                      </a:defRPr>
                    </a:pPr>
                    <a:r>
                      <a:t>信息情况</a:t>
                    </a:r>
                  </a:p>
                </c:rich>
              </c:tx>
              <c:dLblPos val="bestFit"/>
              <c:showLegendKey val="0"/>
              <c:showVal val="0"/>
              <c:showCatName val="0"/>
              <c:showSerName val="1"/>
              <c:showPercent val="0"/>
              <c:showBubbleSize val="0"/>
              <c:extLst>
                <c:ext xmlns:c15="http://schemas.microsoft.com/office/drawing/2012/chart" uri="{CE6537A1-D6FC-4f65-9D91-7224C49458BB}">
                  <c15:layout/>
                </c:ext>
              </c:extLst>
            </c:dLbl>
            <c:dLbl>
              <c:idx val="7"/>
              <c:layout>
                <c:manualLayout>
                  <c:x val="-0.306233389707659"/>
                  <c:y val="-0.079980523069436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主动公开政府</a:t>
                    </a:r>
                  </a:p>
                  <a:p>
                    <a:pPr defTabSz="914400">
                      <a:defRPr lang="zh-CN" sz="1000" b="0" i="0" u="none" strike="noStrike" kern="1200" baseline="0">
                        <a:solidFill>
                          <a:schemeClr val="tx1">
                            <a:lumMod val="75000"/>
                            <a:lumOff val="25000"/>
                          </a:schemeClr>
                        </a:solidFill>
                        <a:latin typeface="+mn-lt"/>
                        <a:ea typeface="+mn-ea"/>
                        <a:cs typeface="+mn-cs"/>
                      </a:defRPr>
                    </a:pPr>
                    <a:r>
                      <a:t>信息情况</a:t>
                    </a:r>
                  </a:p>
                </c:rich>
              </c:tx>
              <c:dLblPos val="bestFit"/>
              <c:showLegendKey val="0"/>
              <c:showVal val="0"/>
              <c:showCatName val="0"/>
              <c:showSerName val="1"/>
              <c:showPercent val="0"/>
              <c:showBubbleSize val="0"/>
              <c:extLst>
                <c:ext xmlns:c15="http://schemas.microsoft.com/office/drawing/2012/chart" uri="{CE6537A1-D6FC-4f65-9D91-7224C49458BB}">
                  <c15:layout/>
                </c:ext>
              </c:extLst>
            </c:dLbl>
            <c:dLbl>
              <c:idx val="8"/>
              <c:layout>
                <c:manualLayout>
                  <c:x val="-0.0815414351292583"/>
                  <c:y val="-0.081808897413083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主动公开政府</a:t>
                    </a:r>
                  </a:p>
                  <a:p>
                    <a:pPr defTabSz="914400">
                      <a:defRPr lang="zh-CN" sz="1000" b="0" i="0" u="none" strike="noStrike" kern="1200" baseline="0">
                        <a:solidFill>
                          <a:schemeClr val="tx1">
                            <a:lumMod val="75000"/>
                            <a:lumOff val="25000"/>
                          </a:schemeClr>
                        </a:solidFill>
                        <a:latin typeface="+mn-lt"/>
                        <a:ea typeface="+mn-ea"/>
                        <a:cs typeface="+mn-cs"/>
                      </a:defRPr>
                    </a:pPr>
                    <a:r>
                      <a:t>信息情况</a:t>
                    </a:r>
                  </a:p>
                </c:rich>
              </c:tx>
              <c:dLblPos val="bestFit"/>
              <c:showLegendKey val="0"/>
              <c:showVal val="0"/>
              <c:showCatName val="0"/>
              <c:showSerName val="1"/>
              <c:showPercent val="0"/>
              <c:showBubbleSize val="0"/>
              <c:extLst>
                <c:ext xmlns:c15="http://schemas.microsoft.com/office/drawing/2012/chart" uri="{CE6537A1-D6FC-4f65-9D91-7224C49458BB}">
                  <c15:layout/>
                </c:ext>
              </c:extLst>
            </c:dLbl>
            <c:dLbl>
              <c:idx val="9"/>
              <c:layout>
                <c:manualLayout>
                  <c:x val="0.0724812756704518"/>
                  <c:y val="-0.079302722026475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主动公开政府</a:t>
                    </a:r>
                  </a:p>
                  <a:p>
                    <a:pPr defTabSz="914400">
                      <a:defRPr lang="zh-CN" sz="1000" b="0" i="0" u="none" strike="noStrike" kern="1200" baseline="0">
                        <a:solidFill>
                          <a:schemeClr val="tx1">
                            <a:lumMod val="75000"/>
                            <a:lumOff val="25000"/>
                          </a:schemeClr>
                        </a:solidFill>
                        <a:latin typeface="+mn-lt"/>
                        <a:ea typeface="+mn-ea"/>
                        <a:cs typeface="+mn-cs"/>
                      </a:defRPr>
                    </a:pPr>
                    <a:r>
                      <a:t>信息情况</a:t>
                    </a:r>
                  </a:p>
                </c:rich>
              </c:tx>
              <c:dLblPos val="bestFit"/>
              <c:showLegendKey val="0"/>
              <c:showVal val="0"/>
              <c:showCatName val="0"/>
              <c:showSerName val="1"/>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1"/>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主动公开通知公告</c:v>
                </c:pt>
                <c:pt idx="1">
                  <c:v>规划计划</c:v>
                </c:pt>
                <c:pt idx="2">
                  <c:v>政府工作报告</c:v>
                </c:pt>
                <c:pt idx="3">
                  <c:v>行政执法公示</c:v>
                </c:pt>
                <c:pt idx="4">
                  <c:v>建设项目影响评价</c:v>
                </c:pt>
                <c:pt idx="5">
                  <c:v>空气质量状况</c:v>
                </c:pt>
                <c:pt idx="6">
                  <c:v>生活饮用水水源水质状况</c:v>
                </c:pt>
                <c:pt idx="7">
                  <c:v>提案议案</c:v>
                </c:pt>
                <c:pt idx="8">
                  <c:v>组织管理</c:v>
                </c:pt>
                <c:pt idx="9">
                  <c:v>政务公开基本目录</c:v>
                </c:pt>
              </c:strCache>
            </c:strRef>
          </c:cat>
          <c:val>
            <c:numRef>
              <c:f>Sheet1!$B$2:$B$11</c:f>
              <c:numCache>
                <c:formatCode>General</c:formatCode>
                <c:ptCount val="10"/>
                <c:pt idx="0">
                  <c:v>20</c:v>
                </c:pt>
                <c:pt idx="1">
                  <c:v>1</c:v>
                </c:pt>
                <c:pt idx="2">
                  <c:v>4</c:v>
                </c:pt>
                <c:pt idx="3">
                  <c:v>93</c:v>
                </c:pt>
                <c:pt idx="4">
                  <c:v>331</c:v>
                </c:pt>
                <c:pt idx="5">
                  <c:v>13</c:v>
                </c:pt>
                <c:pt idx="6">
                  <c:v>13</c:v>
                </c:pt>
                <c:pt idx="7">
                  <c:v>9</c:v>
                </c:pt>
                <c:pt idx="8">
                  <c:v>8</c:v>
                </c:pt>
                <c:pt idx="9">
                  <c:v>1</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b"/>
      <c:layout>
        <c:manualLayout>
          <c:xMode val="edge"/>
          <c:yMode val="edge"/>
          <c:x val="0.0968833051461706"/>
          <c:y val="0.85326086956521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2117</Words>
  <Characters>2272</Characters>
  <Lines>16</Lines>
  <Paragraphs>4</Paragraphs>
  <TotalTime>0</TotalTime>
  <ScaleCrop>false</ScaleCrop>
  <LinksUpToDate>false</LinksUpToDate>
  <CharactersWithSpaces>2305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2021-01-25T01:43:00Z</dcterms:created>
  <dc:creator>Administrator</dc:creator>
  <cp:lastModifiedBy>蕊儿</cp:lastModifiedBy>
  <cp:lastPrinted>2022-01-11T01:30:00Z</cp:lastPrinted>
  <dcterms:modified xsi:type="dcterms:W3CDTF">2024-01-22T02:02:17Z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2C38407F9AD04B7CBA8508469D530D16</vt:lpwstr>
  </property>
</Properties>
</file>