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4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滕州市商务和投资促进局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4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3</w:t>
      </w:r>
      <w:r>
        <w:rPr>
          <w:rFonts w:hint="eastAsia" w:ascii="方正小标宋简体" w:hAnsi="方正小标宋简体" w:eastAsia="方正小标宋简体" w:cs="方正小标宋简体"/>
          <w:spacing w:val="0"/>
          <w:sz w:val="44"/>
          <w:szCs w:val="44"/>
        </w:rPr>
        <w:t>年政府信息公开年度报告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516"/>
        <w:textAlignment w:val="auto"/>
        <w:rPr>
          <w:rFonts w:ascii="仿宋_GB2312" w:eastAsia="仿宋_GB2312" w:cs="仿宋_GB2312"/>
          <w:spacing w:val="0"/>
          <w:sz w:val="25"/>
          <w:szCs w:val="25"/>
        </w:rPr>
      </w:pPr>
    </w:p>
    <w:p>
      <w:pPr>
        <w:pStyle w:val="3"/>
        <w:keepNext w:val="0"/>
        <w:keepLines w:val="0"/>
        <w:widowControl/>
        <w:suppressLineNumbers w:val="0"/>
        <w:spacing w:line="504" w:lineRule="atLeast"/>
        <w:ind w:left="0" w:right="0" w:firstLine="516"/>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根据《中华人民共和国政府信息公开条例》《山东省政府信息公开办法》和省政府办公厅、枣庄市政府办公室、滕州市政府办公室通知要求，特编制滕州市商务和投资促进局202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年政府信息公开年度报告并向社会公布。本报告中所列数据的统计期限自202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年1月1日起至202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年12月31日止。</w:t>
      </w:r>
    </w:p>
    <w:p>
      <w:pPr>
        <w:pStyle w:val="3"/>
        <w:keepNext w:val="0"/>
        <w:keepLines w:val="0"/>
        <w:widowControl/>
        <w:suppressLineNumbers w:val="0"/>
        <w:spacing w:after="0" w:afterAutospacing="0" w:line="317" w:lineRule="atLeast"/>
        <w:ind w:left="0" w:firstLine="420"/>
        <w:rPr>
          <w:sz w:val="32"/>
          <w:szCs w:val="32"/>
        </w:rPr>
      </w:pPr>
      <w:r>
        <w:rPr>
          <w:rFonts w:ascii="黑体" w:hAnsi="宋体" w:eastAsia="黑体" w:cs="黑体"/>
          <w:sz w:val="32"/>
          <w:szCs w:val="32"/>
        </w:rPr>
        <w:t>一、总体情况</w:t>
      </w:r>
    </w:p>
    <w:p>
      <w:pPr>
        <w:pStyle w:val="3"/>
        <w:keepNext w:val="0"/>
        <w:keepLines w:val="0"/>
        <w:widowControl/>
        <w:suppressLineNumbers w:val="0"/>
        <w:spacing w:line="504" w:lineRule="atLeast"/>
        <w:ind w:left="0" w:right="0" w:firstLine="516"/>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年以来，滕州市商务和投资促进局深入贯彻落实《条例》和相关规定，紧紧围绕上级关于全面深化政务公开的有关部署，准确把握新时代政务公开工作的职责定位和面临的新形势，加强组织领导，明确责任分工，细化分解任务，加大督导力度，坚持“以公开为常态、不公开为例外”原则，全面提升政务公开质量和实效，力促让公开成为自觉，让透明成为常态。全局上下政府信息公开工作的积极性、主动性不断提高，政府工作透明度进一步增强，有效地保障了公民的知情权，努力打造法治政府、创新政府、廉洁政府和服务型政府。</w:t>
      </w:r>
    </w:p>
    <w:p>
      <w:pPr>
        <w:pStyle w:val="3"/>
        <w:keepNext w:val="0"/>
        <w:keepLines w:val="0"/>
        <w:widowControl/>
        <w:suppressLineNumbers w:val="0"/>
        <w:spacing w:line="504" w:lineRule="atLeast"/>
        <w:ind w:left="0" w:right="0" w:firstLine="516"/>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1.主动公开。通过滕州市政府信息公开主动公开信息</w:t>
      </w:r>
      <w:r>
        <w:rPr>
          <w:rFonts w:hint="eastAsia" w:ascii="仿宋_GB2312" w:hAnsi="仿宋_GB2312" w:eastAsia="仿宋_GB2312" w:cs="仿宋_GB2312"/>
          <w:spacing w:val="0"/>
          <w:sz w:val="32"/>
          <w:szCs w:val="32"/>
          <w:lang w:val="en-US" w:eastAsia="zh-CN"/>
        </w:rPr>
        <w:t>55</w:t>
      </w:r>
      <w:r>
        <w:rPr>
          <w:rFonts w:hint="eastAsia" w:ascii="仿宋_GB2312" w:hAnsi="仿宋_GB2312" w:eastAsia="仿宋_GB2312" w:cs="仿宋_GB2312"/>
          <w:spacing w:val="0"/>
          <w:sz w:val="32"/>
          <w:szCs w:val="32"/>
        </w:rPr>
        <w:t>条，其中通知公告3条，占总数的</w:t>
      </w:r>
      <w:r>
        <w:rPr>
          <w:rFonts w:hint="eastAsia" w:ascii="仿宋_GB2312" w:hAnsi="仿宋_GB2312" w:eastAsia="仿宋_GB2312" w:cs="仿宋_GB2312"/>
          <w:spacing w:val="0"/>
          <w:sz w:val="32"/>
          <w:szCs w:val="32"/>
          <w:lang w:val="en-US" w:eastAsia="zh-CN"/>
        </w:rPr>
        <w:t>5.44</w:t>
      </w:r>
      <w:r>
        <w:rPr>
          <w:rFonts w:hint="eastAsia" w:ascii="仿宋_GB2312" w:hAnsi="仿宋_GB2312" w:eastAsia="仿宋_GB2312" w:cs="仿宋_GB2312"/>
          <w:spacing w:val="0"/>
          <w:sz w:val="32"/>
          <w:szCs w:val="32"/>
        </w:rPr>
        <w:t>%；规划计划信息1条，占总数的</w:t>
      </w:r>
      <w:r>
        <w:rPr>
          <w:rFonts w:hint="eastAsia" w:ascii="仿宋_GB2312" w:hAnsi="仿宋_GB2312" w:eastAsia="仿宋_GB2312" w:cs="仿宋_GB2312"/>
          <w:spacing w:val="0"/>
          <w:sz w:val="32"/>
          <w:szCs w:val="32"/>
          <w:lang w:val="en-US" w:eastAsia="zh-CN"/>
        </w:rPr>
        <w:t>1.82</w:t>
      </w:r>
      <w:r>
        <w:rPr>
          <w:rFonts w:hint="eastAsia" w:ascii="仿宋_GB2312" w:hAnsi="仿宋_GB2312" w:eastAsia="仿宋_GB2312" w:cs="仿宋_GB2312"/>
          <w:spacing w:val="0"/>
          <w:sz w:val="32"/>
          <w:szCs w:val="32"/>
        </w:rPr>
        <w:t>%；财政信息4条，占总数的</w:t>
      </w:r>
      <w:r>
        <w:rPr>
          <w:rFonts w:hint="eastAsia" w:ascii="仿宋_GB2312" w:hAnsi="仿宋_GB2312" w:eastAsia="仿宋_GB2312" w:cs="仿宋_GB2312"/>
          <w:spacing w:val="0"/>
          <w:sz w:val="32"/>
          <w:szCs w:val="32"/>
          <w:lang w:val="en-US" w:eastAsia="zh-CN"/>
        </w:rPr>
        <w:t>7.27</w:t>
      </w:r>
      <w:r>
        <w:rPr>
          <w:rFonts w:hint="eastAsia" w:ascii="仿宋_GB2312" w:hAnsi="仿宋_GB2312" w:eastAsia="仿宋_GB2312" w:cs="仿宋_GB2312"/>
          <w:spacing w:val="0"/>
          <w:sz w:val="32"/>
          <w:szCs w:val="32"/>
        </w:rPr>
        <w:t>%；行政权力信息2条，占总数的</w:t>
      </w:r>
      <w:r>
        <w:rPr>
          <w:rFonts w:hint="eastAsia" w:ascii="仿宋_GB2312" w:hAnsi="仿宋_GB2312" w:eastAsia="仿宋_GB2312" w:cs="仿宋_GB2312"/>
          <w:spacing w:val="0"/>
          <w:sz w:val="32"/>
          <w:szCs w:val="32"/>
          <w:lang w:val="en-US" w:eastAsia="zh-CN"/>
        </w:rPr>
        <w:t>3.63</w:t>
      </w:r>
      <w:r>
        <w:rPr>
          <w:rFonts w:hint="eastAsia" w:ascii="仿宋_GB2312" w:hAnsi="仿宋_GB2312" w:eastAsia="仿宋_GB2312" w:cs="仿宋_GB2312"/>
          <w:spacing w:val="0"/>
          <w:sz w:val="32"/>
          <w:szCs w:val="32"/>
        </w:rPr>
        <w:t>%；建议提案信息16条，占总数的</w:t>
      </w:r>
      <w:r>
        <w:rPr>
          <w:rFonts w:hint="eastAsia" w:ascii="仿宋_GB2312" w:hAnsi="仿宋_GB2312" w:eastAsia="仿宋_GB2312" w:cs="仿宋_GB2312"/>
          <w:spacing w:val="0"/>
          <w:sz w:val="32"/>
          <w:szCs w:val="32"/>
          <w:lang w:val="en-US" w:eastAsia="zh-CN"/>
        </w:rPr>
        <w:t>29.09</w:t>
      </w:r>
      <w:r>
        <w:rPr>
          <w:rFonts w:hint="eastAsia" w:ascii="仿宋_GB2312" w:hAnsi="仿宋_GB2312" w:eastAsia="仿宋_GB2312" w:cs="仿宋_GB2312"/>
          <w:spacing w:val="0"/>
          <w:sz w:val="32"/>
          <w:szCs w:val="32"/>
        </w:rPr>
        <w:t>%；重</w:t>
      </w:r>
      <w:r>
        <w:rPr>
          <w:rFonts w:hint="eastAsia" w:ascii="仿宋_GB2312" w:hAnsi="仿宋_GB2312" w:eastAsia="仿宋_GB2312" w:cs="仿宋_GB2312"/>
          <w:spacing w:val="0"/>
          <w:sz w:val="32"/>
          <w:szCs w:val="32"/>
          <w:lang w:val="en-US" w:eastAsia="zh-CN"/>
        </w:rPr>
        <w:t>大民生</w:t>
      </w:r>
      <w:r>
        <w:rPr>
          <w:rFonts w:hint="eastAsia" w:ascii="仿宋_GB2312" w:hAnsi="仿宋_GB2312" w:eastAsia="仿宋_GB2312" w:cs="仿宋_GB2312"/>
          <w:spacing w:val="0"/>
          <w:sz w:val="32"/>
          <w:szCs w:val="32"/>
        </w:rPr>
        <w:t>信息</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9条，占总数的</w:t>
      </w:r>
      <w:r>
        <w:rPr>
          <w:rFonts w:hint="eastAsia" w:ascii="仿宋_GB2312" w:hAnsi="仿宋_GB2312" w:eastAsia="仿宋_GB2312" w:cs="仿宋_GB2312"/>
          <w:spacing w:val="0"/>
          <w:sz w:val="32"/>
          <w:szCs w:val="32"/>
          <w:lang w:val="en-US" w:eastAsia="zh-CN"/>
        </w:rPr>
        <w:t>34.55</w:t>
      </w:r>
      <w:r>
        <w:rPr>
          <w:rFonts w:hint="eastAsia" w:ascii="仿宋_GB2312" w:hAnsi="仿宋_GB2312" w:eastAsia="仿宋_GB2312" w:cs="仿宋_GB2312"/>
          <w:spacing w:val="0"/>
          <w:sz w:val="32"/>
          <w:szCs w:val="32"/>
        </w:rPr>
        <w:t>%；组织管理信息</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条，占总数的</w:t>
      </w:r>
      <w:r>
        <w:rPr>
          <w:rFonts w:hint="eastAsia" w:ascii="仿宋_GB2312" w:hAnsi="仿宋_GB2312" w:eastAsia="仿宋_GB2312" w:cs="仿宋_GB2312"/>
          <w:spacing w:val="0"/>
          <w:sz w:val="32"/>
          <w:szCs w:val="32"/>
          <w:lang w:val="en-US" w:eastAsia="zh-CN"/>
        </w:rPr>
        <w:t>18.18</w:t>
      </w:r>
      <w:r>
        <w:rPr>
          <w:rFonts w:hint="eastAsia" w:ascii="仿宋_GB2312" w:hAnsi="仿宋_GB2312" w:eastAsia="仿宋_GB2312" w:cs="仿宋_GB2312"/>
          <w:spacing w:val="0"/>
          <w:sz w:val="32"/>
          <w:szCs w:val="32"/>
        </w:rPr>
        <w:t>%，此外，还通过微信微博公众号等媒体发布工作动态</w:t>
      </w:r>
      <w:r>
        <w:rPr>
          <w:rFonts w:hint="eastAsia" w:ascii="仿宋_GB2312" w:hAnsi="仿宋_GB2312" w:eastAsia="仿宋_GB2312" w:cs="仿宋_GB2312"/>
          <w:spacing w:val="0"/>
          <w:sz w:val="32"/>
          <w:szCs w:val="32"/>
          <w:lang w:val="en-US" w:eastAsia="zh-CN"/>
        </w:rPr>
        <w:t>245</w:t>
      </w:r>
      <w:r>
        <w:rPr>
          <w:rFonts w:hint="eastAsia" w:ascii="仿宋_GB2312" w:hAnsi="仿宋_GB2312" w:eastAsia="仿宋_GB2312" w:cs="仿宋_GB2312"/>
          <w:spacing w:val="0"/>
          <w:sz w:val="32"/>
          <w:szCs w:val="32"/>
        </w:rPr>
        <w:t>条</w:t>
      </w:r>
      <w:r>
        <w:rPr>
          <w:rFonts w:hint="eastAsia" w:ascii="仿宋_GB2312" w:hAnsi="仿宋_GB2312" w:eastAsia="仿宋_GB2312" w:cs="仿宋_GB2312"/>
          <w:spacing w:val="0"/>
          <w:sz w:val="32"/>
          <w:szCs w:val="32"/>
          <w:lang w:eastAsia="zh-CN"/>
        </w:rPr>
        <w:t>。</w:t>
      </w:r>
    </w:p>
    <w:p>
      <w:pPr>
        <w:pStyle w:val="3"/>
        <w:keepNext w:val="0"/>
        <w:keepLines w:val="0"/>
        <w:widowControl/>
        <w:suppressLineNumbers w:val="0"/>
        <w:spacing w:after="0" w:afterAutospacing="0" w:line="317" w:lineRule="atLeast"/>
        <w:ind w:left="0" w:firstLine="420"/>
        <w:rPr>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274" w:beforeAutospacing="0" w:after="0" w:afterAutospacing="0" w:line="317" w:lineRule="atLeast"/>
        <w:ind w:left="0" w:firstLine="0"/>
        <w:jc w:val="center"/>
        <w:textAlignment w:val="auto"/>
        <w:rPr>
          <w:sz w:val="28"/>
          <w:szCs w:val="28"/>
        </w:rPr>
      </w:pPr>
      <w:r>
        <w:drawing>
          <wp:inline distT="0" distB="0" distL="114300" distR="114300">
            <wp:extent cx="5271770" cy="2479040"/>
            <wp:effectExtent l="4445" t="4445" r="12065"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hAnsiTheme="minorHAnsi"/>
          <w:spacing w:val="0"/>
          <w:kern w:val="2"/>
          <w:sz w:val="32"/>
          <w:szCs w:val="28"/>
          <w:lang w:val="en-US" w:eastAsia="zh-CN" w:bidi="ar-SA"/>
        </w:rPr>
      </w:pPr>
      <w:r>
        <w:rPr>
          <w:rFonts w:hint="eastAsia" w:ascii="仿宋_GB2312" w:eastAsia="仿宋_GB2312" w:cs="仿宋_GB2312"/>
          <w:spacing w:val="0"/>
          <w:sz w:val="32"/>
          <w:szCs w:val="28"/>
        </w:rPr>
        <w:t>2.</w:t>
      </w:r>
      <w:r>
        <w:rPr>
          <w:rFonts w:hint="eastAsia" w:ascii="仿宋_GB2312" w:eastAsia="仿宋_GB2312" w:cs="仿宋_GB2312" w:hAnsiTheme="minorHAnsi"/>
          <w:spacing w:val="0"/>
          <w:kern w:val="2"/>
          <w:sz w:val="32"/>
          <w:szCs w:val="28"/>
          <w:lang w:val="en-US" w:eastAsia="zh-CN" w:bidi="ar-SA"/>
        </w:rPr>
        <w:t>依申请公开。2023年，滕州市商务和投资促进局未收到和处理政府信息公开依申请事项。与往年相比数量减少。没有因政府信息公开产生的行政复议和行政诉讼。</w:t>
      </w:r>
    </w:p>
    <w:p>
      <w:pPr>
        <w:keepNext w:val="0"/>
        <w:keepLines w:val="0"/>
        <w:pageBreakBefore w:val="0"/>
        <w:kinsoku/>
        <w:wordWrap/>
        <w:overflowPunct/>
        <w:topLinePunct w:val="0"/>
        <w:autoSpaceDE/>
        <w:autoSpaceDN w:val="0"/>
        <w:bidi w:val="0"/>
        <w:adjustRightInd/>
        <w:snapToGrid/>
        <w:spacing w:line="600" w:lineRule="exact"/>
        <w:ind w:firstLine="640" w:firstLineChars="200"/>
        <w:textAlignment w:val="auto"/>
        <w:rPr>
          <w:rFonts w:hint="eastAsia" w:ascii="仿宋_GB2312" w:eastAsia="仿宋_GB2312" w:cs="仿宋_GB2312"/>
          <w:spacing w:val="0"/>
          <w:sz w:val="32"/>
          <w:szCs w:val="28"/>
        </w:rPr>
      </w:pPr>
      <w:r>
        <w:rPr>
          <w:rFonts w:hint="eastAsia" w:ascii="仿宋_GB2312" w:eastAsia="仿宋_GB2312" w:cs="仿宋_GB2312"/>
          <w:spacing w:val="0"/>
          <w:sz w:val="32"/>
          <w:szCs w:val="28"/>
        </w:rPr>
        <w:t>3.政府信息管理。成立了政务公开领导小组，局主要领导为主要负责人，分管领导为分管负责人。各科室依据科室职能，积极主动收集、提报各自业务范围内应公开的政务信息，调研室负责本单位政务公开网站信息的更新与维护。形成“主要领导亲自抓、分管领导具体抓、机关科室合力抓、专人负责抓落实”的工作机制</w:t>
      </w:r>
      <w:r>
        <w:rPr>
          <w:rFonts w:hint="eastAsia" w:ascii="仿宋_GB2312" w:eastAsia="仿宋_GB2312" w:cs="仿宋_GB2312"/>
          <w:spacing w:val="0"/>
          <w:sz w:val="32"/>
          <w:szCs w:val="28"/>
          <w:lang w:eastAsia="zh-CN"/>
        </w:rPr>
        <w:t>。</w:t>
      </w:r>
      <w:r>
        <w:rPr>
          <w:rFonts w:hint="eastAsia" w:ascii="仿宋_GB2312" w:eastAsia="仿宋_GB2312" w:cs="仿宋_GB2312"/>
          <w:spacing w:val="0"/>
          <w:sz w:val="32"/>
          <w:szCs w:val="28"/>
        </w:rPr>
        <w:t>严格执行“谁公开、谁审查、谁负责”“先审查、后公开”“一事一审”等保密审查规定，对拟公开的政府信息，由承办单位提出具体意见，经信息公开操作人员审查后，报信息公开负责领导审批，从源头上落实了保密审查，确保了涉密信息不公开，使政府信息公开工作进一步朝规范化、制度化方向发展，逐步形成长效管理机制。</w:t>
      </w:r>
    </w:p>
    <w:p>
      <w:pPr>
        <w:pStyle w:val="3"/>
        <w:keepNext w:val="0"/>
        <w:keepLines w:val="0"/>
        <w:widowControl/>
        <w:suppressLineNumbers w:val="0"/>
        <w:spacing w:line="504" w:lineRule="atLeast"/>
        <w:ind w:left="0" w:right="0" w:firstLine="516"/>
        <w:rPr>
          <w:rFonts w:eastAsia="仿宋_GB2312"/>
          <w:sz w:val="32"/>
          <w:szCs w:val="28"/>
        </w:rPr>
      </w:pPr>
      <w:r>
        <w:rPr>
          <w:rFonts w:hint="eastAsia" w:ascii="仿宋_GB2312" w:eastAsia="仿宋_GB2312" w:cs="仿宋_GB2312"/>
          <w:spacing w:val="0"/>
          <w:sz w:val="32"/>
          <w:szCs w:val="28"/>
        </w:rPr>
        <w:t> 4.政府信息公开平台建设。按照上级对政府信息平台建设工作的要求，完善政府信息公开制度，明确政府信息公开专区，公开政府信息查阅范围、方式和流程。安排专人负责信息公开的编辑、审核与发布。</w:t>
      </w:r>
    </w:p>
    <w:p>
      <w:pPr>
        <w:pStyle w:val="3"/>
        <w:keepNext w:val="0"/>
        <w:keepLines w:val="0"/>
        <w:widowControl/>
        <w:suppressLineNumbers w:val="0"/>
        <w:spacing w:line="504" w:lineRule="atLeast"/>
        <w:ind w:left="0" w:right="0" w:firstLine="516"/>
        <w:rPr>
          <w:rFonts w:hint="default" w:ascii="仿宋_GB2312" w:eastAsia="仿宋_GB2312"/>
          <w:sz w:val="32"/>
          <w:szCs w:val="32"/>
        </w:rPr>
      </w:pPr>
      <w:r>
        <w:rPr>
          <w:rFonts w:hint="eastAsia" w:ascii="仿宋_GB2312" w:eastAsia="仿宋_GB2312" w:cs="仿宋_GB2312"/>
          <w:spacing w:val="0"/>
          <w:sz w:val="32"/>
          <w:szCs w:val="28"/>
        </w:rPr>
        <w:t>5.监督保障。按照滕州市政府办公室工作部署要求，滕州市商务和投资促进局积极做好相关政务公开保障工作。同时按照滕州市政</w:t>
      </w:r>
      <w:bookmarkStart w:id="0" w:name="_GoBack"/>
      <w:bookmarkEnd w:id="0"/>
      <w:r>
        <w:rPr>
          <w:rFonts w:hint="eastAsia" w:ascii="仿宋_GB2312" w:eastAsia="仿宋_GB2312" w:cs="仿宋_GB2312"/>
          <w:spacing w:val="0"/>
          <w:sz w:val="32"/>
          <w:szCs w:val="28"/>
        </w:rPr>
        <w:t>务公开绩效考核指标体系和考核标准细则，参加202</w:t>
      </w:r>
      <w:r>
        <w:rPr>
          <w:rFonts w:hint="eastAsia" w:ascii="仿宋_GB2312" w:eastAsia="仿宋_GB2312" w:cs="仿宋_GB2312"/>
          <w:spacing w:val="0"/>
          <w:sz w:val="32"/>
          <w:szCs w:val="28"/>
          <w:lang w:val="en-US" w:eastAsia="zh-CN"/>
        </w:rPr>
        <w:t>3</w:t>
      </w:r>
      <w:r>
        <w:rPr>
          <w:rFonts w:hint="eastAsia" w:ascii="仿宋_GB2312" w:eastAsia="仿宋_GB2312" w:cs="仿宋_GB2312"/>
          <w:spacing w:val="0"/>
          <w:sz w:val="32"/>
          <w:szCs w:val="28"/>
        </w:rPr>
        <w:t>年滕州市政务公开考核工作。202</w:t>
      </w:r>
      <w:r>
        <w:rPr>
          <w:rFonts w:hint="eastAsia" w:ascii="仿宋_GB2312" w:eastAsia="仿宋_GB2312" w:cs="仿宋_GB2312"/>
          <w:spacing w:val="0"/>
          <w:sz w:val="32"/>
          <w:szCs w:val="28"/>
          <w:lang w:val="en-US" w:eastAsia="zh-CN"/>
        </w:rPr>
        <w:t>3</w:t>
      </w:r>
      <w:r>
        <w:rPr>
          <w:rFonts w:hint="eastAsia" w:ascii="仿宋_GB2312" w:eastAsia="仿宋_GB2312" w:cs="仿宋_GB2312"/>
          <w:spacing w:val="0"/>
          <w:sz w:val="32"/>
          <w:szCs w:val="28"/>
        </w:rPr>
        <w:t>年，</w:t>
      </w:r>
      <w:r>
        <w:rPr>
          <w:rFonts w:hint="eastAsia" w:ascii="仿宋_GB2312" w:eastAsia="仿宋_GB2312" w:cs="仿宋_GB2312"/>
          <w:spacing w:val="0"/>
          <w:sz w:val="32"/>
          <w:szCs w:val="28"/>
          <w:lang w:val="en-US" w:eastAsia="zh-CN"/>
        </w:rPr>
        <w:t>本单位</w:t>
      </w:r>
      <w:r>
        <w:rPr>
          <w:rFonts w:hint="eastAsia" w:ascii="仿宋_GB2312" w:eastAsia="仿宋_GB2312" w:cs="仿宋_GB2312"/>
          <w:spacing w:val="0"/>
          <w:sz w:val="32"/>
          <w:szCs w:val="28"/>
        </w:rPr>
        <w:t>未发生因信息公开审查不当或保密审查机构未履行保密审查职责而引起的失泄密情况。202</w:t>
      </w:r>
      <w:r>
        <w:rPr>
          <w:rFonts w:hint="eastAsia" w:ascii="仿宋_GB2312" w:eastAsia="仿宋_GB2312" w:cs="仿宋_GB2312"/>
          <w:spacing w:val="0"/>
          <w:sz w:val="32"/>
          <w:szCs w:val="28"/>
          <w:lang w:val="en-US" w:eastAsia="zh-CN"/>
        </w:rPr>
        <w:t>3</w:t>
      </w:r>
      <w:r>
        <w:rPr>
          <w:rFonts w:hint="eastAsia" w:ascii="仿宋_GB2312" w:eastAsia="仿宋_GB2312" w:cs="仿宋_GB2312"/>
          <w:spacing w:val="0"/>
          <w:sz w:val="32"/>
          <w:szCs w:val="28"/>
        </w:rPr>
        <w:t>年度未进行社会评议，未发生责任追究情况。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420"/>
        <w:textAlignment w:val="auto"/>
        <w:rPr>
          <w:sz w:val="32"/>
          <w:szCs w:val="32"/>
        </w:rPr>
      </w:pPr>
      <w:r>
        <w:rPr>
          <w:rFonts w:hint="eastAsia" w:ascii="黑体" w:hAnsi="宋体" w:eastAsia="黑体" w:cs="黑体"/>
          <w:sz w:val="32"/>
          <w:szCs w:val="32"/>
        </w:rPr>
        <w:t> 二、主动公开政府信息情况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pPr>
        <w:pStyle w:val="3"/>
        <w:keepNext w:val="0"/>
        <w:keepLines w:val="0"/>
        <w:widowControl/>
        <w:suppressLineNumbers w:val="0"/>
        <w:spacing w:after="0" w:afterAutospacing="0" w:line="317" w:lineRule="atLeast"/>
        <w:ind w:left="0" w:firstLine="420"/>
        <w:rPr>
          <w:sz w:val="28"/>
          <w:szCs w:val="28"/>
        </w:rPr>
      </w:pPr>
      <w:r>
        <w:rPr>
          <w:sz w:val="28"/>
          <w:szCs w:val="28"/>
        </w:rPr>
        <w:t>  </w:t>
      </w:r>
    </w:p>
    <w:p>
      <w:pPr>
        <w:pStyle w:val="3"/>
        <w:keepNext w:val="0"/>
        <w:keepLines w:val="0"/>
        <w:widowControl/>
        <w:suppressLineNumbers w:val="0"/>
        <w:spacing w:after="0" w:afterAutospacing="0" w:line="317" w:lineRule="atLeast"/>
        <w:ind w:left="0" w:firstLine="420"/>
        <w:rPr>
          <w:sz w:val="32"/>
          <w:szCs w:val="32"/>
        </w:rPr>
      </w:pPr>
      <w:r>
        <w:rPr>
          <w:rFonts w:hint="eastAsia" w:ascii="黑体" w:hAnsi="宋体" w:eastAsia="黑体" w:cs="黑体"/>
          <w:spacing w:val="0"/>
          <w:sz w:val="32"/>
          <w:szCs w:val="32"/>
        </w:rPr>
        <w:t>三、收到和处理政府信息公开申请情况</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20" w:type="dxa"/>
          <w:bottom w:w="60" w:type="dxa"/>
          <w:right w:w="120" w:type="dxa"/>
        </w:tblCellMar>
      </w:tblPr>
      <w:tblGrid>
        <w:gridCol w:w="900"/>
        <w:gridCol w:w="1183"/>
        <w:gridCol w:w="1876"/>
        <w:gridCol w:w="675"/>
        <w:gridCol w:w="630"/>
        <w:gridCol w:w="630"/>
        <w:gridCol w:w="630"/>
        <w:gridCol w:w="630"/>
        <w:gridCol w:w="630"/>
        <w:gridCol w:w="64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381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（本列数据的勾稽关系为：第一项加第二项之和，等于第三项加第四项之和）</w:t>
            </w:r>
          </w:p>
        </w:tc>
        <w:tc>
          <w:tcPr>
            <w:tcW w:w="3444" w:type="dxa"/>
            <w:gridSpan w:val="7"/>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381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684" w:type="dxa"/>
            <w:vMerge w:val="restart"/>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自然人</w:t>
            </w:r>
          </w:p>
        </w:tc>
        <w:tc>
          <w:tcPr>
            <w:tcW w:w="2256" w:type="dxa"/>
            <w:gridSpan w:val="5"/>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法人或其他组织</w:t>
            </w:r>
          </w:p>
        </w:tc>
        <w:tc>
          <w:tcPr>
            <w:tcW w:w="504" w:type="dxa"/>
            <w:vMerge w:val="restart"/>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381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684"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商业企业</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科研机构</w:t>
            </w:r>
          </w:p>
        </w:tc>
        <w:tc>
          <w:tcPr>
            <w:tcW w:w="456"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社会公益组织</w:t>
            </w:r>
          </w:p>
        </w:tc>
        <w:tc>
          <w:tcPr>
            <w:tcW w:w="456"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法律服务机构</w:t>
            </w:r>
          </w:p>
        </w:tc>
        <w:tc>
          <w:tcPr>
            <w:tcW w:w="432"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其他</w:t>
            </w:r>
          </w:p>
        </w:tc>
        <w:tc>
          <w:tcPr>
            <w:tcW w:w="504" w:type="dxa"/>
            <w:vMerge w:val="continue"/>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3816" w:type="dxa"/>
            <w:gridSpan w:val="3"/>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一、本年新收政府信息公开申请数量</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ascii="Calibri" w:hAnsi="Calibri" w:cs="Calibri"/>
                <w:spacing w:val="0"/>
                <w:sz w:val="20"/>
                <w:szCs w:val="20"/>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default" w:ascii="Calibri" w:hAnsi="Calibri" w:cs="Calibri"/>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3816" w:type="dxa"/>
            <w:gridSpan w:val="3"/>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二、上年结转政府信息公开申请数量</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restart"/>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三、本年度办理结果</w:t>
            </w:r>
          </w:p>
        </w:tc>
        <w:tc>
          <w:tcPr>
            <w:tcW w:w="3408" w:type="dxa"/>
            <w:gridSpan w:val="2"/>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（一）予以公开</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3408" w:type="dxa"/>
            <w:gridSpan w:val="2"/>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（二）部分公开（区分处理的，只计这一情形，不计其他情形）</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default" w:ascii="Calibri" w:hAnsi="Calibri" w:cs="Calibri"/>
                <w:spacing w:val="0"/>
                <w:sz w:val="20"/>
                <w:szCs w:val="20"/>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default" w:ascii="Calibri" w:hAnsi="Calibri" w:cs="Calibri"/>
                <w:spacing w:val="0"/>
                <w:sz w:val="20"/>
                <w:szCs w:val="2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restart"/>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84" w:right="0" w:firstLine="420"/>
              <w:rPr>
                <w:sz w:val="28"/>
                <w:szCs w:val="28"/>
              </w:rPr>
            </w:pPr>
            <w:r>
              <w:rPr>
                <w:rFonts w:hint="eastAsia" w:ascii="宋体" w:hAnsi="宋体" w:eastAsia="宋体" w:cs="宋体"/>
                <w:spacing w:val="0"/>
                <w:sz w:val="18"/>
                <w:szCs w:val="18"/>
              </w:rPr>
              <w:t>（三）不予公开</w:t>
            </w: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1.属于国家秘密</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2.其他法律行政法规禁止公开</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3.危及“三安全一稳定”</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4.保护第三方合法权益</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5.属于三类内部事务信息</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6.属于四类过程性信息</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7.属于行政执法案卷</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8.属于行政查询事项</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restart"/>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84" w:right="0" w:firstLine="420"/>
              <w:rPr>
                <w:sz w:val="28"/>
                <w:szCs w:val="28"/>
              </w:rPr>
            </w:pPr>
            <w:r>
              <w:rPr>
                <w:rFonts w:hint="eastAsia" w:ascii="宋体" w:hAnsi="宋体" w:eastAsia="宋体" w:cs="宋体"/>
                <w:spacing w:val="0"/>
                <w:sz w:val="18"/>
                <w:szCs w:val="18"/>
              </w:rPr>
              <w:t>（四）无法提供</w:t>
            </w: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1.本机关不掌握相关政府信息</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2.没有现成信息需要另行制作</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3.补正后申请内容仍不明确</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restart"/>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84" w:right="0" w:firstLine="420"/>
              <w:rPr>
                <w:sz w:val="28"/>
                <w:szCs w:val="28"/>
              </w:rPr>
            </w:pPr>
            <w:r>
              <w:rPr>
                <w:rFonts w:hint="eastAsia" w:ascii="宋体" w:hAnsi="宋体" w:eastAsia="宋体" w:cs="宋体"/>
                <w:spacing w:val="0"/>
                <w:sz w:val="18"/>
                <w:szCs w:val="18"/>
              </w:rPr>
              <w:t>（五）不予处理</w:t>
            </w: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1.信访举报投诉类申请</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2.重复申请</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3.要求提供公开出版物</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4.无正当理由大量反复申请</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5.要求行政机关确认或重新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出具已获取信息</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rPr>
          <w:trHeight w:val="132" w:hRule="atLeast"/>
        </w:trPr>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（六）其他处理</w:t>
            </w: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1.申请人无正当理由逾期不补正、行政机关不再处理其政府信息公开申请</w:t>
            </w:r>
          </w:p>
        </w:tc>
        <w:tc>
          <w:tcPr>
            <w:tcW w:w="684"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vMerge w:val="restart"/>
            <w:tcBorders>
              <w:top w:val="nil"/>
              <w:left w:val="nil"/>
              <w:bottom w:val="outset"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trHeight w:val="132" w:hRule="atLeast"/>
        </w:trPr>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2.申请人逾期未按收费通知要求缴纳费用、行政机关不再处理其政府信息公开申请</w:t>
            </w:r>
          </w:p>
        </w:tc>
        <w:tc>
          <w:tcPr>
            <w:tcW w:w="684"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32"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504"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trHeight w:val="132" w:hRule="atLeast"/>
        </w:trPr>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1212"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21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3.其他</w:t>
            </w:r>
          </w:p>
        </w:tc>
        <w:tc>
          <w:tcPr>
            <w:tcW w:w="684"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56"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32"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504" w:type="dxa"/>
            <w:vMerge w:val="continue"/>
            <w:tcBorders>
              <w:top w:val="nil"/>
              <w:left w:val="nil"/>
              <w:bottom w:val="outset"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42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3408" w:type="dxa"/>
            <w:gridSpan w:val="2"/>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（七）总计</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3816" w:type="dxa"/>
            <w:gridSpan w:val="3"/>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rPr>
                <w:sz w:val="28"/>
                <w:szCs w:val="28"/>
              </w:rPr>
            </w:pPr>
            <w:r>
              <w:rPr>
                <w:rFonts w:hint="eastAsia" w:ascii="宋体" w:hAnsi="宋体" w:eastAsia="宋体" w:cs="宋体"/>
                <w:spacing w:val="0"/>
                <w:sz w:val="18"/>
                <w:szCs w:val="18"/>
              </w:rPr>
              <w:t>四、结转下年度继续办理</w:t>
            </w:r>
          </w:p>
        </w:tc>
        <w:tc>
          <w:tcPr>
            <w:tcW w:w="68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56"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432"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c>
          <w:tcPr>
            <w:tcW w:w="50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52" w:lineRule="atLeast"/>
        <w:ind w:left="0" w:right="0" w:firstLine="420"/>
        <w:jc w:val="both"/>
        <w:rPr>
          <w:sz w:val="28"/>
          <w:szCs w:val="28"/>
        </w:rPr>
      </w:pPr>
    </w:p>
    <w:p>
      <w:pPr>
        <w:pStyle w:val="3"/>
        <w:keepNext w:val="0"/>
        <w:keepLines w:val="0"/>
        <w:widowControl/>
        <w:suppressLineNumbers w:val="0"/>
        <w:spacing w:line="252" w:lineRule="atLeast"/>
        <w:ind w:left="0" w:firstLine="420"/>
        <w:rPr>
          <w:sz w:val="28"/>
          <w:szCs w:val="28"/>
        </w:rPr>
      </w:pPr>
      <w:r>
        <w:rPr>
          <w:rFonts w:hint="eastAsia" w:ascii="黑体" w:hAnsi="宋体" w:eastAsia="黑体" w:cs="黑体"/>
          <w:spacing w:val="0"/>
          <w:sz w:val="28"/>
          <w:szCs w:val="28"/>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52" w:lineRule="atLeast"/>
        <w:ind w:left="0" w:right="0" w:firstLine="420"/>
        <w:jc w:val="both"/>
        <w:rPr>
          <w:sz w:val="28"/>
          <w:szCs w:val="28"/>
        </w:rPr>
      </w:pP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20" w:type="dxa"/>
          <w:bottom w:w="60" w:type="dxa"/>
          <w:right w:w="120" w:type="dxa"/>
        </w:tblCellMar>
      </w:tblPr>
      <w:tblGrid>
        <w:gridCol w:w="455"/>
        <w:gridCol w:w="456"/>
        <w:gridCol w:w="456"/>
        <w:gridCol w:w="456"/>
        <w:gridCol w:w="508"/>
        <w:gridCol w:w="425"/>
        <w:gridCol w:w="630"/>
        <w:gridCol w:w="630"/>
        <w:gridCol w:w="630"/>
        <w:gridCol w:w="630"/>
        <w:gridCol w:w="630"/>
        <w:gridCol w:w="630"/>
        <w:gridCol w:w="630"/>
        <w:gridCol w:w="630"/>
        <w:gridCol w:w="6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c>
          <w:tcPr>
            <w:tcW w:w="2460" w:type="dxa"/>
            <w:gridSpan w:val="5"/>
            <w:tcBorders>
              <w:top w:val="single" w:color="auto" w:sz="4" w:space="0"/>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行政复议</w:t>
            </w:r>
          </w:p>
        </w:tc>
        <w:tc>
          <w:tcPr>
            <w:tcW w:w="4800" w:type="dxa"/>
            <w:gridSpan w:val="10"/>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20" w:type="dxa"/>
            <w:bottom w:w="60" w:type="dxa"/>
            <w:right w:w="120" w:type="dxa"/>
          </w:tblCellMar>
        </w:tblPrEx>
        <w:trPr>
          <w:trHeight w:val="468" w:hRule="atLeast"/>
        </w:trPr>
        <w:tc>
          <w:tcPr>
            <w:tcW w:w="480" w:type="dxa"/>
            <w:vMerge w:val="restart"/>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结果维持</w:t>
            </w:r>
          </w:p>
        </w:tc>
        <w:tc>
          <w:tcPr>
            <w:tcW w:w="480" w:type="dxa"/>
            <w:vMerge w:val="restart"/>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结果纠正</w:t>
            </w:r>
          </w:p>
        </w:tc>
        <w:tc>
          <w:tcPr>
            <w:tcW w:w="480" w:type="dxa"/>
            <w:vMerge w:val="restart"/>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其他结果</w:t>
            </w:r>
          </w:p>
        </w:tc>
        <w:tc>
          <w:tcPr>
            <w:tcW w:w="480" w:type="dxa"/>
            <w:vMerge w:val="restart"/>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尚未审结</w:t>
            </w:r>
          </w:p>
        </w:tc>
        <w:tc>
          <w:tcPr>
            <w:tcW w:w="528" w:type="dxa"/>
            <w:vMerge w:val="restart"/>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总计</w:t>
            </w:r>
          </w:p>
        </w:tc>
        <w:tc>
          <w:tcPr>
            <w:tcW w:w="2376" w:type="dxa"/>
            <w:gridSpan w:val="5"/>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未经复议直接起诉</w:t>
            </w:r>
          </w:p>
        </w:tc>
        <w:tc>
          <w:tcPr>
            <w:tcW w:w="2424" w:type="dxa"/>
            <w:gridSpan w:val="5"/>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sz w:val="28"/>
                <w:szCs w:val="28"/>
              </w:rPr>
            </w:pPr>
            <w:r>
              <w:rPr>
                <w:rFonts w:hint="eastAsia" w:ascii="宋体" w:hAnsi="宋体" w:eastAsia="宋体" w:cs="宋体"/>
                <w:spacing w:val="0"/>
                <w:sz w:val="18"/>
                <w:szCs w:val="18"/>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80" w:type="dxa"/>
            <w:vMerge w:val="continue"/>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80" w:type="dxa"/>
            <w:vMerge w:val="continue"/>
            <w:tcBorders>
              <w:top w:val="nil"/>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80" w:type="dxa"/>
            <w:vMerge w:val="continue"/>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80" w:type="dxa"/>
            <w:vMerge w:val="continue"/>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528" w:type="dxa"/>
            <w:vMerge w:val="continue"/>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rPr>
                <w:rFonts w:hint="eastAsia" w:ascii="宋体"/>
                <w:sz w:val="28"/>
                <w:szCs w:val="28"/>
              </w:rPr>
            </w:pPr>
          </w:p>
        </w:tc>
        <w:tc>
          <w:tcPr>
            <w:tcW w:w="44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结果维持</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结果纠正</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其他结果</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尚未审结</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总计</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结果维持</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结果纠正</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其他结果</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尚未审结</w:t>
            </w:r>
          </w:p>
        </w:tc>
        <w:tc>
          <w:tcPr>
            <w:tcW w:w="480" w:type="dxa"/>
            <w:tcBorders>
              <w:top w:val="single" w:color="auto" w:sz="4" w:space="0"/>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rFonts w:hint="eastAsia" w:ascii="宋体" w:hAnsi="宋体" w:eastAsia="宋体" w:cs="宋体"/>
                <w:spacing w:val="0"/>
                <w:sz w:val="18"/>
                <w:szCs w:val="18"/>
              </w:rPr>
            </w:pPr>
            <w:r>
              <w:rPr>
                <w:rFonts w:hint="eastAsia" w:ascii="宋体" w:hAnsi="宋体" w:eastAsia="宋体" w:cs="宋体"/>
                <w:spacing w:val="0"/>
                <w:sz w:val="18"/>
                <w:szCs w:val="18"/>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20" w:type="dxa"/>
            <w:bottom w:w="60" w:type="dxa"/>
            <w:right w:w="120" w:type="dxa"/>
          </w:tblCellMar>
        </w:tblPrEx>
        <w:tc>
          <w:tcPr>
            <w:tcW w:w="480" w:type="dxa"/>
            <w:tcBorders>
              <w:top w:val="nil"/>
              <w:left w:val="single" w:color="auto" w:sz="4" w:space="0"/>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0</w:t>
            </w:r>
          </w:p>
        </w:tc>
        <w:tc>
          <w:tcPr>
            <w:tcW w:w="528"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both"/>
              <w:rPr>
                <w:sz w:val="28"/>
                <w:szCs w:val="28"/>
              </w:rPr>
            </w:pPr>
            <w:r>
              <w:rPr>
                <w:rFonts w:hint="eastAsia" w:ascii="宋体" w:hAnsi="宋体" w:eastAsia="宋体" w:cs="宋体"/>
                <w:spacing w:val="0"/>
                <w:sz w:val="18"/>
                <w:szCs w:val="18"/>
              </w:rPr>
              <w:t>0</w:t>
            </w:r>
          </w:p>
        </w:tc>
        <w:tc>
          <w:tcPr>
            <w:tcW w:w="444"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right="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c>
          <w:tcPr>
            <w:tcW w:w="480" w:type="dxa"/>
            <w:tcBorders>
              <w:top w:val="nil"/>
              <w:left w:val="nil"/>
              <w:bottom w:val="single" w:color="auto" w:sz="4" w:space="0"/>
              <w:right w:val="single" w:color="auto" w:sz="4" w:space="0"/>
            </w:tcBorders>
            <w:shd w:val="clear" w:color="auto" w:fill="auto"/>
            <w:tcMar>
              <w:top w:w="60" w:type="dxa"/>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52" w:lineRule="atLeast"/>
              <w:ind w:left="0" w:right="0" w:firstLine="420"/>
              <w:jc w:val="center"/>
              <w:rPr>
                <w:rFonts w:hint="eastAsia" w:ascii="宋体" w:hAnsi="宋体" w:eastAsia="宋体" w:cs="宋体"/>
                <w:spacing w:val="0"/>
                <w:sz w:val="18"/>
                <w:szCs w:val="18"/>
              </w:rPr>
            </w:pPr>
            <w:r>
              <w:rPr>
                <w:rFonts w:hint="eastAsia" w:ascii="宋体" w:hAnsi="宋体" w:eastAsia="宋体" w:cs="宋体"/>
                <w:spacing w:val="0"/>
                <w:sz w:val="18"/>
                <w:szCs w:val="18"/>
              </w:rPr>
              <w:t>0</w:t>
            </w:r>
          </w:p>
        </w:tc>
      </w:tr>
    </w:tbl>
    <w:p>
      <w:pPr>
        <w:pStyle w:val="3"/>
        <w:keepNext w:val="0"/>
        <w:keepLines w:val="0"/>
        <w:widowControl/>
        <w:suppressLineNumbers w:val="0"/>
        <w:spacing w:before="0" w:beforeAutospacing="0" w:after="0" w:afterAutospacing="0" w:line="252"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widowControl/>
        <w:suppressLineNumbers w:val="0"/>
        <w:spacing w:before="0" w:beforeAutospacing="0" w:after="0" w:afterAutospacing="0" w:line="252" w:lineRule="atLeast"/>
        <w:ind w:left="0" w:firstLine="420"/>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rPr>
        <w:t>五、存在</w:t>
      </w:r>
      <w:r>
        <w:rPr>
          <w:rFonts w:hint="eastAsia" w:ascii="黑体" w:hAnsi="黑体" w:eastAsia="黑体" w:cs="黑体"/>
          <w:sz w:val="32"/>
          <w:szCs w:val="32"/>
          <w:shd w:val="clear" w:fill="FFFFFF"/>
          <w:lang w:val="en-US" w:eastAsia="zh-CN"/>
        </w:rPr>
        <w:t>的</w:t>
      </w:r>
      <w:r>
        <w:rPr>
          <w:rFonts w:hint="eastAsia" w:ascii="黑体" w:hAnsi="黑体" w:eastAsia="黑体" w:cs="黑体"/>
          <w:sz w:val="32"/>
          <w:szCs w:val="32"/>
          <w:shd w:val="clear" w:fill="FFFFFF"/>
        </w:rPr>
        <w:t>问题</w:t>
      </w:r>
      <w:r>
        <w:rPr>
          <w:rFonts w:hint="eastAsia" w:ascii="黑体" w:hAnsi="黑体" w:eastAsia="黑体" w:cs="黑体"/>
          <w:sz w:val="32"/>
          <w:szCs w:val="32"/>
          <w:shd w:val="clear" w:fill="FFFFFF"/>
          <w:lang w:val="en-US" w:eastAsia="zh-CN"/>
        </w:rPr>
        <w:t>和整改措施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（一）问题：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一是连续性还不够。部分信息公开不完善、不及时，时效性、连续性还须要进一步提高。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lang w:val="en-US" w:eastAsia="zh-CN"/>
        </w:rPr>
        <w:t>二是</w:t>
      </w:r>
      <w:r>
        <w:rPr>
          <w:rFonts w:hint="eastAsia" w:ascii="仿宋_GB2312" w:hAnsi="仿宋_GB2312" w:eastAsia="仿宋_GB2312" w:cs="仿宋_GB2312"/>
          <w:spacing w:val="0"/>
          <w:sz w:val="32"/>
          <w:szCs w:val="32"/>
          <w:shd w:val="clear" w:fill="FFFFFF"/>
        </w:rPr>
        <w:t>是精准性还不够。对部分子栏目的</w:t>
      </w:r>
      <w:r>
        <w:rPr>
          <w:rFonts w:hint="eastAsia" w:ascii="仿宋_GB2312" w:hAnsi="仿宋_GB2312" w:eastAsia="仿宋_GB2312" w:cs="仿宋_GB2312"/>
          <w:spacing w:val="0"/>
          <w:sz w:val="32"/>
          <w:szCs w:val="32"/>
          <w:shd w:val="clear" w:fill="FFFFFF"/>
          <w:lang w:val="en-US" w:eastAsia="zh-CN"/>
        </w:rPr>
        <w:t>公开</w:t>
      </w:r>
      <w:r>
        <w:rPr>
          <w:rFonts w:hint="eastAsia" w:ascii="仿宋_GB2312" w:hAnsi="仿宋_GB2312" w:eastAsia="仿宋_GB2312" w:cs="仿宋_GB2312"/>
          <w:spacing w:val="0"/>
          <w:sz w:val="32"/>
          <w:szCs w:val="32"/>
          <w:shd w:val="clear" w:fill="FFFFFF"/>
        </w:rPr>
        <w:t>要点把握不透、领悟不深，主动公开的公开量、公开面、公开形式、公开深度等方面距离上级要求仍有差距。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三是创新性还不够。主要是涉及政策解读方面形式不够丰富，回应方式单一。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default" w:ascii="仿宋_GB2312" w:hAnsi="仿宋_GB2312" w:eastAsia="仿宋_GB2312" w:cs="仿宋_GB2312"/>
          <w:spacing w:val="0"/>
          <w:sz w:val="32"/>
          <w:szCs w:val="32"/>
          <w:shd w:val="clear" w:fill="FFFFFF"/>
          <w:lang w:val="en-US" w:eastAsia="zh-CN"/>
        </w:rPr>
      </w:pPr>
      <w:r>
        <w:rPr>
          <w:rFonts w:hint="eastAsia" w:ascii="仿宋_GB2312" w:hAnsi="仿宋_GB2312" w:eastAsia="仿宋_GB2312" w:cs="仿宋_GB2312"/>
          <w:spacing w:val="0"/>
          <w:sz w:val="32"/>
          <w:szCs w:val="32"/>
          <w:shd w:val="clear" w:fill="FFFFFF"/>
          <w:lang w:val="en-US" w:eastAsia="zh-CN"/>
        </w:rPr>
        <w:t>（二）整改措施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lang w:eastAsia="zh-CN"/>
        </w:rPr>
      </w:pPr>
      <w:r>
        <w:rPr>
          <w:rFonts w:hint="eastAsia" w:ascii="仿宋_GB2312" w:hAnsi="仿宋_GB2312" w:eastAsia="仿宋_GB2312" w:cs="仿宋_GB2312"/>
          <w:spacing w:val="0"/>
          <w:sz w:val="32"/>
          <w:szCs w:val="32"/>
          <w:shd w:val="clear" w:fill="FFFFFF"/>
        </w:rPr>
        <w:t>一是扎实推进联络员机制。推行联络员工作模式，强化内设机构信息发布的主体责任意识，保证信息公布的全面性和及时性</w:t>
      </w:r>
      <w:r>
        <w:rPr>
          <w:rFonts w:hint="eastAsia" w:ascii="仿宋_GB2312" w:hAnsi="仿宋_GB2312" w:eastAsia="仿宋_GB2312" w:cs="仿宋_GB2312"/>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lang w:eastAsia="zh-CN"/>
        </w:rPr>
      </w:pPr>
      <w:r>
        <w:rPr>
          <w:rFonts w:hint="eastAsia" w:ascii="仿宋_GB2312" w:hAnsi="仿宋_GB2312" w:eastAsia="仿宋_GB2312" w:cs="仿宋_GB2312"/>
          <w:spacing w:val="0"/>
          <w:sz w:val="32"/>
          <w:szCs w:val="32"/>
          <w:shd w:val="clear" w:fill="FFFFFF"/>
        </w:rPr>
        <w:t>二是积极参加培训工作。充分利用</w:t>
      </w:r>
      <w:r>
        <w:rPr>
          <w:rFonts w:hint="eastAsia" w:ascii="仿宋_GB2312" w:hAnsi="仿宋_GB2312" w:eastAsia="仿宋_GB2312" w:cs="仿宋_GB2312"/>
          <w:spacing w:val="0"/>
          <w:sz w:val="32"/>
          <w:szCs w:val="32"/>
          <w:shd w:val="clear" w:fill="FFFFFF"/>
          <w:lang w:val="en-US" w:eastAsia="zh-CN"/>
        </w:rPr>
        <w:t>市委市政府</w:t>
      </w:r>
      <w:r>
        <w:rPr>
          <w:rFonts w:hint="eastAsia" w:ascii="仿宋_GB2312" w:hAnsi="仿宋_GB2312" w:eastAsia="仿宋_GB2312" w:cs="仿宋_GB2312"/>
          <w:spacing w:val="0"/>
          <w:sz w:val="32"/>
          <w:szCs w:val="32"/>
          <w:shd w:val="clear" w:fill="FFFFFF"/>
        </w:rPr>
        <w:t>政务公开业务培训的机会，提高政策把握、测评要点和回应引导能力，努力提升信息公开的全面性</w:t>
      </w:r>
      <w:r>
        <w:rPr>
          <w:rFonts w:hint="eastAsia" w:ascii="仿宋_GB2312" w:hAnsi="仿宋_GB2312" w:eastAsia="仿宋_GB2312" w:cs="仿宋_GB2312"/>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三是强化政务公开工作制度建设。不断规范工作程序，创新工作方式，使政务公开工作在制度化、规范化方面有新的突破。</w:t>
      </w:r>
    </w:p>
    <w:p>
      <w:pPr>
        <w:pStyle w:val="3"/>
        <w:keepNext w:val="0"/>
        <w:keepLines w:val="0"/>
        <w:widowControl/>
        <w:suppressLineNumbers w:val="0"/>
        <w:spacing w:before="0" w:beforeAutospacing="0" w:after="0" w:afterAutospacing="0" w:line="252" w:lineRule="atLeast"/>
        <w:ind w:left="0" w:firstLine="420"/>
        <w:rPr>
          <w:rFonts w:hint="eastAsia"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1.收取信息处理费情况方面。202</w:t>
      </w:r>
      <w:r>
        <w:rPr>
          <w:rFonts w:hint="eastAsia" w:ascii="仿宋_GB2312" w:hAnsi="仿宋_GB2312" w:eastAsia="仿宋_GB2312" w:cs="仿宋_GB2312"/>
          <w:spacing w:val="0"/>
          <w:sz w:val="32"/>
          <w:szCs w:val="32"/>
          <w:shd w:val="clear" w:fill="FFFFFF"/>
          <w:lang w:val="en-US" w:eastAsia="zh-CN"/>
        </w:rPr>
        <w:t>3</w:t>
      </w:r>
      <w:r>
        <w:rPr>
          <w:rFonts w:hint="eastAsia" w:ascii="仿宋_GB2312" w:hAnsi="仿宋_GB2312" w:eastAsia="仿宋_GB2312" w:cs="仿宋_GB2312"/>
          <w:spacing w:val="0"/>
          <w:sz w:val="32"/>
          <w:szCs w:val="32"/>
          <w:shd w:val="clear" w:fill="FFFFFF"/>
        </w:rPr>
        <w:t>年度，本单位未收取信息处理费；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2.落实上级年度政务公开工作要点情况。对照《枣庄市202</w:t>
      </w:r>
      <w:r>
        <w:rPr>
          <w:rFonts w:hint="eastAsia" w:ascii="仿宋_GB2312" w:hAnsi="仿宋_GB2312" w:eastAsia="仿宋_GB2312" w:cs="仿宋_GB2312"/>
          <w:spacing w:val="0"/>
          <w:sz w:val="32"/>
          <w:szCs w:val="32"/>
          <w:shd w:val="clear" w:fill="FFFFFF"/>
          <w:lang w:val="en-US" w:eastAsia="zh-CN"/>
        </w:rPr>
        <w:t>3</w:t>
      </w:r>
      <w:r>
        <w:rPr>
          <w:rFonts w:hint="eastAsia" w:ascii="仿宋_GB2312" w:hAnsi="仿宋_GB2312" w:eastAsia="仿宋_GB2312" w:cs="仿宋_GB2312"/>
          <w:spacing w:val="0"/>
          <w:sz w:val="32"/>
          <w:szCs w:val="32"/>
          <w:shd w:val="clear" w:fill="FFFFFF"/>
        </w:rPr>
        <w:t>年政务公开政务公开工作要点》和《滕州市202</w:t>
      </w:r>
      <w:r>
        <w:rPr>
          <w:rFonts w:hint="eastAsia" w:ascii="仿宋_GB2312" w:hAnsi="仿宋_GB2312" w:eastAsia="仿宋_GB2312" w:cs="仿宋_GB2312"/>
          <w:spacing w:val="0"/>
          <w:sz w:val="32"/>
          <w:szCs w:val="32"/>
          <w:shd w:val="clear" w:fill="FFFFFF"/>
          <w:lang w:val="en-US" w:eastAsia="zh-CN"/>
        </w:rPr>
        <w:t>3</w:t>
      </w:r>
      <w:r>
        <w:rPr>
          <w:rFonts w:hint="eastAsia" w:ascii="仿宋_GB2312" w:hAnsi="仿宋_GB2312" w:eastAsia="仿宋_GB2312" w:cs="仿宋_GB2312"/>
          <w:spacing w:val="0"/>
          <w:sz w:val="32"/>
          <w:szCs w:val="32"/>
          <w:shd w:val="clear" w:fill="FFFFFF"/>
        </w:rPr>
        <w:t>年政务公开工作要点》，围绕重点领域信息公开、政策发布解读与回应、政民互动、基层政务公开标准化规范化建设和工作保障和落实逐项明确责任主体和完成时限。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3.人大代表建议和政协提案办理情况方面。202</w:t>
      </w:r>
      <w:r>
        <w:rPr>
          <w:rFonts w:hint="eastAsia" w:ascii="仿宋_GB2312" w:hAnsi="仿宋_GB2312" w:eastAsia="仿宋_GB2312" w:cs="仿宋_GB2312"/>
          <w:spacing w:val="0"/>
          <w:sz w:val="32"/>
          <w:szCs w:val="32"/>
          <w:shd w:val="clear" w:fill="FFFFFF"/>
          <w:lang w:val="en-US" w:eastAsia="zh-CN"/>
        </w:rPr>
        <w:t>3</w:t>
      </w:r>
      <w:r>
        <w:rPr>
          <w:rFonts w:hint="eastAsia" w:ascii="仿宋_GB2312" w:hAnsi="仿宋_GB2312" w:eastAsia="仿宋_GB2312" w:cs="仿宋_GB2312"/>
          <w:spacing w:val="0"/>
          <w:sz w:val="32"/>
          <w:szCs w:val="32"/>
          <w:shd w:val="clear" w:fill="FFFFFF"/>
        </w:rPr>
        <w:t>年，市商务和投资促进局承办人大代表建议</w:t>
      </w:r>
      <w:r>
        <w:rPr>
          <w:rFonts w:hint="eastAsia" w:ascii="仿宋_GB2312" w:hAnsi="仿宋_GB2312" w:eastAsia="仿宋_GB2312" w:cs="仿宋_GB2312"/>
          <w:spacing w:val="0"/>
          <w:sz w:val="32"/>
          <w:szCs w:val="32"/>
          <w:shd w:val="clear" w:fill="FFFFFF"/>
          <w:lang w:val="en-US" w:eastAsia="zh-CN"/>
        </w:rPr>
        <w:t>4</w:t>
      </w:r>
      <w:r>
        <w:rPr>
          <w:rFonts w:hint="eastAsia" w:ascii="仿宋_GB2312" w:hAnsi="仿宋_GB2312" w:eastAsia="仿宋_GB2312" w:cs="仿宋_GB2312"/>
          <w:spacing w:val="0"/>
          <w:sz w:val="32"/>
          <w:szCs w:val="32"/>
          <w:shd w:val="clear" w:fill="FFFFFF"/>
        </w:rPr>
        <w:t>件、政协提案1</w:t>
      </w:r>
      <w:r>
        <w:rPr>
          <w:rFonts w:hint="eastAsia" w:ascii="仿宋_GB2312" w:hAnsi="仿宋_GB2312" w:eastAsia="仿宋_GB2312" w:cs="仿宋_GB2312"/>
          <w:spacing w:val="0"/>
          <w:sz w:val="32"/>
          <w:szCs w:val="32"/>
          <w:shd w:val="clear" w:fill="FFFFFF"/>
          <w:lang w:val="en-US" w:eastAsia="zh-CN"/>
        </w:rPr>
        <w:t>1</w:t>
      </w:r>
      <w:r>
        <w:rPr>
          <w:rFonts w:hint="eastAsia" w:ascii="仿宋_GB2312" w:hAnsi="仿宋_GB2312" w:eastAsia="仿宋_GB2312" w:cs="仿宋_GB2312"/>
          <w:spacing w:val="0"/>
          <w:sz w:val="32"/>
          <w:szCs w:val="32"/>
          <w:shd w:val="clear" w:fill="FFFFFF"/>
        </w:rPr>
        <w:t>件，均已办结；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4.开展政务公开创新方面。开通滕州商务微信公众号，创新政务公开形式。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5.本单位政府信息公开工作年度报告数据统计需要说明的事项：无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04"/>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6.其他有关文件专门要求通过政府信息公开工作年度报告予以报告的事项：无</w:t>
      </w:r>
    </w:p>
    <w:p>
      <w:pPr>
        <w:pStyle w:val="3"/>
        <w:keepNext w:val="0"/>
        <w:keepLines w:val="0"/>
        <w:widowControl/>
        <w:suppressLineNumbers w:val="0"/>
        <w:spacing w:line="630" w:lineRule="atLeast"/>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    7.本报告的电子版可在“中国滕州网”（http://www.tengzhou.gov.cn/）网站查询和下载。如对本报告有任何疑问，请与滕州市商务和投资促进局办公室（研究室）联系。 （地址：山东省滕州市北辛中路政务中心 304房间，联系电话：0632—5888304，电子邮箱：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"mailto:tzzwgk@zz.shandong.cn%EF%BC%89%E3%80%82"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color w:val="333333"/>
          <w:spacing w:val="0"/>
          <w:sz w:val="32"/>
          <w:szCs w:val="32"/>
          <w:shd w:val="clear" w:fill="FFFFFF"/>
        </w:rPr>
        <w:t>tzwjmj@163.com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pacing w:val="0"/>
          <w:sz w:val="32"/>
          <w:szCs w:val="32"/>
          <w:shd w:val="clear" w:fill="FFFFFF"/>
        </w:rPr>
        <w:t>）</w:t>
      </w:r>
    </w:p>
    <w:p>
      <w:pPr>
        <w:pStyle w:val="3"/>
        <w:keepNext w:val="0"/>
        <w:keepLines w:val="0"/>
        <w:widowControl/>
        <w:suppressLineNumbers w:val="0"/>
        <w:spacing w:before="0" w:beforeAutospacing="0" w:after="0" w:afterAutospacing="0" w:line="420" w:lineRule="atLeast"/>
        <w:ind w:left="0" w:firstLine="420"/>
        <w:jc w:val="right"/>
        <w:rPr>
          <w:sz w:val="28"/>
          <w:szCs w:val="28"/>
        </w:rPr>
      </w:pPr>
      <w:r>
        <w:rPr>
          <w:rFonts w:hint="eastAsia" w:ascii="仿宋_GB2312" w:hAnsi="仿宋_GB2312" w:eastAsia="仿宋_GB2312" w:cs="仿宋_GB2312"/>
          <w:sz w:val="32"/>
          <w:szCs w:val="32"/>
        </w:rPr>
        <w:t>   </w:t>
      </w:r>
      <w:r>
        <w:rPr>
          <w:rFonts w:hint="eastAsia" w:ascii="仿宋_GB2312" w:eastAsia="仿宋_GB2312" w:cs="仿宋_GB2312"/>
          <w:sz w:val="28"/>
          <w:szCs w:val="28"/>
        </w:rPr>
        <w:t> </w:t>
      </w:r>
    </w:p>
    <w:p>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D2AB4-0E6E-40B5-91D5-35159A3F70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E33F31-666A-4373-B613-49CC2512EFDF}"/>
  </w:font>
  <w:font w:name="方正小标宋简体">
    <w:panose1 w:val="03000509000000000000"/>
    <w:charset w:val="86"/>
    <w:family w:val="auto"/>
    <w:pitch w:val="default"/>
    <w:sig w:usb0="00000001" w:usb1="080E0000" w:usb2="00000000" w:usb3="00000000" w:csb0="00040000" w:csb1="00000000"/>
    <w:embedRegular r:id="rId3" w:fontKey="{52C2A069-45C6-45E0-924B-06B3B26FFE02}"/>
  </w:font>
  <w:font w:name="仿宋_GB2312">
    <w:panose1 w:val="02010609030101010101"/>
    <w:charset w:val="86"/>
    <w:family w:val="auto"/>
    <w:pitch w:val="default"/>
    <w:sig w:usb0="00000001" w:usb1="080E0000" w:usb2="00000000" w:usb3="00000000" w:csb0="00040000" w:csb1="00000000"/>
    <w:embedRegular r:id="rId4" w:fontKey="{E0206961-C8F0-4984-B4A1-48E88AE8B5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GQ3ZTMyZTZjNTI2ZGJmZDk4NmNiMTkxZDg1NDEifQ=="/>
  </w:docVars>
  <w:rsids>
    <w:rsidRoot w:val="00000000"/>
    <w:rsid w:val="04C3012D"/>
    <w:rsid w:val="04D72BD5"/>
    <w:rsid w:val="0BCF0AAA"/>
    <w:rsid w:val="15602773"/>
    <w:rsid w:val="1B2B0976"/>
    <w:rsid w:val="1BD85D3E"/>
    <w:rsid w:val="1F234F3D"/>
    <w:rsid w:val="206C45C7"/>
    <w:rsid w:val="23690DB1"/>
    <w:rsid w:val="2441618A"/>
    <w:rsid w:val="284952E9"/>
    <w:rsid w:val="2F243AEC"/>
    <w:rsid w:val="337A6C9E"/>
    <w:rsid w:val="364610BA"/>
    <w:rsid w:val="3FDD2AF8"/>
    <w:rsid w:val="44122F0E"/>
    <w:rsid w:val="45464A47"/>
    <w:rsid w:val="46FC1A4C"/>
    <w:rsid w:val="5E1436C8"/>
    <w:rsid w:val="6F74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AppData\Local\Temp\wps.bOHtNo\Chart%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主动公开信息数目</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Sheet1!$A$1:$A$7</c:f>
              <c:strCache>
                <c:ptCount val="7"/>
                <c:pt idx="0">
                  <c:v>通知公告</c:v>
                </c:pt>
                <c:pt idx="1">
                  <c:v>规划计划信息</c:v>
                </c:pt>
                <c:pt idx="2">
                  <c:v>财政信息</c:v>
                </c:pt>
                <c:pt idx="3">
                  <c:v>行政权力信息</c:v>
                </c:pt>
                <c:pt idx="4">
                  <c:v>建议提案信息</c:v>
                </c:pt>
                <c:pt idx="5">
                  <c:v>重点民生信息</c:v>
                </c:pt>
                <c:pt idx="6">
                  <c:v>组织管理信息</c:v>
                </c:pt>
              </c:strCache>
            </c:strRef>
          </c:cat>
          <c:val>
            <c:numRef>
              <c:f>Sheet1!$B$1:$B$7</c:f>
              <c:numCache>
                <c:formatCode>General</c:formatCode>
                <c:ptCount val="7"/>
                <c:pt idx="0">
                  <c:v>3</c:v>
                </c:pt>
                <c:pt idx="1">
                  <c:v>1</c:v>
                </c:pt>
                <c:pt idx="2">
                  <c:v>4</c:v>
                </c:pt>
                <c:pt idx="3">
                  <c:v>2</c:v>
                </c:pt>
                <c:pt idx="4">
                  <c:v>16</c:v>
                </c:pt>
                <c:pt idx="5">
                  <c:v>19</c:v>
                </c:pt>
                <c:pt idx="6">
                  <c:v>10</c:v>
                </c:pt>
              </c:numCache>
            </c:numRef>
          </c:val>
        </c:ser>
        <c:ser>
          <c:idx val="1"/>
          <c:order val="1"/>
          <c:spPr>
            <a:solidFill>
              <a:schemeClr val="accent2"/>
            </a:solidFill>
            <a:ln>
              <a:noFill/>
            </a:ln>
            <a:effectLst/>
          </c:spPr>
          <c:invertIfNegative val="0"/>
          <c:dLbls>
            <c:delete val="1"/>
          </c:dLbls>
          <c:cat>
            <c:strRef>
              <c:f>Sheet1!$A$1:$A$7</c:f>
              <c:strCache>
                <c:ptCount val="7"/>
                <c:pt idx="0">
                  <c:v>通知公告</c:v>
                </c:pt>
                <c:pt idx="1">
                  <c:v>规划计划信息</c:v>
                </c:pt>
                <c:pt idx="2">
                  <c:v>财政信息</c:v>
                </c:pt>
                <c:pt idx="3">
                  <c:v>行政权力信息</c:v>
                </c:pt>
                <c:pt idx="4">
                  <c:v>建议提案信息</c:v>
                </c:pt>
                <c:pt idx="5">
                  <c:v>重点民生信息</c:v>
                </c:pt>
                <c:pt idx="6">
                  <c:v>组织管理信息</c:v>
                </c:pt>
              </c:strCache>
            </c:strRef>
          </c:cat>
          <c:val>
            <c:numRef>
              <c:f>Sheet1!$C$1:$C$7</c:f>
              <c:numCache>
                <c:formatCode>General</c:formatCode>
                <c:ptCount val="7"/>
              </c:numCache>
            </c:numRef>
          </c:val>
        </c:ser>
        <c:dLbls>
          <c:showLegendKey val="0"/>
          <c:showVal val="0"/>
          <c:showCatName val="0"/>
          <c:showSerName val="0"/>
          <c:showPercent val="0"/>
          <c:showBubbleSize val="0"/>
        </c:dLbls>
        <c:gapWidth val="246"/>
        <c:overlap val="-28"/>
        <c:axId val="504934134"/>
        <c:axId val="381001443"/>
      </c:barChart>
      <c:catAx>
        <c:axId val="5049341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001443"/>
        <c:crosses val="autoZero"/>
        <c:auto val="1"/>
        <c:lblAlgn val="ctr"/>
        <c:lblOffset val="100"/>
        <c:noMultiLvlLbl val="0"/>
      </c:catAx>
      <c:valAx>
        <c:axId val="3810014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49341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2581</Words>
  <Characters>2752</Characters>
  <Lines>0</Lines>
  <Paragraphs>0</Paragraphs>
  <TotalTime>28</TotalTime>
  <ScaleCrop>false</ScaleCrop>
  <LinksUpToDate>false</LinksUpToDate>
  <CharactersWithSpaces>2755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2023-02-08T09:33:00Z</dcterms:created>
  <dc:creator>pc</dc:creator>
  <cp:lastModifiedBy>王丽</cp:lastModifiedBy>
  <dcterms:modified xsi:type="dcterms:W3CDTF">2024-01-24T07:55:16Z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7D1E6E7880094ACEA66E5CDEB190A50E_13</vt:lpwstr>
  </property>
</Properties>
</file>