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滕州市发展和改革局</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eastAsia" w:ascii="方正小标宋简体" w:hAnsi="方正小标宋简体" w:eastAsia="方正小标宋简体" w:cs="方正小标宋简体"/>
          <w:sz w:val="44"/>
          <w:szCs w:val="44"/>
        </w:rPr>
        <w:t>年</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jc w:val="center"/>
        <w:textAlignment w:val="auto"/>
        <w:rPr>
          <w:rFonts w:ascii="仿宋_GB2312" w:eastAsia="仿宋_GB2312" w:cs="仿宋_GB2312"/>
          <w:sz w:val="31"/>
          <w:szCs w:val="31"/>
        </w:rPr>
      </w:pPr>
      <w:r>
        <w:rPr>
          <w:rFonts w:hint="eastAsia" w:ascii="方正小标宋简体" w:hAnsi="方正小标宋简体" w:eastAsia="方正小标宋简体" w:cs="方正小标宋简体"/>
          <w:sz w:val="44"/>
          <w:szCs w:val="44"/>
        </w:rPr>
        <w:t>政府信息公开工作年度报告</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ascii="仿宋_GB2312" w:eastAsia="仿宋_GB2312" w:cs="仿宋_GB2312"/>
          <w:sz w:val="31"/>
          <w:szCs w:val="31"/>
        </w:rPr>
      </w:pP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sz w:val="32"/>
          <w:szCs w:val="32"/>
        </w:rPr>
      </w:pPr>
      <w:r>
        <w:rPr>
          <w:rFonts w:ascii="仿宋_GB2312" w:eastAsia="仿宋_GB2312" w:cs="仿宋_GB2312"/>
          <w:sz w:val="31"/>
          <w:szCs w:val="31"/>
        </w:rPr>
        <w:t>根</w:t>
      </w:r>
      <w:r>
        <w:rPr>
          <w:rFonts w:ascii="仿宋_GB2312" w:eastAsia="仿宋_GB2312" w:cs="仿宋_GB2312"/>
          <w:sz w:val="32"/>
          <w:szCs w:val="32"/>
        </w:rPr>
        <w:t>据《中华人民共和国政府信息公开条例》以及省、枣庄市、滕州市政府有关政府信息公开文件要求，结合我局实际，编制并向社会公布滕州市发展和改革局（以下简称市发改局）</w:t>
      </w:r>
      <w:r>
        <w:rPr>
          <w:rFonts w:hint="default" w:ascii="Times New Roman" w:hAnsi="Times New Roman" w:eastAsia="仿宋_GB2312" w:cs="Times New Roman"/>
          <w:sz w:val="32"/>
          <w:szCs w:val="32"/>
        </w:rPr>
        <w:t>2023</w:t>
      </w:r>
      <w:r>
        <w:rPr>
          <w:rFonts w:ascii="仿宋_GB2312" w:eastAsia="仿宋_GB2312" w:cs="仿宋_GB2312"/>
          <w:sz w:val="32"/>
          <w:szCs w:val="32"/>
        </w:rPr>
        <w:t>年政府信息公开工作年度报告。本年度报告中所列数据的统计期限自</w:t>
      </w:r>
      <w:r>
        <w:rPr>
          <w:rFonts w:hint="default" w:ascii="Times New Roman" w:hAnsi="Times New Roman" w:eastAsia="仿宋_GB2312" w:cs="Times New Roman"/>
          <w:sz w:val="32"/>
          <w:szCs w:val="32"/>
        </w:rPr>
        <w:t>2023</w:t>
      </w:r>
      <w:r>
        <w:rPr>
          <w:rFonts w:ascii="仿宋_GB2312" w:eastAsia="仿宋_GB2312" w:cs="仿宋_GB2312"/>
          <w:sz w:val="32"/>
          <w:szCs w:val="32"/>
        </w:rPr>
        <w:t>年</w:t>
      </w:r>
      <w:r>
        <w:rPr>
          <w:rFonts w:hint="default" w:ascii="Times New Roman" w:hAnsi="Times New Roman" w:eastAsia="仿宋_GB2312" w:cs="Times New Roman"/>
          <w:sz w:val="32"/>
          <w:szCs w:val="32"/>
        </w:rPr>
        <w:t>1</w:t>
      </w:r>
      <w:r>
        <w:rPr>
          <w:rFonts w:ascii="仿宋_GB2312" w:eastAsia="仿宋_GB2312" w:cs="仿宋_GB2312"/>
          <w:sz w:val="32"/>
          <w:szCs w:val="32"/>
        </w:rPr>
        <w:t>月</w:t>
      </w:r>
      <w:r>
        <w:rPr>
          <w:rFonts w:hint="default" w:ascii="Times New Roman" w:hAnsi="Times New Roman" w:eastAsia="仿宋_GB2312" w:cs="Times New Roman"/>
          <w:sz w:val="32"/>
          <w:szCs w:val="32"/>
        </w:rPr>
        <w:t>1</w:t>
      </w:r>
      <w:r>
        <w:rPr>
          <w:rFonts w:ascii="仿宋_GB2312" w:eastAsia="仿宋_GB2312" w:cs="仿宋_GB2312"/>
          <w:sz w:val="32"/>
          <w:szCs w:val="32"/>
        </w:rPr>
        <w:t>日起，至</w:t>
      </w:r>
      <w:r>
        <w:rPr>
          <w:rFonts w:hint="default" w:ascii="Times New Roman" w:hAnsi="Times New Roman" w:eastAsia="仿宋_GB2312" w:cs="Times New Roman"/>
          <w:sz w:val="32"/>
          <w:szCs w:val="32"/>
        </w:rPr>
        <w:t>2023</w:t>
      </w:r>
      <w:r>
        <w:rPr>
          <w:rFonts w:ascii="仿宋_GB2312" w:eastAsia="仿宋_GB2312" w:cs="仿宋_GB2312"/>
          <w:sz w:val="32"/>
          <w:szCs w:val="32"/>
        </w:rPr>
        <w:t>年</w:t>
      </w:r>
      <w:r>
        <w:rPr>
          <w:rFonts w:hint="default" w:ascii="Times New Roman" w:hAnsi="Times New Roman" w:eastAsia="仿宋_GB2312" w:cs="Times New Roman"/>
          <w:sz w:val="32"/>
          <w:szCs w:val="32"/>
        </w:rPr>
        <w:t>12</w:t>
      </w:r>
      <w:r>
        <w:rPr>
          <w:rFonts w:ascii="仿宋_GB2312" w:eastAsia="仿宋_GB2312" w:cs="仿宋_GB2312"/>
          <w:sz w:val="32"/>
          <w:szCs w:val="32"/>
        </w:rPr>
        <w:t>月</w:t>
      </w:r>
      <w:r>
        <w:rPr>
          <w:rFonts w:hint="default" w:ascii="Times New Roman" w:hAnsi="Times New Roman" w:eastAsia="仿宋_GB2312" w:cs="Times New Roman"/>
          <w:sz w:val="32"/>
          <w:szCs w:val="32"/>
        </w:rPr>
        <w:t>31</w:t>
      </w:r>
      <w:r>
        <w:rPr>
          <w:rFonts w:ascii="仿宋_GB2312" w:eastAsia="仿宋_GB2312" w:cs="仿宋_GB2312"/>
          <w:sz w:val="32"/>
          <w:szCs w:val="32"/>
        </w:rPr>
        <w:t>日止。</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sz w:val="32"/>
          <w:szCs w:val="32"/>
        </w:rPr>
      </w:pPr>
      <w:r>
        <w:rPr>
          <w:rFonts w:ascii="黑体" w:hAnsi="宋体" w:eastAsia="黑体" w:cs="黑体"/>
          <w:sz w:val="32"/>
          <w:szCs w:val="32"/>
        </w:rPr>
        <w:t>一、总体情况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sz w:val="32"/>
          <w:szCs w:val="32"/>
        </w:rPr>
      </w:pPr>
      <w:r>
        <w:rPr>
          <w:rFonts w:hint="default" w:ascii="Times New Roman" w:hAnsi="Times New Roman" w:eastAsia="仿宋_GB2312" w:cs="Times New Roman"/>
          <w:sz w:val="32"/>
          <w:szCs w:val="32"/>
        </w:rPr>
        <w:t>2023</w:t>
      </w:r>
      <w:r>
        <w:rPr>
          <w:rFonts w:hint="eastAsia" w:ascii="仿宋_GB2312" w:eastAsia="仿宋_GB2312" w:cs="仿宋_GB2312"/>
          <w:sz w:val="32"/>
          <w:szCs w:val="32"/>
        </w:rPr>
        <w:t>年以来，市发改局按照市委、市政府的统一部署，认真贯彻落实《中华人民共和国政府信息公开条例》以及省、枣庄市和滕州市政府关于政府信息公开工作的要求，紧扣发改局工作实际，加强市政府信息公开专栏、门户网站信息公开工作管理，优化政务服务机制，不断提升政府信息公开工作水平。</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color w:val="000000" w:themeColor="text1"/>
          <w:sz w:val="32"/>
          <w:szCs w:val="32"/>
          <w14:textFill>
            <w14:solidFill>
              <w14:schemeClr w14:val="tx1"/>
            </w14:solidFill>
          </w14:textFill>
        </w:rPr>
      </w:pPr>
      <w:r>
        <w:rPr>
          <w:rFonts w:hint="eastAsia" w:ascii="仿宋_GB2312" w:eastAsia="仿宋_GB2312" w:cs="仿宋_GB2312"/>
          <w:sz w:val="32"/>
          <w:szCs w:val="32"/>
        </w:rPr>
        <w:t>市发改局按照市政府办公室《政务公开考核评估指标体系信息保障标准》要求，加强政府信息公开制度建设，规范政府信息公开工作。通过市政府信息公开专栏、局门户网站等多种渠道，主动做好政府信息公开工作。截止</w:t>
      </w:r>
      <w:r>
        <w:rPr>
          <w:rFonts w:hint="default" w:ascii="Times New Roman" w:hAnsi="Times New Roman" w:eastAsia="仿宋_GB2312" w:cs="Times New Roman"/>
          <w:sz w:val="32"/>
          <w:szCs w:val="32"/>
        </w:rPr>
        <w:t>2023</w:t>
      </w:r>
      <w:r>
        <w:rPr>
          <w:rFonts w:hint="eastAsia" w:ascii="仿宋_GB2312" w:eastAsia="仿宋_GB2312" w:cs="仿宋_GB2312"/>
          <w:sz w:val="32"/>
          <w:szCs w:val="32"/>
        </w:rPr>
        <w:t>年</w:t>
      </w:r>
      <w:r>
        <w:rPr>
          <w:rFonts w:hint="default" w:ascii="Times New Roman" w:hAnsi="Times New Roman" w:eastAsia="仿宋_GB2312" w:cs="Times New Roman"/>
          <w:sz w:val="32"/>
          <w:szCs w:val="32"/>
        </w:rPr>
        <w:t>12</w:t>
      </w:r>
      <w:r>
        <w:rPr>
          <w:rFonts w:hint="eastAsia" w:ascii="仿宋_GB2312" w:eastAsia="仿宋_GB2312" w:cs="仿宋_GB2312"/>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14:textFill>
            <w14:solidFill>
              <w14:schemeClr w14:val="tx1"/>
            </w14:solidFill>
          </w14:textFill>
        </w:rPr>
        <w:t>31</w:t>
      </w:r>
      <w:r>
        <w:rPr>
          <w:rFonts w:hint="eastAsia" w:ascii="仿宋_GB2312" w:eastAsia="仿宋_GB2312" w:cs="仿宋_GB2312"/>
          <w:color w:val="000000" w:themeColor="text1"/>
          <w:sz w:val="32"/>
          <w:szCs w:val="32"/>
          <w14:textFill>
            <w14:solidFill>
              <w14:schemeClr w14:val="tx1"/>
            </w14:solidFill>
          </w14:textFill>
        </w:rPr>
        <w:t>日，主动公开政府信息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185</w:t>
      </w:r>
      <w:r>
        <w:rPr>
          <w:rFonts w:hint="eastAsia" w:ascii="仿宋_GB2312" w:eastAsia="仿宋_GB2312" w:cs="仿宋_GB2312"/>
          <w:color w:val="000000" w:themeColor="text1"/>
          <w:sz w:val="32"/>
          <w:szCs w:val="32"/>
          <w14:textFill>
            <w14:solidFill>
              <w14:schemeClr w14:val="tx1"/>
            </w14:solidFill>
          </w14:textFill>
        </w:rPr>
        <w:t>条。其中，通过市政府信息公开专栏主动公开政府信息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57</w:t>
      </w:r>
      <w:r>
        <w:rPr>
          <w:rFonts w:hint="eastAsia" w:ascii="仿宋_GB2312" w:eastAsia="仿宋_GB2312" w:cs="仿宋_GB2312"/>
          <w:color w:val="000000" w:themeColor="text1"/>
          <w:sz w:val="32"/>
          <w:szCs w:val="32"/>
          <w14:textFill>
            <w14:solidFill>
              <w14:schemeClr w14:val="tx1"/>
            </w14:solidFill>
          </w14:textFill>
        </w:rPr>
        <w:t>条，通过局网站主动公开政府信息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128</w:t>
      </w:r>
      <w:r>
        <w:rPr>
          <w:rFonts w:hint="eastAsia" w:ascii="仿宋_GB2312" w:eastAsia="仿宋_GB2312" w:cs="仿宋_GB2312"/>
          <w:color w:val="000000" w:themeColor="text1"/>
          <w:sz w:val="32"/>
          <w:szCs w:val="32"/>
          <w14:textFill>
            <w14:solidFill>
              <w14:schemeClr w14:val="tx1"/>
            </w14:solidFill>
          </w14:textFill>
        </w:rPr>
        <w:t>条。</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eastAsia="仿宋_GB2312" w:cs="仿宋_GB2312"/>
          <w:sz w:val="32"/>
          <w:szCs w:val="32"/>
        </w:rPr>
        <w:t>、及时公开机构概况。根据《中华人民共和国政府信息公开条例》第二十条第（二）款要求，及时更新机关职能、机构设置、办</w:t>
      </w:r>
      <w:r>
        <w:rPr>
          <w:rFonts w:hint="eastAsia" w:ascii="仿宋_GB2312" w:hAnsi="仿宋_GB2312" w:eastAsia="仿宋_GB2312" w:cs="仿宋_GB2312"/>
          <w:sz w:val="32"/>
          <w:szCs w:val="32"/>
        </w:rPr>
        <w:t>公地址、办公时间、联系方式等，并在市政府信息公开专栏和局机关网站公布。</w:t>
      </w:r>
    </w:p>
    <w:p>
      <w:pPr>
        <w:pStyle w:val="3"/>
        <w:keepNext w:val="0"/>
        <w:keepLines w:val="0"/>
        <w:pageBreakBefore w:val="0"/>
        <w:widowControl/>
        <w:suppressLineNumbers w:val="0"/>
        <w:kinsoku/>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93690" cy="2985770"/>
            <wp:effectExtent l="0" t="0" r="16510" b="5080"/>
            <wp:docPr id="2" name="图片 2" descr="f2641a352012970f151dac156ca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2641a352012970f151dac156ca9285"/>
                    <pic:cNvPicPr>
                      <a:picLocks noChangeAspect="1"/>
                    </pic:cNvPicPr>
                  </pic:nvPicPr>
                  <pic:blipFill>
                    <a:blip r:embed="rId4"/>
                    <a:stretch>
                      <a:fillRect/>
                    </a:stretch>
                  </pic:blipFill>
                  <pic:spPr>
                    <a:xfrm>
                      <a:off x="0" y="0"/>
                      <a:ext cx="5393690" cy="2985770"/>
                    </a:xfrm>
                    <a:prstGeom prst="rect">
                      <a:avLst/>
                    </a:prstGeom>
                  </pic:spPr>
                </pic:pic>
              </a:graphicData>
            </a:graphic>
          </wp:inline>
        </w:drawing>
      </w:r>
    </w:p>
    <w:p>
      <w:pPr>
        <w:pStyle w:val="3"/>
        <w:keepNext w:val="0"/>
        <w:keepLines w:val="0"/>
        <w:pageBreakBefore w:val="0"/>
        <w:widowControl/>
        <w:suppressLineNumbers w:val="0"/>
        <w:kinsoku/>
        <w:overflowPunct/>
        <w:topLinePunct w:val="0"/>
        <w:autoSpaceDE/>
        <w:autoSpaceDN/>
        <w:bidi w:val="0"/>
        <w:adjustRightInd/>
        <w:snapToGrid/>
        <w:spacing w:beforeAutospacing="0"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94960" cy="4391660"/>
            <wp:effectExtent l="0" t="0" r="15240" b="8890"/>
            <wp:docPr id="5" name="图片 5" descr="@0LW~)R0J}@Y}E5W0PRJR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LW~)R0J}@Y}E5W0PRJRTK"/>
                    <pic:cNvPicPr>
                      <a:picLocks noChangeAspect="1"/>
                    </pic:cNvPicPr>
                  </pic:nvPicPr>
                  <pic:blipFill>
                    <a:blip r:embed="rId5"/>
                    <a:stretch>
                      <a:fillRect/>
                    </a:stretch>
                  </pic:blipFill>
                  <pic:spPr>
                    <a:xfrm>
                      <a:off x="0" y="0"/>
                      <a:ext cx="5394960" cy="4391660"/>
                    </a:xfrm>
                    <a:prstGeom prst="rect">
                      <a:avLst/>
                    </a:prstGeom>
                  </pic:spPr>
                </pic:pic>
              </a:graphicData>
            </a:graphic>
          </wp:inline>
        </w:drawing>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、及时公开发展规划。结合滕州市实际，及时公开发布《滕州市国民经济和社会发展第十四个五年规划和</w:t>
      </w:r>
      <w:r>
        <w:rPr>
          <w:rFonts w:hint="default" w:ascii="Times New Roman" w:hAnsi="Times New Roman" w:eastAsia="仿宋_GB2312" w:cs="Times New Roman"/>
          <w:sz w:val="32"/>
          <w:szCs w:val="32"/>
        </w:rPr>
        <w:t>2035</w:t>
      </w:r>
      <w:r>
        <w:rPr>
          <w:rFonts w:hint="eastAsia" w:ascii="仿宋_GB2312" w:hAnsi="仿宋_GB2312" w:eastAsia="仿宋_GB2312" w:cs="仿宋_GB2312"/>
          <w:sz w:val="32"/>
          <w:szCs w:val="32"/>
        </w:rPr>
        <w:t>年远景目标纲要》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滕州市</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年国民经济和社会发展计划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等计划规划文件，</w:t>
      </w:r>
      <w:r>
        <w:rPr>
          <w:rFonts w:hint="eastAsia" w:ascii="仿宋_GB2312" w:hAnsi="仿宋_GB2312" w:eastAsia="仿宋_GB2312" w:cs="仿宋_GB2312"/>
          <w:sz w:val="32"/>
          <w:szCs w:val="32"/>
        </w:rPr>
        <w:t>让公众了解。</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240" w:lineRule="auto"/>
        <w:ind w:left="0" w:firstLine="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96230" cy="3728085"/>
            <wp:effectExtent l="0" t="0" r="13970" b="5715"/>
            <wp:docPr id="3" name="图片 3" descr="5a15affa5f265d1ae995d36c64c9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a15affa5f265d1ae995d36c64c98fc"/>
                    <pic:cNvPicPr>
                      <a:picLocks noChangeAspect="1"/>
                    </pic:cNvPicPr>
                  </pic:nvPicPr>
                  <pic:blipFill>
                    <a:blip r:embed="rId6"/>
                    <a:stretch>
                      <a:fillRect/>
                    </a:stretch>
                  </pic:blipFill>
                  <pic:spPr>
                    <a:xfrm>
                      <a:off x="0" y="0"/>
                      <a:ext cx="5396230" cy="3728085"/>
                    </a:xfrm>
                    <a:prstGeom prst="rect">
                      <a:avLst/>
                    </a:prstGeom>
                  </pic:spPr>
                </pic:pic>
              </a:graphicData>
            </a:graphic>
          </wp:inline>
        </w:drawing>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推进行政权力运行公开。一是每季度公开政府工作报告进展情况。对政府工作报告中的重点项目进度、诚信建设、产业振兴工作，在政府信息公开专栏主动公开。二是公开行政执法信息。公开行政执法服务指南、年报，公布行政执法流程图，及时公示行政执法结果信息。</w:t>
      </w:r>
    </w:p>
    <w:p>
      <w:pPr>
        <w:pStyle w:val="3"/>
        <w:keepNext w:val="0"/>
        <w:keepLines w:val="0"/>
        <w:pageBreakBefore w:val="0"/>
        <w:widowControl/>
        <w:suppressLineNumbers w:val="0"/>
        <w:kinsoku/>
        <w:overflowPunct/>
        <w:topLinePunct w:val="0"/>
        <w:autoSpaceDE/>
        <w:autoSpaceDN/>
        <w:bidi w:val="0"/>
        <w:adjustRightInd/>
        <w:snapToGrid/>
        <w:spacing w:beforeAutospacing="0" w:line="24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391785" cy="4556125"/>
            <wp:effectExtent l="0" t="0" r="18415" b="15875"/>
            <wp:docPr id="4" name="图片 4" descr="6581921f258a875c6f2e897c498b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81921f258a875c6f2e897c498b748"/>
                    <pic:cNvPicPr>
                      <a:picLocks noChangeAspect="1"/>
                    </pic:cNvPicPr>
                  </pic:nvPicPr>
                  <pic:blipFill>
                    <a:blip r:embed="rId7"/>
                    <a:stretch>
                      <a:fillRect/>
                    </a:stretch>
                  </pic:blipFill>
                  <pic:spPr>
                    <a:xfrm>
                      <a:off x="0" y="0"/>
                      <a:ext cx="5391785" cy="4556125"/>
                    </a:xfrm>
                    <a:prstGeom prst="rect">
                      <a:avLst/>
                    </a:prstGeom>
                  </pic:spPr>
                </pic:pic>
              </a:graphicData>
            </a:graphic>
          </wp:inline>
        </w:drawing>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（二）依申请公开</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依申请公开情况。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2023</w:t>
      </w:r>
      <w:r>
        <w:rPr>
          <w:rFonts w:hint="eastAsia" w:ascii="仿宋_GB2312" w:hAnsi="仿宋_GB2312" w:eastAsia="仿宋_GB2312" w:cs="仿宋_GB2312"/>
          <w:color w:val="000000" w:themeColor="text1"/>
          <w:sz w:val="32"/>
          <w:szCs w:val="32"/>
          <w:lang w:eastAsia="zh-CN"/>
          <w14:textFill>
            <w14:solidFill>
              <w14:schemeClr w14:val="tx1"/>
            </w14:solidFill>
          </w14:textFill>
        </w:rPr>
        <w:t>年，滕州市发改局共受理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lang w:eastAsia="zh-CN"/>
          <w14:textFill>
            <w14:solidFill>
              <w14:schemeClr w14:val="tx1"/>
            </w14:solidFill>
          </w14:textFill>
        </w:rPr>
        <w:t>件政府信息公开申请，结转上年政府信息公开申请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件，均为自然人提交。</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2</w:t>
      </w:r>
      <w:r>
        <w:rPr>
          <w:rFonts w:hint="eastAsia" w:ascii="仿宋_GB2312" w:hAnsi="仿宋_GB2312" w:eastAsia="仿宋_GB2312" w:cs="仿宋_GB2312"/>
          <w:sz w:val="32"/>
          <w:szCs w:val="32"/>
          <w:lang w:eastAsia="zh-CN"/>
        </w:rPr>
        <w:t>、处理情况。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共答复政府信息公开申请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lang w:eastAsia="zh-CN"/>
          <w14:textFill>
            <w14:solidFill>
              <w14:schemeClr w14:val="tx1"/>
            </w14:solidFill>
          </w14:textFill>
        </w:rPr>
        <w:t>件，按时办结</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34</w:t>
      </w:r>
      <w:r>
        <w:rPr>
          <w:rFonts w:hint="eastAsia" w:ascii="仿宋_GB2312" w:hAnsi="仿宋_GB2312" w:eastAsia="仿宋_GB2312" w:cs="仿宋_GB2312"/>
          <w:color w:val="000000" w:themeColor="text1"/>
          <w:sz w:val="32"/>
          <w:szCs w:val="32"/>
          <w:lang w:eastAsia="zh-CN"/>
          <w14:textFill>
            <w14:solidFill>
              <w14:schemeClr w14:val="tx1"/>
            </w14:solidFill>
          </w14:textFill>
        </w:rPr>
        <w:t>件，按时办结率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100</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%。其中，予以公开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件，不予公开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件，本机关不掌握相关政府信息的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lang w:eastAsia="zh-CN"/>
          <w14:textFill>
            <w14:solidFill>
              <w14:schemeClr w14:val="tx1"/>
            </w14:solidFill>
          </w14:textFill>
        </w:rPr>
        <w:t>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年相比，受理数量增加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件。</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（三）政府信息管理</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发改局按照市政府办公室《政务公开考核评估指标体系信息保障标准》要求，全面梳理了门户网站政务公开目录，收集、整理各类政务公开信息，按照目录要求收集公开信息并在网上公开。同时，发改局适时调整政府信息公开领导小组，加强了对政府信息公开工作和保密审查工作的领导，确保了政府信息公开工作的规范、高效、严肃性。</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（四）政府信息平台建设</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按照上级对政府信息平台建设工作的要求，完善政府信息公开制度</w:t>
      </w:r>
      <w:r>
        <w:rPr>
          <w:rFonts w:hint="eastAsia" w:ascii="仿宋_GB2312" w:hAnsi="仿宋_GB2312" w:eastAsia="仿宋_GB2312" w:cs="仿宋_GB2312"/>
          <w:sz w:val="32"/>
          <w:szCs w:val="32"/>
          <w:highlight w:val="none"/>
          <w:lang w:eastAsia="zh-CN"/>
        </w:rPr>
        <w:t>，政府信息公开</w:t>
      </w:r>
      <w:r>
        <w:rPr>
          <w:rFonts w:hint="eastAsia" w:ascii="仿宋_GB2312" w:hAnsi="仿宋_GB2312" w:eastAsia="仿宋_GB2312" w:cs="仿宋_GB2312"/>
          <w:sz w:val="32"/>
          <w:szCs w:val="32"/>
          <w:highlight w:val="none"/>
          <w:lang w:val="en-US" w:eastAsia="zh-CN"/>
        </w:rPr>
        <w:t>专栏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陈列信息公示牌</w:t>
      </w:r>
      <w:r>
        <w:rPr>
          <w:rFonts w:hint="eastAsia" w:ascii="仿宋_GB2312" w:hAnsi="仿宋_GB2312" w:eastAsia="仿宋_GB2312" w:cs="仿宋_GB2312"/>
          <w:sz w:val="32"/>
          <w:szCs w:val="32"/>
          <w:highlight w:val="none"/>
          <w:lang w:eastAsia="zh-CN"/>
        </w:rPr>
        <w:t>。安排专人负责信息公开的编辑、审核与发布。</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（五）监督保障</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各级政府对信息公开工作要求，进一步强化信息公开工作的组织领导，加强了由主要领导任组长，分管领导任副组长，有关科室负责人为成员的领导小组。将政府信息公开办公室设置在局办公室，统一协调工作。成立政府信息公开办公室。按照计划进行业务培训。</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年，市发改局未发生因政府信息公开审查不当或保密审查机构未履行保密审查职责而引起的失泄密情况。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年度未进行社会评议，未发生责任追究情况。</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left="0" w:firstLine="645"/>
        <w:textAlignment w:val="auto"/>
      </w:pPr>
      <w:r>
        <w:rPr>
          <w:rFonts w:hint="eastAsia" w:ascii="黑体" w:hAnsi="宋体" w:eastAsia="黑体" w:cs="黑体"/>
          <w:spacing w:val="0"/>
          <w:sz w:val="32"/>
          <w:szCs w:val="32"/>
          <w:shd w:val="clear" w:fill="FFFFFF"/>
        </w:rPr>
        <w:t>二、主动公开政府信息情况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115"/>
        <w:gridCol w:w="2130"/>
        <w:gridCol w:w="2130"/>
        <w:gridCol w:w="214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10" w:hRule="atLeast"/>
          <w:jc w:val="center"/>
        </w:trPr>
        <w:tc>
          <w:tcPr>
            <w:tcW w:w="8520"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8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21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本年制发件数</w:t>
            </w:r>
          </w:p>
        </w:tc>
        <w:tc>
          <w:tcPr>
            <w:tcW w:w="21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本年废止件数</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规章</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val="en-US"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行政规范性文件</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c>
          <w:tcPr>
            <w:tcW w:w="21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1"/>
                <w:szCs w:val="21"/>
                <w:lang w:eastAsia="zh-CN"/>
              </w:rPr>
            </w:pPr>
            <w:r>
              <w:rPr>
                <w:rFonts w:hint="default" w:ascii="Times New Roman" w:hAnsi="Times New Roman" w:eastAsia="仿宋_GB2312" w:cs="Times New Roman"/>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95" w:hRule="atLeast"/>
          <w:jc w:val="center"/>
        </w:trPr>
        <w:tc>
          <w:tcPr>
            <w:tcW w:w="8520"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4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行政许可</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eastAsiaTheme="minorEastAsia"/>
                <w:sz w:val="21"/>
                <w:szCs w:val="21"/>
                <w:lang w:eastAsia="zh-CN"/>
              </w:rPr>
            </w:pPr>
            <w:r>
              <w:rPr>
                <w:rFonts w:hint="default" w:ascii="Times New Roman" w:hAnsi="Times New Roman" w:eastAsia="仿宋_GB2312" w:cs="Times New Roman"/>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555" w:hRule="atLeast"/>
          <w:jc w:val="center"/>
        </w:trPr>
        <w:tc>
          <w:tcPr>
            <w:tcW w:w="85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2115" w:type="dxa"/>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nil"/>
              <w:left w:val="nil"/>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4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行政处罚</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eastAsiaTheme="minorEastAsia"/>
                <w:sz w:val="21"/>
                <w:szCs w:val="21"/>
                <w:lang w:val="en-US" w:eastAsia="zh-CN"/>
              </w:rPr>
            </w:pPr>
            <w:r>
              <w:rPr>
                <w:rFonts w:hint="default" w:ascii="Times New Roman" w:hAnsi="Times New Roman" w:eastAsia="仿宋_GB2312" w:cs="Times New Roman"/>
                <w:sz w:val="21"/>
                <w:szCs w:val="21"/>
                <w:lang w:val="en-US" w:eastAsia="zh-CN"/>
              </w:rPr>
              <w:t>24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35"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行政强制</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21"/>
                <w:szCs w:val="21"/>
              </w:rPr>
            </w:pPr>
            <w:r>
              <w:rPr>
                <w:rFonts w:hint="default" w:ascii="Times New Roman" w:hAnsi="Times New Roman" w:eastAsia="仿宋_GB2312" w:cs="Times New Roman"/>
                <w:sz w:val="21"/>
                <w:szCs w:val="21"/>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20" w:hRule="atLeast"/>
          <w:jc w:val="center"/>
        </w:trPr>
        <w:tc>
          <w:tcPr>
            <w:tcW w:w="8520" w:type="dxa"/>
            <w:gridSpan w:val="4"/>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黑体" w:hAnsi="宋体" w:eastAsia="黑体" w:cs="黑体"/>
                <w:sz w:val="21"/>
                <w:szCs w:val="21"/>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jc w:val="center"/>
        </w:trPr>
        <w:tc>
          <w:tcPr>
            <w:tcW w:w="2115" w:type="dxa"/>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信息内容</w:t>
            </w:r>
          </w:p>
        </w:tc>
        <w:tc>
          <w:tcPr>
            <w:tcW w:w="6390" w:type="dxa"/>
            <w:gridSpan w:val="3"/>
            <w:tcBorders>
              <w:top w:val="nil"/>
              <w:left w:val="nil"/>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0" w:hRule="atLeast"/>
          <w:jc w:val="center"/>
        </w:trPr>
        <w:tc>
          <w:tcPr>
            <w:tcW w:w="21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eastAsia" w:ascii="仿宋_GB2312" w:eastAsia="仿宋_GB2312" w:cs="仿宋_GB2312"/>
                <w:sz w:val="21"/>
                <w:szCs w:val="21"/>
              </w:rPr>
              <w:t>行政事业性收费</w:t>
            </w:r>
          </w:p>
        </w:tc>
        <w:tc>
          <w:tcPr>
            <w:tcW w:w="6390" w:type="dxa"/>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sz w:val="21"/>
                <w:szCs w:val="21"/>
              </w:rPr>
            </w:pPr>
            <w:r>
              <w:rPr>
                <w:rFonts w:hint="default" w:ascii="Times New Roman" w:hAnsi="Times New Roman" w:eastAsia="仿宋_GB2312" w:cs="Times New Roman"/>
                <w:sz w:val="21"/>
                <w:szCs w:val="21"/>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left="0" w:firstLine="645"/>
        <w:textAlignment w:val="auto"/>
        <w:rPr>
          <w:sz w:val="32"/>
          <w:szCs w:val="32"/>
        </w:rPr>
      </w:pPr>
      <w:r>
        <w:rPr>
          <w:rFonts w:hint="eastAsia" w:ascii="黑体" w:hAnsi="宋体" w:eastAsia="黑体" w:cs="黑体"/>
          <w:spacing w:val="0"/>
          <w:sz w:val="32"/>
          <w:szCs w:val="32"/>
          <w:shd w:val="clear" w:fill="FFFFFF"/>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30"/>
        <w:gridCol w:w="1225"/>
        <w:gridCol w:w="2118"/>
        <w:gridCol w:w="791"/>
        <w:gridCol w:w="581"/>
        <w:gridCol w:w="5"/>
        <w:gridCol w:w="571"/>
        <w:gridCol w:w="765"/>
        <w:gridCol w:w="718"/>
        <w:gridCol w:w="562"/>
        <w:gridCol w:w="74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397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楷体_GB2312" w:hAnsi="黑体" w:eastAsia="楷体_GB2312"/>
                <w:color w:val="000000" w:themeColor="text1"/>
                <w:kern w:val="0"/>
                <w:sz w:val="21"/>
                <w:szCs w:val="21"/>
                <w14:textFill>
                  <w14:solidFill>
                    <w14:schemeClr w14:val="tx1"/>
                  </w14:solidFill>
                </w14:textFill>
              </w:rPr>
            </w:pPr>
            <w:r>
              <w:rPr>
                <w:rFonts w:hint="eastAsia" w:ascii="楷体_GB2312" w:hAnsi="黑体" w:eastAsia="楷体_GB2312"/>
                <w:color w:val="000000" w:themeColor="text1"/>
                <w:kern w:val="0"/>
                <w:sz w:val="21"/>
                <w:szCs w:val="21"/>
                <w14:textFill>
                  <w14:solidFill>
                    <w14:schemeClr w14:val="tx1"/>
                  </w14:solidFill>
                </w14:textFill>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楷体_GB2312" w:hAnsi="黑体" w:eastAsia="楷体_GB2312"/>
                <w:color w:val="000000" w:themeColor="text1"/>
                <w:kern w:val="0"/>
                <w:sz w:val="21"/>
                <w:szCs w:val="21"/>
                <w14:textFill>
                  <w14:solidFill>
                    <w14:schemeClr w14:val="tx1"/>
                  </w14:solidFill>
                </w14:textFill>
              </w:rPr>
              <w:t>等于第三项加第四项之和）</w:t>
            </w:r>
          </w:p>
        </w:tc>
        <w:tc>
          <w:tcPr>
            <w:tcW w:w="4741" w:type="dxa"/>
            <w:gridSpan w:val="8"/>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jc w:val="center"/>
        </w:trPr>
        <w:tc>
          <w:tcPr>
            <w:tcW w:w="3973" w:type="dxa"/>
            <w:gridSpan w:val="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791"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自然人</w:t>
            </w:r>
          </w:p>
        </w:tc>
        <w:tc>
          <w:tcPr>
            <w:tcW w:w="3202" w:type="dxa"/>
            <w:gridSpan w:val="6"/>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法人或其他组织</w:t>
            </w:r>
          </w:p>
        </w:tc>
        <w:tc>
          <w:tcPr>
            <w:tcW w:w="74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3973" w:type="dxa"/>
            <w:gridSpan w:val="3"/>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791"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firstLineChars="0"/>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商业企业</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科研机构</w:t>
            </w:r>
          </w:p>
        </w:tc>
        <w:tc>
          <w:tcPr>
            <w:tcW w:w="76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right="-107" w:rightChars="-51"/>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社会公益组织</w:t>
            </w:r>
          </w:p>
        </w:tc>
        <w:tc>
          <w:tcPr>
            <w:tcW w:w="7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6" w:leftChars="-51" w:right="-107" w:rightChars="-51" w:hanging="1" w:firstLineChars="0"/>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法律服务机构</w:t>
            </w:r>
          </w:p>
        </w:tc>
        <w:tc>
          <w:tcPr>
            <w:tcW w:w="56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3" w:leftChars="-30" w:right="-134" w:rightChars="-64"/>
              <w:jc w:val="center"/>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其他</w:t>
            </w:r>
          </w:p>
        </w:tc>
        <w:tc>
          <w:tcPr>
            <w:tcW w:w="74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color w:val="000000" w:themeColor="text1"/>
                <w:sz w:val="21"/>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3973"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一、本年新收政府信息公开申请数量</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34</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3973"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二、上年结转政府信息公开申请数量</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三、本年度办理结果</w:t>
            </w:r>
          </w:p>
        </w:tc>
        <w:tc>
          <w:tcPr>
            <w:tcW w:w="334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（一）予以公开</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eastAsiaTheme="minorEastAsia"/>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w:t>
            </w:r>
          </w:p>
        </w:tc>
        <w:tc>
          <w:tcPr>
            <w:tcW w:w="58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eastAsiaTheme="minorEastAsia"/>
                <w:color w:val="000000" w:themeColor="text1"/>
                <w:sz w:val="21"/>
                <w:szCs w:val="21"/>
                <w:lang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3343"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（二）部分公开（区分处理的，只计这一情形，不计其他情形）</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（三）不予公开</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.属于国家秘密</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.其他法律行政法规禁止公开</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.危及“三安全一稳定”</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4</w:t>
            </w:r>
            <w:r>
              <w:rPr>
                <w:rFonts w:hint="eastAsia" w:ascii="仿宋_GB2312" w:hAnsi="黑体" w:eastAsia="仿宋_GB2312"/>
                <w:color w:val="000000" w:themeColor="text1"/>
                <w:kern w:val="0"/>
                <w:sz w:val="21"/>
                <w:szCs w:val="21"/>
                <w14:textFill>
                  <w14:solidFill>
                    <w14:schemeClr w14:val="tx1"/>
                  </w14:solidFill>
                </w14:textFill>
              </w:rPr>
              <w:t>.保护第三方合法权益</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5</w:t>
            </w:r>
            <w:r>
              <w:rPr>
                <w:rFonts w:hint="eastAsia" w:ascii="仿宋_GB2312" w:hAnsi="黑体" w:eastAsia="仿宋_GB2312"/>
                <w:color w:val="000000" w:themeColor="text1"/>
                <w:kern w:val="0"/>
                <w:sz w:val="21"/>
                <w:szCs w:val="21"/>
                <w14:textFill>
                  <w14:solidFill>
                    <w14:schemeClr w14:val="tx1"/>
                  </w14:solidFill>
                </w14:textFill>
              </w:rPr>
              <w:t>.属于三类内部事务信息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6</w:t>
            </w:r>
            <w:r>
              <w:rPr>
                <w:rFonts w:hint="eastAsia" w:ascii="仿宋_GB2312" w:hAnsi="黑体" w:eastAsia="仿宋_GB2312"/>
                <w:color w:val="000000" w:themeColor="text1"/>
                <w:kern w:val="0"/>
                <w:sz w:val="21"/>
                <w:szCs w:val="21"/>
                <w14:textFill>
                  <w14:solidFill>
                    <w14:schemeClr w14:val="tx1"/>
                  </w14:solidFill>
                </w14:textFill>
              </w:rPr>
              <w:t>.属于四类过程性信息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7</w:t>
            </w:r>
            <w:r>
              <w:rPr>
                <w:rFonts w:hint="eastAsia" w:ascii="仿宋_GB2312" w:hAnsi="黑体" w:eastAsia="仿宋_GB2312"/>
                <w:color w:val="000000" w:themeColor="text1"/>
                <w:kern w:val="0"/>
                <w:sz w:val="21"/>
                <w:szCs w:val="21"/>
                <w14:textFill>
                  <w14:solidFill>
                    <w14:schemeClr w14:val="tx1"/>
                  </w14:solidFill>
                </w14:textFill>
              </w:rPr>
              <w:t>.属于行政执法案卷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8</w:t>
            </w:r>
            <w:r>
              <w:rPr>
                <w:rFonts w:hint="eastAsia" w:ascii="仿宋_GB2312" w:hAnsi="黑体" w:eastAsia="仿宋_GB2312"/>
                <w:color w:val="000000" w:themeColor="text1"/>
                <w:kern w:val="0"/>
                <w:sz w:val="21"/>
                <w:szCs w:val="21"/>
                <w14:textFill>
                  <w14:solidFill>
                    <w14:schemeClr w14:val="tx1"/>
                  </w14:solidFill>
                </w14:textFill>
              </w:rPr>
              <w:t>.属于行政查询事项</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（四）无法提供</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.本机关不掌握相关政府信息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28</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28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.没有现成信息需要另行制作</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.补正后申请内容仍不明确</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7" w:leftChars="-51"/>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（五）不予处理</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1</w:t>
            </w:r>
            <w:r>
              <w:rPr>
                <w:rFonts w:hint="eastAsia" w:ascii="仿宋_GB2312" w:hAnsi="黑体" w:eastAsia="仿宋_GB2312"/>
                <w:color w:val="000000" w:themeColor="text1"/>
                <w:kern w:val="0"/>
                <w:sz w:val="21"/>
                <w:szCs w:val="21"/>
                <w14:textFill>
                  <w14:solidFill>
                    <w14:schemeClr w14:val="tx1"/>
                  </w14:solidFill>
                </w14:textFill>
              </w:rPr>
              <w:t>.信访举报投诉类申请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2</w:t>
            </w:r>
            <w:r>
              <w:rPr>
                <w:rFonts w:hint="eastAsia" w:ascii="仿宋_GB2312" w:hAnsi="黑体" w:eastAsia="仿宋_GB2312"/>
                <w:color w:val="000000" w:themeColor="text1"/>
                <w:kern w:val="0"/>
                <w:sz w:val="21"/>
                <w:szCs w:val="21"/>
                <w14:textFill>
                  <w14:solidFill>
                    <w14:schemeClr w14:val="tx1"/>
                  </w14:solidFill>
                </w14:textFill>
              </w:rPr>
              <w:t>.重复申请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3</w:t>
            </w:r>
            <w:r>
              <w:rPr>
                <w:rFonts w:hint="eastAsia" w:ascii="仿宋_GB2312" w:hAnsi="黑体" w:eastAsia="仿宋_GB2312"/>
                <w:color w:val="000000" w:themeColor="text1"/>
                <w:kern w:val="0"/>
                <w:sz w:val="21"/>
                <w:szCs w:val="21"/>
                <w14:textFill>
                  <w14:solidFill>
                    <w14:schemeClr w14:val="tx1"/>
                  </w14:solidFill>
                </w14:textFill>
              </w:rPr>
              <w:t>.要求提供公开出版物</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705"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4</w:t>
            </w:r>
            <w:r>
              <w:rPr>
                <w:rFonts w:hint="eastAsia" w:ascii="仿宋_GB2312" w:hAnsi="黑体" w:eastAsia="仿宋_GB2312"/>
                <w:color w:val="000000" w:themeColor="text1"/>
                <w:kern w:val="0"/>
                <w:sz w:val="21"/>
                <w:szCs w:val="21"/>
                <w14:textFill>
                  <w14:solidFill>
                    <w14:schemeClr w14:val="tx1"/>
                  </w14:solidFill>
                </w14:textFill>
              </w:rPr>
              <w:t>.无正当理由大量反复申请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黑体" w:eastAsia="仿宋_GB2312"/>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5</w:t>
            </w:r>
            <w:r>
              <w:rPr>
                <w:rFonts w:hint="eastAsia" w:ascii="仿宋_GB2312" w:hAnsi="黑体" w:eastAsia="仿宋_GB2312"/>
                <w:color w:val="000000" w:themeColor="text1"/>
                <w:kern w:val="0"/>
                <w:sz w:val="21"/>
                <w:szCs w:val="21"/>
                <w14:textFill>
                  <w14:solidFill>
                    <w14:schemeClr w14:val="tx1"/>
                  </w14:solidFill>
                </w14:textFill>
              </w:rPr>
              <w:t>.要求行政机关确认或重新</w:t>
            </w:r>
          </w:p>
          <w:p>
            <w:pPr>
              <w:keepNext w:val="0"/>
              <w:keepLines w:val="0"/>
              <w:pageBreakBefore w:val="0"/>
              <w:widowControl/>
              <w:kinsoku/>
              <w:wordWrap/>
              <w:overflowPunct/>
              <w:topLinePunct w:val="0"/>
              <w:autoSpaceDE/>
              <w:autoSpaceDN/>
              <w:bidi w:val="0"/>
              <w:adjustRightInd/>
              <w:snapToGrid/>
              <w:spacing w:line="600" w:lineRule="exact"/>
              <w:ind w:firstLine="210" w:firstLineChars="100"/>
              <w:textAlignment w:val="auto"/>
              <w:rPr>
                <w:color w:val="000000" w:themeColor="text1"/>
                <w:sz w:val="21"/>
                <w:szCs w:val="21"/>
                <w14:textFill>
                  <w14:solidFill>
                    <w14:schemeClr w14:val="tx1"/>
                  </w14:solidFill>
                </w14:textFill>
              </w:rPr>
            </w:pPr>
            <w:r>
              <w:rPr>
                <w:rFonts w:hint="eastAsia" w:ascii="仿宋_GB2312" w:hAnsi="黑体" w:eastAsia="仿宋_GB2312"/>
                <w:color w:val="000000" w:themeColor="text1"/>
                <w:kern w:val="0"/>
                <w:sz w:val="21"/>
                <w:szCs w:val="21"/>
                <w14:textFill>
                  <w14:solidFill>
                    <w14:schemeClr w14:val="tx1"/>
                  </w14:solidFill>
                </w14:textFill>
              </w:rPr>
              <w:t>出具已获取信息</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（六）其他处理</w:t>
            </w: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1</w:t>
            </w:r>
            <w:r>
              <w:rPr>
                <w:rFonts w:hint="eastAsia" w:ascii="仿宋_GB2312" w:hAnsi="楷体" w:eastAsia="仿宋_GB2312"/>
                <w:color w:val="000000" w:themeColor="text1"/>
                <w:sz w:val="21"/>
                <w:szCs w:val="21"/>
                <w14:textFill>
                  <w14:solidFill>
                    <w14:schemeClr w14:val="tx1"/>
                  </w14:solidFill>
                </w14:textFill>
              </w:rPr>
              <w:t>.申请人无正当理由逾期不补正、行政机关不再处理其政府信息公开申请</w:t>
            </w:r>
          </w:p>
        </w:tc>
        <w:tc>
          <w:tcPr>
            <w:tcW w:w="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2</w:t>
            </w:r>
            <w:r>
              <w:rPr>
                <w:rFonts w:hint="eastAsia" w:ascii="仿宋_GB2312" w:hAnsi="楷体" w:eastAsia="仿宋_GB2312"/>
                <w:color w:val="000000" w:themeColor="text1"/>
                <w:sz w:val="21"/>
                <w:szCs w:val="21"/>
                <w14:textFill>
                  <w14:solidFill>
                    <w14:schemeClr w14:val="tx1"/>
                  </w14:solidFill>
                </w14:textFill>
              </w:rPr>
              <w:t>.申请人逾期未按收费通知要求缴纳费用、行政机关不再处理其政府信息公开申请</w:t>
            </w:r>
          </w:p>
        </w:tc>
        <w:tc>
          <w:tcPr>
            <w:tcW w:w="79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nil"/>
              <w:left w:val="nil"/>
              <w:bottom w:val="single" w:color="auto" w:sz="4"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122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2118" w:type="dxa"/>
            <w:tcBorders>
              <w:top w:val="nil"/>
              <w:left w:val="nil"/>
              <w:bottom w:val="single" w:color="auto" w:sz="6"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14:textFill>
                  <w14:solidFill>
                    <w14:schemeClr w14:val="tx1"/>
                  </w14:solidFill>
                </w14:textFill>
              </w:rPr>
              <w:t>3</w:t>
            </w:r>
            <w:r>
              <w:rPr>
                <w:rFonts w:hint="eastAsia" w:ascii="仿宋_GB2312" w:hAnsi="楷体" w:eastAsia="仿宋_GB2312"/>
                <w:color w:val="000000" w:themeColor="text1"/>
                <w:sz w:val="21"/>
                <w:szCs w:val="21"/>
                <w14:textFill>
                  <w14:solidFill>
                    <w14:schemeClr w14:val="tx1"/>
                  </w14:solidFill>
                </w14:textFill>
              </w:rPr>
              <w:t>.其他</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63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p>
        </w:tc>
        <w:tc>
          <w:tcPr>
            <w:tcW w:w="3343" w:type="dxa"/>
            <w:gridSpan w:val="2"/>
            <w:tcBorders>
              <w:top w:val="nil"/>
              <w:left w:val="nil"/>
              <w:bottom w:val="single" w:color="auto" w:sz="6"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（七）总计</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34</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eastAsiaTheme="minorEastAsia"/>
                <w:color w:val="000000" w:themeColor="text1"/>
                <w:sz w:val="21"/>
                <w:szCs w:val="21"/>
                <w:lang w:val="en-US" w:eastAsia="zh-CN"/>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jc w:val="center"/>
        </w:trPr>
        <w:tc>
          <w:tcPr>
            <w:tcW w:w="3973" w:type="dxa"/>
            <w:gridSpan w:val="3"/>
            <w:tcBorders>
              <w:top w:val="nil"/>
              <w:left w:val="single" w:color="auto" w:sz="6" w:space="0"/>
              <w:bottom w:val="single" w:color="auto" w:sz="6"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color w:val="000000" w:themeColor="text1"/>
                <w:sz w:val="21"/>
                <w:szCs w:val="21"/>
                <w14:textFill>
                  <w14:solidFill>
                    <w14:schemeClr w14:val="tx1"/>
                  </w14:solidFill>
                </w14:textFill>
              </w:rPr>
            </w:pPr>
            <w:r>
              <w:rPr>
                <w:rFonts w:hint="eastAsia" w:ascii="黑体" w:hAnsi="黑体" w:eastAsia="黑体"/>
                <w:color w:val="000000" w:themeColor="text1"/>
                <w:kern w:val="0"/>
                <w:sz w:val="21"/>
                <w:szCs w:val="21"/>
                <w14:textFill>
                  <w14:solidFill>
                    <w14:schemeClr w14:val="tx1"/>
                  </w14:solidFill>
                </w14:textFill>
              </w:rPr>
              <w:t>四、结转下年度继续办理</w:t>
            </w:r>
          </w:p>
        </w:tc>
        <w:tc>
          <w:tcPr>
            <w:tcW w:w="79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8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76"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5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c>
          <w:tcPr>
            <w:tcW w:w="74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color w:val="000000" w:themeColor="text1"/>
                <w:sz w:val="21"/>
                <w:szCs w:val="21"/>
                <w14:textFill>
                  <w14:solidFill>
                    <w14:schemeClr w14:val="tx1"/>
                  </w14:solidFill>
                </w14:textFill>
              </w:rPr>
            </w:pP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firstLine="640" w:firstLineChars="200"/>
        <w:jc w:val="left"/>
        <w:textAlignment w:val="auto"/>
        <w:rPr>
          <w:sz w:val="32"/>
          <w:szCs w:val="32"/>
        </w:rPr>
      </w:pPr>
      <w:r>
        <w:rPr>
          <w:rFonts w:hint="eastAsia" w:ascii="黑体" w:hAnsi="宋体" w:eastAsia="黑体" w:cs="黑体"/>
          <w:sz w:val="32"/>
          <w:szCs w:val="32"/>
          <w:shd w:val="clear" w:fill="FFFFFF"/>
        </w:rPr>
        <w:t>四、因政府信息公开工作被申请行政复议、提起行政诉讼情况</w:t>
      </w:r>
      <w:bookmarkStart w:id="0" w:name="_GoBack"/>
      <w:bookmarkEnd w:id="0"/>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579"/>
        <w:gridCol w:w="579"/>
        <w:gridCol w:w="579"/>
        <w:gridCol w:w="579"/>
        <w:gridCol w:w="631"/>
        <w:gridCol w:w="528"/>
        <w:gridCol w:w="582"/>
        <w:gridCol w:w="582"/>
        <w:gridCol w:w="582"/>
        <w:gridCol w:w="582"/>
        <w:gridCol w:w="581"/>
        <w:gridCol w:w="582"/>
        <w:gridCol w:w="582"/>
        <w:gridCol w:w="583"/>
        <w:gridCol w:w="5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947"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行政复议</w:t>
            </w:r>
          </w:p>
        </w:tc>
        <w:tc>
          <w:tcPr>
            <w:tcW w:w="5767"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79"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结果</w:t>
            </w:r>
          </w:p>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维持</w:t>
            </w:r>
          </w:p>
        </w:tc>
        <w:tc>
          <w:tcPr>
            <w:tcW w:w="579" w:type="dxa"/>
            <w:vMerge w:val="restart"/>
            <w:tcBorders>
              <w:top w:val="nil"/>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firstLineChars="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结果纠正</w:t>
            </w:r>
          </w:p>
        </w:tc>
        <w:tc>
          <w:tcPr>
            <w:tcW w:w="579"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其他结果</w:t>
            </w:r>
          </w:p>
        </w:tc>
        <w:tc>
          <w:tcPr>
            <w:tcW w:w="579"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尚未</w:t>
            </w:r>
          </w:p>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审结</w:t>
            </w:r>
          </w:p>
        </w:tc>
        <w:tc>
          <w:tcPr>
            <w:tcW w:w="631" w:type="dxa"/>
            <w:vMerge w:val="restart"/>
            <w:tcBorders>
              <w:top w:val="single" w:color="auto" w:sz="6" w:space="0"/>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kern w:val="0"/>
                <w:sz w:val="21"/>
                <w:szCs w:val="21"/>
              </w:rPr>
              <w:t>计</w:t>
            </w:r>
          </w:p>
        </w:tc>
        <w:tc>
          <w:tcPr>
            <w:tcW w:w="2856"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未经复议直接起诉</w:t>
            </w:r>
          </w:p>
        </w:tc>
        <w:tc>
          <w:tcPr>
            <w:tcW w:w="29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579"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79"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631" w:type="dxa"/>
            <w:vMerge w:val="continue"/>
            <w:tcBorders>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000000" w:themeColor="text1"/>
                <w:sz w:val="21"/>
                <w:szCs w:val="21"/>
                <w14:textFill>
                  <w14:solidFill>
                    <w14:schemeClr w14:val="tx1"/>
                  </w14:solidFill>
                </w14:textFill>
              </w:rPr>
            </w:pPr>
          </w:p>
        </w:tc>
        <w:tc>
          <w:tcPr>
            <w:tcW w:w="5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结果维持</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结果纠正</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其他</w:t>
            </w:r>
          </w:p>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尚未</w:t>
            </w:r>
          </w:p>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hint="eastAsia" w:ascii="黑体" w:hAnsi="黑体" w:eastAsia="黑体" w:cs="黑体"/>
                <w:sz w:val="21"/>
                <w:szCs w:val="21"/>
              </w:rPr>
            </w:pPr>
            <w:r>
              <w:rPr>
                <w:rFonts w:hint="eastAsia" w:ascii="黑体" w:hAnsi="黑体" w:eastAsia="黑体" w:cs="黑体"/>
                <w:kern w:val="0"/>
                <w:sz w:val="21"/>
                <w:szCs w:val="21"/>
              </w:rPr>
              <w:t>审结</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总计</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结果维持</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结果</w:t>
            </w:r>
          </w:p>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hint="eastAsia" w:ascii="黑体" w:hAnsi="黑体" w:eastAsia="黑体" w:cs="黑体"/>
                <w:sz w:val="21"/>
                <w:szCs w:val="21"/>
              </w:rPr>
            </w:pPr>
            <w:r>
              <w:rPr>
                <w:rFonts w:hint="eastAsia" w:ascii="黑体" w:hAnsi="黑体" w:eastAsia="黑体" w:cs="黑体"/>
                <w:kern w:val="0"/>
                <w:sz w:val="21"/>
                <w:szCs w:val="21"/>
              </w:rPr>
              <w:t>纠正</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hint="eastAsia" w:ascii="黑体" w:hAnsi="黑体" w:eastAsia="黑体" w:cs="黑体"/>
                <w:kern w:val="0"/>
                <w:sz w:val="21"/>
                <w:szCs w:val="21"/>
              </w:rPr>
            </w:pPr>
            <w:r>
              <w:rPr>
                <w:rFonts w:hint="eastAsia" w:ascii="黑体" w:hAnsi="黑体" w:eastAsia="黑体" w:cs="黑体"/>
                <w:kern w:val="0"/>
                <w:sz w:val="21"/>
                <w:szCs w:val="21"/>
              </w:rPr>
              <w:t>其他</w:t>
            </w:r>
          </w:p>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firstLineChars="0"/>
              <w:jc w:val="center"/>
              <w:textAlignment w:val="auto"/>
              <w:rPr>
                <w:rFonts w:hint="eastAsia" w:ascii="黑体" w:hAnsi="黑体" w:eastAsia="黑体" w:cs="黑体"/>
                <w:sz w:val="21"/>
                <w:szCs w:val="21"/>
              </w:rPr>
            </w:pPr>
            <w:r>
              <w:rPr>
                <w:rFonts w:hint="eastAsia" w:ascii="黑体" w:hAnsi="黑体" w:eastAsia="黑体" w:cs="黑体"/>
                <w:kern w:val="0"/>
                <w:sz w:val="21"/>
                <w:szCs w:val="21"/>
              </w:rPr>
              <w:t>结果</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hint="eastAsia" w:ascii="黑体" w:hAnsi="黑体" w:eastAsia="黑体" w:cs="黑体"/>
                <w:sz w:val="21"/>
                <w:szCs w:val="21"/>
              </w:rPr>
            </w:pPr>
            <w:r>
              <w:rPr>
                <w:rFonts w:hint="eastAsia" w:ascii="黑体" w:hAnsi="黑体" w:eastAsia="黑体" w:cs="黑体"/>
                <w:kern w:val="0"/>
                <w:sz w:val="21"/>
                <w:szCs w:val="21"/>
              </w:rPr>
              <w:t>尚未审结</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21"/>
                <w:szCs w:val="21"/>
              </w:rPr>
            </w:pPr>
            <w:r>
              <w:rPr>
                <w:rFonts w:hint="eastAsia" w:ascii="黑体" w:hAnsi="黑体" w:eastAsia="黑体" w:cs="黑体"/>
                <w:kern w:val="0"/>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90" w:hRule="atLeast"/>
          <w:jc w:val="center"/>
        </w:trPr>
        <w:tc>
          <w:tcPr>
            <w:tcW w:w="579" w:type="dxa"/>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79" w:type="dxa"/>
            <w:tcBorders>
              <w:top w:val="nil"/>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631" w:type="dxa"/>
            <w:tcBorders>
              <w:top w:val="nil"/>
              <w:left w:val="nil"/>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c>
          <w:tcPr>
            <w:tcW w:w="58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p>
        </w:tc>
      </w:tr>
    </w:tbl>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sz w:val="32"/>
          <w:szCs w:val="32"/>
        </w:rPr>
      </w:pPr>
      <w:r>
        <w:rPr>
          <w:rFonts w:hint="eastAsia" w:ascii="黑体" w:hAnsi="宋体" w:eastAsia="黑体" w:cs="黑体"/>
          <w:sz w:val="32"/>
          <w:szCs w:val="32"/>
          <w:shd w:val="clear" w:fill="FFFFFF"/>
        </w:rPr>
        <w:t>五、存在的主要问题及改进情况</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color w:val="auto"/>
          <w:sz w:val="32"/>
          <w:szCs w:val="32"/>
          <w:highlight w:val="none"/>
        </w:rPr>
      </w:pPr>
      <w:r>
        <w:rPr>
          <w:rFonts w:hint="eastAsia" w:ascii="仿宋_GB2312" w:eastAsia="仿宋_GB2312" w:cs="仿宋_GB2312"/>
          <w:color w:val="auto"/>
          <w:sz w:val="32"/>
          <w:szCs w:val="32"/>
          <w:highlight w:val="none"/>
        </w:rPr>
        <w:t>在上级业务部门的指导下，发改局政府信息公开工作更加规范化、制度化，但也存在一些问题和不足：一是信息公开</w:t>
      </w:r>
      <w:r>
        <w:rPr>
          <w:rFonts w:hint="eastAsia" w:ascii="仿宋_GB2312" w:eastAsia="仿宋_GB2312" w:cs="仿宋_GB2312"/>
          <w:color w:val="auto"/>
          <w:sz w:val="32"/>
          <w:szCs w:val="32"/>
          <w:highlight w:val="none"/>
          <w:lang w:val="en-US" w:eastAsia="zh-CN"/>
        </w:rPr>
        <w:t>数量较少，内容需进一步丰富</w:t>
      </w:r>
      <w:r>
        <w:rPr>
          <w:rFonts w:hint="eastAsia" w:ascii="仿宋_GB2312" w:eastAsia="仿宋_GB2312" w:cs="仿宋_GB2312"/>
          <w:color w:val="auto"/>
          <w:sz w:val="32"/>
          <w:szCs w:val="32"/>
          <w:highlight w:val="none"/>
        </w:rPr>
        <w:t>；二是信息公开内容还不够系统全面，</w:t>
      </w:r>
      <w:r>
        <w:rPr>
          <w:rFonts w:hint="eastAsia" w:ascii="仿宋_GB2312" w:eastAsia="仿宋_GB2312" w:cs="仿宋_GB2312"/>
          <w:color w:val="auto"/>
          <w:sz w:val="32"/>
          <w:szCs w:val="32"/>
          <w:highlight w:val="none"/>
          <w:lang w:val="en-US" w:eastAsia="zh-CN"/>
        </w:rPr>
        <w:t>深度广度有待拓展</w:t>
      </w:r>
      <w:r>
        <w:rPr>
          <w:rFonts w:hint="eastAsia" w:ascii="仿宋_GB2312" w:eastAsia="仿宋_GB2312" w:cs="仿宋_GB2312"/>
          <w:color w:val="auto"/>
          <w:sz w:val="32"/>
          <w:szCs w:val="32"/>
          <w:highlight w:val="none"/>
        </w:rPr>
        <w:t>。</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（二）改进措施</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firstLine="645"/>
        <w:textAlignment w:val="auto"/>
        <w:rPr>
          <w:color w:val="auto"/>
          <w:sz w:val="32"/>
          <w:szCs w:val="32"/>
          <w:highlight w:val="none"/>
        </w:rPr>
      </w:pPr>
      <w:r>
        <w:rPr>
          <w:rFonts w:hint="eastAsia" w:ascii="仿宋_GB2312" w:eastAsia="仿宋_GB2312" w:cs="仿宋_GB2312"/>
          <w:color w:val="auto"/>
          <w:sz w:val="32"/>
          <w:szCs w:val="32"/>
          <w:highlight w:val="none"/>
        </w:rPr>
        <w:t>一是</w:t>
      </w:r>
      <w:r>
        <w:rPr>
          <w:rFonts w:hint="eastAsia" w:ascii="仿宋_GB2312" w:eastAsia="仿宋_GB2312" w:cs="仿宋_GB2312"/>
          <w:color w:val="auto"/>
          <w:sz w:val="32"/>
          <w:szCs w:val="32"/>
          <w:highlight w:val="none"/>
          <w:lang w:val="en-US" w:eastAsia="zh-CN"/>
        </w:rPr>
        <w:t>落实主体责任，</w:t>
      </w:r>
      <w:r>
        <w:rPr>
          <w:rFonts w:hint="eastAsia" w:ascii="仿宋_GB2312" w:eastAsia="仿宋_GB2312" w:cs="仿宋_GB2312"/>
          <w:color w:val="auto"/>
          <w:sz w:val="32"/>
          <w:szCs w:val="32"/>
          <w:highlight w:val="none"/>
        </w:rPr>
        <w:t>对信息公开人员</w:t>
      </w:r>
      <w:r>
        <w:rPr>
          <w:rFonts w:hint="eastAsia" w:ascii="仿宋_GB2312" w:eastAsia="仿宋_GB2312" w:cs="仿宋_GB2312"/>
          <w:color w:val="auto"/>
          <w:sz w:val="32"/>
          <w:szCs w:val="32"/>
          <w:highlight w:val="none"/>
          <w:lang w:val="en-US" w:eastAsia="zh-CN"/>
        </w:rPr>
        <w:t>开展</w:t>
      </w:r>
      <w:r>
        <w:rPr>
          <w:rFonts w:hint="eastAsia" w:ascii="仿宋_GB2312" w:eastAsia="仿宋_GB2312" w:cs="仿宋_GB2312"/>
          <w:color w:val="auto"/>
          <w:sz w:val="32"/>
          <w:szCs w:val="32"/>
          <w:highlight w:val="none"/>
        </w:rPr>
        <w:t>业务培训，</w:t>
      </w:r>
      <w:r>
        <w:rPr>
          <w:rFonts w:hint="eastAsia" w:ascii="仿宋_GB2312" w:eastAsia="仿宋_GB2312" w:cs="仿宋_GB2312"/>
          <w:color w:val="auto"/>
          <w:sz w:val="32"/>
          <w:szCs w:val="32"/>
          <w:highlight w:val="none"/>
          <w:lang w:val="en-US" w:eastAsia="zh-CN"/>
        </w:rPr>
        <w:t>提升</w:t>
      </w:r>
      <w:r>
        <w:rPr>
          <w:rFonts w:hint="eastAsia" w:ascii="仿宋_GB2312" w:eastAsia="仿宋_GB2312" w:cs="仿宋_GB2312"/>
          <w:color w:val="auto"/>
          <w:sz w:val="32"/>
          <w:szCs w:val="32"/>
          <w:highlight w:val="none"/>
        </w:rPr>
        <w:t>网站管理人员、信息采编人员专业技能，进一步提高我</w:t>
      </w:r>
      <w:r>
        <w:rPr>
          <w:rFonts w:hint="eastAsia" w:ascii="仿宋_GB2312" w:eastAsia="仿宋_GB2312" w:cs="仿宋_GB2312"/>
          <w:color w:val="auto"/>
          <w:sz w:val="32"/>
          <w:szCs w:val="32"/>
          <w:highlight w:val="none"/>
          <w:lang w:val="en-US" w:eastAsia="zh-CN"/>
        </w:rPr>
        <w:t>局</w:t>
      </w:r>
      <w:r>
        <w:rPr>
          <w:rFonts w:hint="eastAsia" w:ascii="仿宋_GB2312" w:eastAsia="仿宋_GB2312" w:cs="仿宋_GB2312"/>
          <w:color w:val="auto"/>
          <w:sz w:val="32"/>
          <w:szCs w:val="32"/>
          <w:highlight w:val="none"/>
        </w:rPr>
        <w:t>信息公开质量</w:t>
      </w:r>
      <w:r>
        <w:rPr>
          <w:rFonts w:hint="eastAsia" w:ascii="仿宋_GB2312" w:eastAsia="仿宋_GB2312" w:cs="仿宋_GB2312"/>
          <w:color w:val="auto"/>
          <w:sz w:val="32"/>
          <w:szCs w:val="32"/>
          <w:highlight w:val="none"/>
          <w:lang w:val="en-US" w:eastAsia="zh-CN"/>
        </w:rPr>
        <w:t>；二</w:t>
      </w:r>
      <w:r>
        <w:rPr>
          <w:rFonts w:hint="eastAsia" w:ascii="仿宋_GB2312" w:eastAsia="仿宋_GB2312" w:cs="仿宋_GB2312"/>
          <w:color w:val="auto"/>
          <w:sz w:val="32"/>
          <w:szCs w:val="32"/>
          <w:highlight w:val="none"/>
        </w:rPr>
        <w:t>是加大公开力度</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积极拓展公开方式，不断深化公开内容</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确保信息发布的及时性</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准确性</w:t>
      </w:r>
      <w:r>
        <w:rPr>
          <w:rFonts w:hint="eastAsia" w:ascii="仿宋_GB2312" w:eastAsia="仿宋_GB2312" w:cs="仿宋_GB2312"/>
          <w:color w:val="auto"/>
          <w:sz w:val="32"/>
          <w:szCs w:val="32"/>
          <w:highlight w:val="none"/>
          <w:lang w:val="en-US" w:eastAsia="zh-CN"/>
        </w:rPr>
        <w:t>和规范性</w:t>
      </w:r>
      <w:r>
        <w:rPr>
          <w:rFonts w:hint="eastAsia" w:ascii="仿宋_GB2312" w:eastAsia="仿宋_GB2312" w:cs="仿宋_GB2312"/>
          <w:color w:val="auto"/>
          <w:sz w:val="32"/>
          <w:szCs w:val="32"/>
          <w:highlight w:val="none"/>
        </w:rPr>
        <w:t>。</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15" w:firstLine="645"/>
        <w:textAlignment w:val="auto"/>
        <w:rPr>
          <w:sz w:val="32"/>
          <w:szCs w:val="32"/>
        </w:rPr>
      </w:pPr>
      <w:r>
        <w:rPr>
          <w:rFonts w:hint="eastAsia" w:ascii="黑体" w:hAnsi="宋体" w:eastAsia="黑体" w:cs="黑体"/>
          <w:sz w:val="32"/>
          <w:szCs w:val="32"/>
        </w:rPr>
        <w:t>六、其他需要报告的事项</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收取信息处理费情况方面。</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年度，本单位未收取信息处理费。</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.落实上级年度政务公开工作要点情况。对照《滕州市</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年政务公开工作要点》，围绕重点领域信息公开、政务公开标准化规范化建设明确责任主体和完成时限。</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.人大代表建议和政协提案办理情况方面。</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年度市发改局办理滕州人大建议</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件、办理滕州政协提案</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件，办结率</w:t>
      </w:r>
      <w:r>
        <w:rPr>
          <w:rFonts w:hint="default" w:ascii="Times New Roman" w:hAnsi="Times New Roman" w:eastAsia="仿宋_GB2312" w:cs="Times New Roman"/>
          <w:sz w:val="32"/>
          <w:szCs w:val="32"/>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人大代表和政协委员意见建议均充分协商并吸收采纳。</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eastAsia" w:ascii="仿宋_GB2312" w:hAnsi="仿宋_GB2312" w:eastAsia="仿宋_GB2312" w:cs="仿宋_GB2312"/>
          <w:sz w:val="32"/>
          <w:szCs w:val="32"/>
        </w:rPr>
        <w:t>.开展政务公开创新方面：无。</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.本单位政府信息公开工作年度报告数据统计需要说明的事项：无。</w:t>
      </w:r>
    </w:p>
    <w:p>
      <w:pPr>
        <w:pStyle w:val="3"/>
        <w:keepNext w:val="0"/>
        <w:keepLines w:val="0"/>
        <w:pageBreakBefore w:val="0"/>
        <w:widowControl/>
        <w:suppressLineNumbers w:val="0"/>
        <w:kinsoku/>
        <w:overflowPunct/>
        <w:topLinePunct w:val="0"/>
        <w:autoSpaceDE/>
        <w:autoSpaceDN/>
        <w:bidi w:val="0"/>
        <w:adjustRightInd/>
        <w:snapToGrid/>
        <w:spacing w:before="0" w:beforeAutospacing="0" w:line="600" w:lineRule="exact"/>
        <w:ind w:left="0" w:right="0" w:firstLine="645"/>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.其他有关文件专门要求通过政府信息公开工作年度报告予以报告的事项：无。</w:t>
      </w:r>
    </w:p>
    <w:p>
      <w:pPr>
        <w:pStyle w:val="3"/>
        <w:keepNext w:val="0"/>
        <w:keepLines w:val="0"/>
        <w:pageBreakBefore w:val="0"/>
        <w:widowControl/>
        <w:suppressLineNumbers w:val="0"/>
        <w:kinsoku/>
        <w:overflowPunct/>
        <w:topLinePunct w:val="0"/>
        <w:autoSpaceDE/>
        <w:autoSpaceDN/>
        <w:bidi w:val="0"/>
        <w:adjustRightInd/>
        <w:snapToGrid/>
        <w:spacing w:beforeAutospacing="0" w:line="600" w:lineRule="exact"/>
        <w:ind w:left="0" w:firstLine="645"/>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rPr>
        <w:t>本报告的电子版可在“中国滕州”（www.tengzhou.gov.cn）网站查询和下载。如对本报告有任何疑问，请与滕州市发展和改革局办公室联系。（地址：山东省滕州市北辛中路政务中心</w:t>
      </w:r>
      <w:r>
        <w:rPr>
          <w:rFonts w:hint="default" w:ascii="Times New Roman" w:hAnsi="Times New Roman" w:eastAsia="仿宋_GB2312" w:cs="Times New Roman"/>
          <w:sz w:val="32"/>
          <w:szCs w:val="32"/>
        </w:rPr>
        <w:t>522</w:t>
      </w:r>
      <w:r>
        <w:rPr>
          <w:rFonts w:hint="eastAsia" w:ascii="仿宋_GB2312" w:eastAsia="仿宋_GB2312" w:cs="仿宋_GB2312"/>
          <w:sz w:val="32"/>
          <w:szCs w:val="32"/>
        </w:rPr>
        <w:t>房间，联系电话：</w:t>
      </w:r>
      <w:r>
        <w:rPr>
          <w:rFonts w:hint="default" w:ascii="Times New Roman" w:hAnsi="Times New Roman" w:eastAsia="仿宋_GB2312" w:cs="Times New Roman"/>
          <w:sz w:val="32"/>
          <w:szCs w:val="32"/>
        </w:rPr>
        <w:t>0632</w:t>
      </w:r>
      <w:r>
        <w:rPr>
          <w:rFonts w:hint="eastAsia" w:ascii="仿宋_GB2312" w:eastAsia="仿宋_GB2312" w:cs="仿宋_GB2312"/>
          <w:sz w:val="32"/>
          <w:szCs w:val="32"/>
        </w:rPr>
        <w:t>—</w:t>
      </w:r>
      <w:r>
        <w:rPr>
          <w:rFonts w:hint="default" w:ascii="Times New Roman" w:hAnsi="Times New Roman" w:eastAsia="仿宋_GB2312" w:cs="Times New Roman"/>
          <w:sz w:val="32"/>
          <w:szCs w:val="32"/>
        </w:rPr>
        <w:t>5514858</w:t>
      </w:r>
      <w:r>
        <w:rPr>
          <w:rFonts w:hint="eastAsia" w:ascii="仿宋_GB2312" w:eastAsia="仿宋_GB2312" w:cs="仿宋_GB2312"/>
          <w:sz w:val="32"/>
          <w:szCs w:val="32"/>
        </w:rPr>
        <w:t>，电子邮箱：fagai</w:t>
      </w:r>
      <w:r>
        <w:rPr>
          <w:rFonts w:hint="default" w:ascii="Times New Roman" w:hAnsi="Times New Roman" w:eastAsia="仿宋_GB2312" w:cs="Times New Roman"/>
          <w:sz w:val="32"/>
          <w:szCs w:val="32"/>
        </w:rPr>
        <w:t>5514858</w:t>
      </w:r>
      <w:r>
        <w:rPr>
          <w:rFonts w:hint="eastAsia" w:ascii="仿宋_GB2312" w:eastAsia="仿宋_GB2312" w:cs="仿宋_GB2312"/>
          <w:sz w:val="32"/>
          <w:szCs w:val="32"/>
        </w:rPr>
        <w:t>@</w:t>
      </w:r>
      <w:r>
        <w:rPr>
          <w:rFonts w:hint="default" w:ascii="Times New Roman" w:hAnsi="Times New Roman" w:eastAsia="仿宋_GB2312" w:cs="Times New Roman"/>
          <w:sz w:val="32"/>
          <w:szCs w:val="32"/>
        </w:rPr>
        <w:t>163</w:t>
      </w:r>
      <w:r>
        <w:rPr>
          <w:rFonts w:hint="eastAsia" w:ascii="仿宋_GB2312" w:eastAsia="仿宋_GB2312" w:cs="仿宋_GB2312"/>
          <w:sz w:val="32"/>
          <w:szCs w:val="32"/>
        </w:rPr>
        <w:t>.com）</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OWI1YzkyM2FiOTA2NDQ4N2MzY2NjYjljOWU0NjQifQ=="/>
  </w:docVars>
  <w:rsids>
    <w:rsidRoot w:val="00000000"/>
    <w:rsid w:val="058B29A1"/>
    <w:rsid w:val="083A0F50"/>
    <w:rsid w:val="0BE741F5"/>
    <w:rsid w:val="0F404FD9"/>
    <w:rsid w:val="1186377A"/>
    <w:rsid w:val="1B075BBD"/>
    <w:rsid w:val="1D210A3A"/>
    <w:rsid w:val="1F8340AD"/>
    <w:rsid w:val="21837F15"/>
    <w:rsid w:val="225D758A"/>
    <w:rsid w:val="275639D6"/>
    <w:rsid w:val="2BF809E6"/>
    <w:rsid w:val="3C6A5B02"/>
    <w:rsid w:val="3EE65ED1"/>
    <w:rsid w:val="406B1E48"/>
    <w:rsid w:val="454375A0"/>
    <w:rsid w:val="4A202C79"/>
    <w:rsid w:val="4BDB5357"/>
    <w:rsid w:val="521C6865"/>
    <w:rsid w:val="540B4E76"/>
    <w:rsid w:val="55F94FE3"/>
    <w:rsid w:val="5D467A6D"/>
    <w:rsid w:val="5E8E17BE"/>
    <w:rsid w:val="64B0633A"/>
    <w:rsid w:val="65D70A64"/>
    <w:rsid w:val="68946CAB"/>
    <w:rsid w:val="692C521E"/>
    <w:rsid w:val="6BE65878"/>
    <w:rsid w:val="6C6E7F27"/>
    <w:rsid w:val="72457A3C"/>
    <w:rsid w:val="74E522B4"/>
    <w:rsid w:val="79BC7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unhideWhenUsed/>
    <w:qFormat/>
    <w:uiPriority w:val="39"/>
  </w:style>
  <w:style w:type="paragraph" w:styleId="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2023-10-18T01:22:00Z</dcterms:created>
  <dc:creator>pc5</dc:creator>
  <cp:lastModifiedBy>昏君</cp:lastModifiedBy>
  <dcterms:modified xsi:type="dcterms:W3CDTF">2024-01-24T02:37:21Z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E13F30FA88B3470AB57269C9DF6AF045_12</vt:lpwstr>
  </property>
</Properties>
</file>