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滕州市国有资产监督管理局</w:t>
      </w: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年政府信息公开工作年度报告</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依照</w:t>
      </w:r>
      <w:r>
        <w:rPr>
          <w:rFonts w:hint="eastAsia" w:ascii="Times New Roman" w:hAnsi="Times New Roman" w:eastAsia="仿宋_GB2312"/>
          <w:sz w:val="32"/>
          <w:szCs w:val="32"/>
        </w:rPr>
        <w:t>《中华人民共和国政府信息公开条例》</w:t>
      </w:r>
      <w:r>
        <w:rPr>
          <w:rFonts w:hint="eastAsia" w:ascii="宋体" w:hAnsi="宋体" w:eastAsia="宋体" w:cs="宋体"/>
          <w:i w:val="0"/>
          <w:iCs w:val="0"/>
          <w:caps w:val="0"/>
          <w:color w:val="000000"/>
          <w:spacing w:val="0"/>
          <w:sz w:val="27"/>
          <w:szCs w:val="27"/>
        </w:rPr>
        <w:t>(以下简称《条例》）</w:t>
      </w:r>
      <w:r>
        <w:rPr>
          <w:rFonts w:hint="eastAsia" w:ascii="Times New Roman" w:hAnsi="Times New Roman" w:eastAsia="仿宋_GB2312"/>
          <w:sz w:val="32"/>
          <w:szCs w:val="32"/>
          <w:lang w:val="en-US" w:eastAsia="zh-CN"/>
        </w:rPr>
        <w:t>和省政府办公厅、枣庄、滕州两级市政府办公室通知要求，结合市国资局工作实际，特编制滕州市国有资产监督管理局2023年政府信息公开工作年度报告并向社会公布。</w:t>
      </w:r>
    </w:p>
    <w:p>
      <w:pPr>
        <w:spacing w:line="560" w:lineRule="exact"/>
        <w:ind w:firstLine="640" w:firstLineChars="200"/>
        <w:rPr>
          <w:rFonts w:hint="eastAsia" w:ascii="宋体" w:hAnsi="宋体" w:eastAsia="宋体" w:cs="宋体"/>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32"/>
          <w:szCs w:val="32"/>
        </w:rPr>
        <w:t>本报告内容包括</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1、总体情况；2、主动公开政府信息情况；3、收到和处理政府信息公开申请情况；4、政府信息公开行政复议、行政诉讼情况；5</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存在的主要问题及改进情况；6、其他需要报告的事项。报告中所列数据的统计期限自2023年1月1日起至2023年12月31日止</w:t>
      </w:r>
      <w:r>
        <w:rPr>
          <w:rFonts w:hint="eastAsia" w:ascii="宋体" w:hAnsi="宋体" w:eastAsia="宋体" w:cs="宋体"/>
          <w:i w:val="0"/>
          <w:iCs w:val="0"/>
          <w:caps w:val="0"/>
          <w:color w:val="000000"/>
          <w:spacing w:val="0"/>
          <w:sz w:val="27"/>
          <w:szCs w:val="27"/>
        </w:rPr>
        <w:t>。</w:t>
      </w:r>
    </w:p>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一、总体情况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2023年，在市政府办公室的精心指导下，</w:t>
      </w:r>
      <w:r>
        <w:rPr>
          <w:rFonts w:hint="eastAsia" w:ascii="Times New Roman" w:hAnsi="Times New Roman" w:eastAsia="仿宋_GB2312"/>
          <w:sz w:val="32"/>
          <w:szCs w:val="32"/>
          <w:lang w:val="en-US" w:eastAsia="zh-CN"/>
        </w:rPr>
        <w:t>市国资局</w:t>
      </w:r>
      <w:r>
        <w:rPr>
          <w:rFonts w:hint="eastAsia" w:ascii="Times New Roman" w:hAnsi="Times New Roman" w:eastAsia="仿宋_GB2312"/>
          <w:sz w:val="32"/>
          <w:szCs w:val="32"/>
        </w:rPr>
        <w:t>深入贯彻《条例》，认真贯彻落实市委市政府对政务公开工作的部署要求，</w:t>
      </w:r>
      <w:r>
        <w:rPr>
          <w:rFonts w:ascii="仿宋_GB2312" w:hAnsi="宋体" w:eastAsia="仿宋_GB2312" w:cs="仿宋_GB2312"/>
          <w:i w:val="0"/>
          <w:iCs w:val="0"/>
          <w:caps w:val="0"/>
          <w:color w:val="000000"/>
          <w:spacing w:val="0"/>
          <w:sz w:val="32"/>
          <w:szCs w:val="32"/>
          <w:shd w:val="clear" w:fill="FFFFFF"/>
        </w:rPr>
        <w:t>紧扣</w:t>
      </w:r>
      <w:r>
        <w:rPr>
          <w:rFonts w:hint="eastAsia" w:ascii="仿宋_GB2312" w:hAnsi="宋体" w:eastAsia="仿宋_GB2312" w:cs="仿宋_GB2312"/>
          <w:i w:val="0"/>
          <w:iCs w:val="0"/>
          <w:caps w:val="0"/>
          <w:color w:val="000000"/>
          <w:spacing w:val="0"/>
          <w:sz w:val="32"/>
          <w:szCs w:val="32"/>
          <w:shd w:val="clear" w:fill="FFFFFF"/>
          <w:lang w:val="en-US" w:eastAsia="zh-CN"/>
        </w:rPr>
        <w:t>国资局</w:t>
      </w:r>
      <w:r>
        <w:rPr>
          <w:rFonts w:hint="eastAsia" w:ascii="仿宋_GB2312" w:hAnsi="宋体" w:eastAsia="仿宋_GB2312" w:cs="仿宋_GB2312"/>
          <w:i w:val="0"/>
          <w:iCs w:val="0"/>
          <w:caps w:val="0"/>
          <w:color w:val="000000"/>
          <w:spacing w:val="0"/>
          <w:sz w:val="32"/>
          <w:szCs w:val="32"/>
          <w:shd w:val="clear" w:fill="FFFFFF"/>
        </w:rPr>
        <w:t>工作实际，加强市政府信息公开专栏、门户网站信息公开工作管理，</w:t>
      </w:r>
      <w:r>
        <w:rPr>
          <w:rFonts w:hint="eastAsia" w:ascii="Times New Roman" w:hAnsi="Times New Roman" w:eastAsia="仿宋_GB2312"/>
          <w:sz w:val="32"/>
          <w:szCs w:val="32"/>
        </w:rPr>
        <w:t>认真履行法定公开义务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不断提升政务公开便利化水平。</w:t>
      </w:r>
    </w:p>
    <w:p>
      <w:pPr>
        <w:spacing w:line="560" w:lineRule="exact"/>
        <w:ind w:firstLine="643" w:firstLineChars="200"/>
        <w:rPr>
          <w:rFonts w:ascii="Times New Roman" w:hAnsi="Times New Roman" w:eastAsia="仿宋_GB2312"/>
          <w:sz w:val="32"/>
          <w:szCs w:val="32"/>
          <w:highlight w:val="none"/>
        </w:rPr>
      </w:pPr>
      <w:r>
        <w:rPr>
          <w:rFonts w:hint="eastAsia" w:ascii="Times New Roman" w:hAnsi="Times New Roman" w:eastAsia="楷体"/>
          <w:b/>
          <w:sz w:val="32"/>
          <w:szCs w:val="32"/>
        </w:rPr>
        <w:t>（一）</w:t>
      </w:r>
      <w:r>
        <w:rPr>
          <w:rFonts w:hint="eastAsia" w:ascii="Times New Roman" w:hAnsi="Times New Roman" w:eastAsia="楷体"/>
          <w:b/>
          <w:sz w:val="32"/>
          <w:szCs w:val="32"/>
          <w:lang w:val="en-US" w:eastAsia="zh-CN"/>
        </w:rPr>
        <w:t>主动公开方面</w:t>
      </w:r>
      <w:r>
        <w:rPr>
          <w:rFonts w:hint="eastAsia" w:ascii="Times New Roman" w:hAnsi="Times New Roman" w:eastAsia="楷体"/>
          <w:b/>
          <w:sz w:val="32"/>
          <w:szCs w:val="32"/>
        </w:rPr>
        <w:t>。</w:t>
      </w:r>
      <w:r>
        <w:rPr>
          <w:rFonts w:hint="eastAsia" w:ascii="Times New Roman" w:hAnsi="Times New Roman" w:eastAsia="仿宋_GB2312"/>
          <w:sz w:val="32"/>
          <w:szCs w:val="32"/>
          <w:highlight w:val="none"/>
        </w:rPr>
        <w:t>我</w:t>
      </w:r>
      <w:r>
        <w:rPr>
          <w:rFonts w:hint="eastAsia" w:ascii="Times New Roman" w:hAnsi="Times New Roman" w:eastAsia="仿宋_GB2312"/>
          <w:sz w:val="32"/>
          <w:szCs w:val="32"/>
          <w:highlight w:val="none"/>
          <w:lang w:val="en-US" w:eastAsia="zh-CN"/>
        </w:rPr>
        <w:t>局</w:t>
      </w:r>
      <w:r>
        <w:rPr>
          <w:rFonts w:hint="eastAsia" w:ascii="Times New Roman" w:hAnsi="Times New Roman" w:eastAsia="仿宋_GB2312"/>
          <w:sz w:val="32"/>
          <w:szCs w:val="32"/>
          <w:highlight w:val="none"/>
        </w:rPr>
        <w:t>主动公开政府信息途径包括</w:t>
      </w:r>
      <w:r>
        <w:rPr>
          <w:rFonts w:hint="eastAsia" w:ascii="Times New Roman" w:hAnsi="Times New Roman" w:eastAsia="仿宋_GB2312"/>
          <w:sz w:val="32"/>
          <w:szCs w:val="32"/>
          <w:highlight w:val="none"/>
          <w:lang w:val="en-US" w:eastAsia="zh-CN"/>
        </w:rPr>
        <w:t>滕州市国有资产监督管理局</w:t>
      </w:r>
      <w:r>
        <w:rPr>
          <w:rFonts w:hint="eastAsia" w:ascii="Times New Roman" w:hAnsi="Times New Roman" w:eastAsia="仿宋_GB2312"/>
          <w:sz w:val="32"/>
          <w:szCs w:val="32"/>
          <w:highlight w:val="none"/>
        </w:rPr>
        <w:t>网站、</w:t>
      </w:r>
      <w:r>
        <w:rPr>
          <w:rFonts w:hint="eastAsia" w:ascii="Times New Roman" w:hAnsi="Times New Roman" w:eastAsia="仿宋_GB2312"/>
          <w:sz w:val="32"/>
          <w:szCs w:val="32"/>
          <w:highlight w:val="none"/>
          <w:lang w:val="en-US" w:eastAsia="zh-CN"/>
        </w:rPr>
        <w:t>微信公众号</w:t>
      </w:r>
      <w:r>
        <w:rPr>
          <w:rFonts w:hint="eastAsia" w:ascii="Times New Roman" w:hAnsi="Times New Roman" w:eastAsia="仿宋_GB2312"/>
          <w:sz w:val="32"/>
          <w:szCs w:val="32"/>
          <w:highlight w:val="none"/>
        </w:rPr>
        <w:t>门户网站、各类简报资料、新闻媒体、展览展板等。</w:t>
      </w:r>
      <w:r>
        <w:rPr>
          <w:rFonts w:hint="eastAsia" w:ascii="Times New Roman" w:hAnsi="Times New Roman" w:eastAsia="仿宋_GB2312"/>
          <w:sz w:val="32"/>
          <w:szCs w:val="32"/>
          <w:highlight w:val="none"/>
          <w:lang w:val="en-US" w:eastAsia="zh-CN"/>
        </w:rPr>
        <w:t>截止2023年12月31日，通过不同载体主动公开信息518条，其中政府网站公开政府信息40条，局网站243条，微信公众平台129条，线下张贴106条。涵盖政策法规、公告通知、国企改革、服务平台</w:t>
      </w:r>
      <w:r>
        <w:rPr>
          <w:rFonts w:hint="eastAsia" w:ascii="Times New Roman" w:hAnsi="Times New Roman" w:eastAsia="仿宋_GB2312"/>
          <w:sz w:val="32"/>
          <w:szCs w:val="32"/>
          <w:highlight w:val="none"/>
        </w:rPr>
        <w:t>等内容，不断提升群众获取相关信息的便利度。</w:t>
      </w:r>
    </w:p>
    <w:p>
      <w:pPr>
        <w:spacing w:line="560" w:lineRule="exact"/>
        <w:ind w:firstLine="643" w:firstLineChars="200"/>
        <w:rPr>
          <w:rFonts w:hint="default" w:ascii="Times New Roman" w:hAnsi="Times New Roman" w:eastAsia="仿宋_GB2312"/>
          <w:color w:val="FF0000"/>
          <w:sz w:val="40"/>
          <w:szCs w:val="40"/>
          <w:highlight w:val="yellow"/>
          <w:lang w:val="en-US" w:eastAsia="zh-CN"/>
        </w:rPr>
      </w:pPr>
      <w:r>
        <w:rPr>
          <w:rFonts w:hint="eastAsia" w:ascii="Times New Roman" w:hAnsi="Times New Roman" w:eastAsia="楷体"/>
          <w:b/>
          <w:sz w:val="32"/>
          <w:szCs w:val="32"/>
          <w:highlight w:val="none"/>
        </w:rPr>
        <w:t>（二）依申请公开</w:t>
      </w:r>
      <w:r>
        <w:rPr>
          <w:rFonts w:hint="eastAsia" w:ascii="Times New Roman" w:hAnsi="Times New Roman" w:eastAsia="楷体"/>
          <w:b/>
          <w:sz w:val="32"/>
          <w:szCs w:val="32"/>
          <w:highlight w:val="none"/>
          <w:lang w:val="en-US" w:eastAsia="zh-CN"/>
        </w:rPr>
        <w:t>方面</w:t>
      </w:r>
      <w:r>
        <w:rPr>
          <w:rFonts w:hint="eastAsia" w:ascii="Times New Roman" w:hAnsi="Times New Roman" w:eastAsia="楷体"/>
          <w:b/>
          <w:sz w:val="32"/>
          <w:szCs w:val="32"/>
          <w:highlight w:val="none"/>
        </w:rPr>
        <w:t>。</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年，我局</w:t>
      </w:r>
      <w:r>
        <w:rPr>
          <w:rFonts w:hint="eastAsia" w:ascii="Times New Roman" w:hAnsi="Times New Roman" w:eastAsia="仿宋_GB2312"/>
          <w:sz w:val="32"/>
          <w:szCs w:val="32"/>
          <w:highlight w:val="none"/>
          <w:lang w:val="en-US" w:eastAsia="zh-CN"/>
        </w:rPr>
        <w:t>未受理依申请公开事项，本年度无因政府信息公开申请提起行政复议、行政诉讼情况。与往年相比，数量无变化。</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（三）</w:t>
      </w:r>
      <w:r>
        <w:rPr>
          <w:rFonts w:hint="eastAsia" w:ascii="Times New Roman" w:hAnsi="Times New Roman" w:eastAsia="楷体"/>
          <w:b/>
          <w:sz w:val="32"/>
          <w:szCs w:val="32"/>
          <w:lang w:val="en-US" w:eastAsia="zh-CN"/>
        </w:rPr>
        <w:t>政府信息管理方面</w:t>
      </w:r>
      <w:r>
        <w:rPr>
          <w:rFonts w:hint="eastAsia" w:ascii="Times New Roman" w:hAnsi="Times New Roman" w:eastAsia="楷体"/>
          <w:b/>
          <w:sz w:val="32"/>
          <w:szCs w:val="32"/>
        </w:rPr>
        <w:t>。</w:t>
      </w:r>
      <w:r>
        <w:rPr>
          <w:rFonts w:hint="eastAsia" w:ascii="Times New Roman" w:hAnsi="Times New Roman" w:eastAsia="仿宋_GB2312"/>
          <w:sz w:val="32"/>
          <w:szCs w:val="32"/>
          <w:lang w:val="en-US" w:eastAsia="zh-CN"/>
        </w:rPr>
        <w:t>一是主动公开基本目录公开。根据《中华人民共和国政府信息公开条例》，围绕政务服务全过程梳理政务公开事项，编制形成政府信息主动公开基本目录，并在政府网站国有资产监督管理局专栏对主动公开基本目录进行信息公开。二是强化组织领导。动态调整滕州市国有资产监督管理局政务公开工作领导小组职责和组成人员，形成“主要领导亲自抓、分管领导具体抓、机关科室合力抓、专人负责抓落实”的工作机制。严格把关政府信息公开内容审查，我局 2023 年度无违反规定和失职泄密情况。</w:t>
      </w:r>
    </w:p>
    <w:p>
      <w:pPr>
        <w:spacing w:line="560" w:lineRule="exact"/>
        <w:ind w:firstLine="643" w:firstLineChars="200"/>
        <w:rPr>
          <w:rFonts w:hint="eastAsia" w:ascii="Times New Roman" w:hAnsi="Times New Roman" w:eastAsia="仿宋_GB2312"/>
          <w:sz w:val="32"/>
          <w:szCs w:val="32"/>
          <w:lang w:val="en-US" w:eastAsia="zh-CN"/>
        </w:rPr>
      </w:pPr>
      <w:r>
        <w:rPr>
          <w:rFonts w:hint="eastAsia" w:ascii="Times New Roman" w:hAnsi="Times New Roman" w:eastAsia="楷体"/>
          <w:b/>
          <w:sz w:val="32"/>
          <w:szCs w:val="32"/>
        </w:rPr>
        <w:t>（四）平台建设</w:t>
      </w:r>
      <w:r>
        <w:rPr>
          <w:rFonts w:hint="eastAsia" w:ascii="Times New Roman" w:hAnsi="Times New Roman" w:eastAsia="楷体"/>
          <w:b/>
          <w:sz w:val="32"/>
          <w:szCs w:val="32"/>
          <w:lang w:val="en-US" w:eastAsia="zh-CN"/>
        </w:rPr>
        <w:t>方面</w:t>
      </w:r>
      <w:r>
        <w:rPr>
          <w:rFonts w:hint="eastAsia" w:ascii="Times New Roman" w:hAnsi="Times New Roman" w:eastAsia="楷体"/>
          <w:b/>
          <w:sz w:val="32"/>
          <w:szCs w:val="32"/>
        </w:rPr>
        <w:t>。</w:t>
      </w:r>
      <w:r>
        <w:rPr>
          <w:rFonts w:hint="eastAsia" w:ascii="Times New Roman" w:hAnsi="Times New Roman" w:eastAsia="仿宋_GB2312"/>
          <w:sz w:val="32"/>
          <w:szCs w:val="32"/>
          <w:lang w:val="en-US" w:eastAsia="zh-CN"/>
        </w:rPr>
        <w:t>我局政府信息公开平台主要有滕州市人民政府网站“政府信息公开”专栏、滕州市国有资产监督管理局门户网站、“滕州国资”微信公众号，主要围绕国资国企重点工作，及时高效地向社会公开政务信息。按照上级对政府信息平台建设工作的要求，完善政府信息公开制度，加大信息平台公开力度，常态化推进信息公开，及时更新公布信息，为群众解疑，便于群众查阅办理，与群众形成良好互动。安排专人负责信息公开的编辑、 审核与发布。做好滕州市国有资产监督管理局网站与滕州政务信息公开网站联动推荐关系，做到多平台、多栏目、多渠道同步更新。</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lang w:val="en-US" w:eastAsia="zh-CN"/>
        </w:rPr>
        <w:t>（</w:t>
      </w:r>
      <w:r>
        <w:rPr>
          <w:rFonts w:hint="eastAsia" w:ascii="Times New Roman" w:hAnsi="Times New Roman" w:eastAsia="楷体"/>
          <w:b/>
          <w:sz w:val="32"/>
          <w:szCs w:val="32"/>
        </w:rPr>
        <w:t>五）监督保障</w:t>
      </w:r>
      <w:r>
        <w:rPr>
          <w:rFonts w:hint="eastAsia" w:ascii="Times New Roman" w:hAnsi="Times New Roman" w:eastAsia="楷体"/>
          <w:b/>
          <w:sz w:val="32"/>
          <w:szCs w:val="32"/>
          <w:lang w:val="en-US" w:eastAsia="zh-CN"/>
        </w:rPr>
        <w:t>方面</w:t>
      </w:r>
      <w:r>
        <w:rPr>
          <w:rFonts w:hint="eastAsia" w:ascii="Times New Roman" w:hAnsi="Times New Roman" w:eastAsia="楷体"/>
          <w:b/>
          <w:sz w:val="32"/>
          <w:szCs w:val="32"/>
        </w:rPr>
        <w:t>。</w:t>
      </w:r>
      <w:r>
        <w:rPr>
          <w:rFonts w:hint="eastAsia" w:ascii="Times New Roman" w:hAnsi="Times New Roman" w:eastAsia="仿宋_GB2312"/>
          <w:sz w:val="32"/>
          <w:szCs w:val="32"/>
          <w:lang w:val="en-US" w:eastAsia="zh-CN"/>
        </w:rPr>
        <w:t>根据工作部署要求，积极做好相关政务公开保障工作。</w:t>
      </w:r>
      <w:r>
        <w:rPr>
          <w:rFonts w:hint="eastAsia" w:ascii="Times New Roman" w:hAnsi="Times New Roman" w:eastAsia="仿宋_GB2312"/>
          <w:sz w:val="32"/>
          <w:szCs w:val="32"/>
        </w:rPr>
        <w:t>严格落实政府信息公开相关规定和网站信息发布相关要求。利用网站平台，及时主动发布各类政府信息，充分保障人民群众的知情权、监督权和参与权。</w:t>
      </w:r>
    </w:p>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二、主动公开政府信息情况</w:t>
      </w:r>
    </w:p>
    <w:tbl>
      <w:tblPr>
        <w:tblStyle w:val="5"/>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40" w:type="dxa"/>
            <w:gridSpan w:val="4"/>
            <w:shd w:val="clear" w:color="auto" w:fill="C6D9F1"/>
            <w:noWrap/>
            <w:tcMar>
              <w:left w:w="57" w:type="dxa"/>
              <w:right w:w="57" w:type="dxa"/>
            </w:tcMar>
            <w:vAlign w:val="center"/>
          </w:tcPr>
          <w:p>
            <w:pPr>
              <w:widowControl/>
              <w:spacing w:before="100" w:beforeAutospacing="1"/>
              <w:ind w:firstLine="420"/>
              <w:jc w:val="center"/>
              <w:rPr>
                <w:rFonts w:ascii="Times New Roman" w:hAnsi="Times New Roman" w:eastAsia="仿宋_GB2312"/>
              </w:rPr>
            </w:pPr>
            <w:r>
              <w:rPr>
                <w:rFonts w:hint="eastAsia" w:ascii="Times New Roman" w:hAnsi="Times New Roman" w:eastAsia="仿宋_GB2312" w:cs="宋体"/>
                <w:kern w:val="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信息内容</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本年制发件数</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本年废止件数</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规章</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rPr>
              <w:t>0</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rPr>
              <w:t>0</w:t>
            </w:r>
          </w:p>
        </w:tc>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行政规范性文件</w:t>
            </w:r>
          </w:p>
        </w:tc>
        <w:tc>
          <w:tcPr>
            <w:tcW w:w="2435" w:type="dxa"/>
            <w:noWrap/>
            <w:tcMar>
              <w:left w:w="57" w:type="dxa"/>
              <w:right w:w="57" w:type="dxa"/>
            </w:tcMar>
            <w:vAlign w:val="center"/>
          </w:tcPr>
          <w:p>
            <w:pPr>
              <w:widowControl/>
              <w:spacing w:before="100" w:beforeAutospacing="1"/>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0</w:t>
            </w:r>
          </w:p>
        </w:tc>
        <w:tc>
          <w:tcPr>
            <w:tcW w:w="2435" w:type="dxa"/>
            <w:noWrap/>
            <w:tcMar>
              <w:left w:w="57" w:type="dxa"/>
              <w:right w:w="57" w:type="dxa"/>
            </w:tcMar>
            <w:vAlign w:val="center"/>
          </w:tcPr>
          <w:p>
            <w:pPr>
              <w:widowControl/>
              <w:spacing w:before="100" w:beforeAutospacing="1"/>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0</w:t>
            </w:r>
          </w:p>
        </w:tc>
        <w:tc>
          <w:tcPr>
            <w:tcW w:w="2435" w:type="dxa"/>
            <w:noWrap/>
            <w:tcMar>
              <w:left w:w="57" w:type="dxa"/>
              <w:right w:w="57" w:type="dxa"/>
            </w:tcMar>
            <w:vAlign w:val="center"/>
          </w:tcPr>
          <w:p>
            <w:pPr>
              <w:widowControl/>
              <w:spacing w:before="100" w:beforeAutospacing="1"/>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40" w:type="dxa"/>
            <w:gridSpan w:val="4"/>
            <w:shd w:val="clear" w:color="auto" w:fill="C6D9F1"/>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信息内容</w:t>
            </w:r>
          </w:p>
        </w:tc>
        <w:tc>
          <w:tcPr>
            <w:tcW w:w="7305" w:type="dxa"/>
            <w:gridSpan w:val="3"/>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行政许可</w:t>
            </w:r>
          </w:p>
        </w:tc>
        <w:tc>
          <w:tcPr>
            <w:tcW w:w="7305" w:type="dxa"/>
            <w:gridSpan w:val="3"/>
            <w:noWrap/>
            <w:tcMar>
              <w:left w:w="57" w:type="dxa"/>
              <w:right w:w="57" w:type="dxa"/>
            </w:tcMar>
            <w:vAlign w:val="center"/>
          </w:tcPr>
          <w:p>
            <w:pPr>
              <w:widowControl/>
              <w:spacing w:before="100" w:beforeAutospacing="1"/>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40" w:type="dxa"/>
            <w:gridSpan w:val="4"/>
            <w:shd w:val="clear" w:color="auto" w:fill="C6D9F1"/>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信息内容</w:t>
            </w:r>
          </w:p>
        </w:tc>
        <w:tc>
          <w:tcPr>
            <w:tcW w:w="7305" w:type="dxa"/>
            <w:gridSpan w:val="3"/>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行政处罚</w:t>
            </w:r>
          </w:p>
        </w:tc>
        <w:tc>
          <w:tcPr>
            <w:tcW w:w="7305" w:type="dxa"/>
            <w:gridSpan w:val="3"/>
            <w:noWrap/>
            <w:tcMar>
              <w:left w:w="57" w:type="dxa"/>
              <w:right w:w="57" w:type="dxa"/>
            </w:tcMar>
            <w:vAlign w:val="center"/>
          </w:tcPr>
          <w:p>
            <w:pPr>
              <w:widowControl/>
              <w:spacing w:before="100" w:beforeAutospacing="1"/>
              <w:jc w:val="center"/>
              <w:rPr>
                <w:rFonts w:hint="eastAsia" w:ascii="Times New Roman" w:hAnsi="Times New Roman" w:eastAsia="仿宋_GB2312"/>
                <w:lang w:val="en-US" w:eastAsia="zh-CN"/>
              </w:rPr>
            </w:pPr>
            <w:r>
              <w:rPr>
                <w:rFonts w:hint="eastAsia" w:ascii="Times New Roman" w:hAnsi="Times New Roman" w:eastAsia="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行政强制</w:t>
            </w:r>
          </w:p>
        </w:tc>
        <w:tc>
          <w:tcPr>
            <w:tcW w:w="7305" w:type="dxa"/>
            <w:gridSpan w:val="3"/>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40" w:type="dxa"/>
            <w:gridSpan w:val="4"/>
            <w:shd w:val="clear" w:color="auto" w:fill="C6D9F1"/>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信息内容</w:t>
            </w:r>
          </w:p>
        </w:tc>
        <w:tc>
          <w:tcPr>
            <w:tcW w:w="7305" w:type="dxa"/>
            <w:gridSpan w:val="3"/>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35" w:type="dxa"/>
            <w:noWrap/>
            <w:tcMar>
              <w:left w:w="57" w:type="dxa"/>
              <w:right w:w="57" w:type="dxa"/>
            </w:tcMar>
            <w:vAlign w:val="center"/>
          </w:tcPr>
          <w:p>
            <w:pPr>
              <w:widowControl/>
              <w:spacing w:before="100" w:beforeAutospacing="1"/>
              <w:jc w:val="center"/>
              <w:rPr>
                <w:rFonts w:ascii="Times New Roman" w:hAnsi="Times New Roman" w:eastAsia="仿宋_GB2312"/>
              </w:rPr>
            </w:pPr>
            <w:r>
              <w:rPr>
                <w:rFonts w:hint="eastAsia" w:ascii="Times New Roman" w:hAnsi="Times New Roman" w:eastAsia="仿宋_GB2312" w:cs="宋体"/>
                <w:kern w:val="0"/>
              </w:rPr>
              <w:t>行政事业性收费</w:t>
            </w:r>
          </w:p>
        </w:tc>
        <w:tc>
          <w:tcPr>
            <w:tcW w:w="7305" w:type="dxa"/>
            <w:gridSpan w:val="3"/>
            <w:noWrap/>
            <w:tcMar>
              <w:left w:w="57" w:type="dxa"/>
              <w:right w:w="57" w:type="dxa"/>
            </w:tcMar>
            <w:vAlign w:val="center"/>
          </w:tcPr>
          <w:p>
            <w:pPr>
              <w:jc w:val="center"/>
              <w:rPr>
                <w:rFonts w:ascii="Times New Roman" w:hAnsi="Times New Roman" w:eastAsia="仿宋_GB2312"/>
              </w:rPr>
            </w:pPr>
            <w:r>
              <w:rPr>
                <w:rFonts w:hint="eastAsia" w:ascii="Times New Roman" w:hAnsi="Times New Roman" w:eastAsia="仿宋_GB2312"/>
              </w:rPr>
              <w:t>0</w:t>
            </w:r>
          </w:p>
        </w:tc>
      </w:tr>
    </w:tbl>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40"/>
        <w:gridCol w:w="540"/>
        <w:gridCol w:w="720"/>
        <w:gridCol w:w="675"/>
        <w:gridCol w:w="525"/>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pPr>
              <w:jc w:val="center"/>
              <w:rPr>
                <w:rFonts w:ascii="黑体" w:hAnsi="黑体" w:eastAsia="黑体"/>
                <w:szCs w:val="21"/>
              </w:rPr>
            </w:pPr>
          </w:p>
        </w:tc>
        <w:tc>
          <w:tcPr>
            <w:tcW w:w="540"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bl>
    <w:p>
      <w:pPr>
        <w:spacing w:line="560" w:lineRule="exact"/>
        <w:rPr>
          <w:rFonts w:ascii="Times New Roman" w:hAnsi="Times New Roman" w:eastAsia="黑体"/>
          <w:b/>
          <w:sz w:val="32"/>
          <w:szCs w:val="32"/>
        </w:rPr>
      </w:pPr>
    </w:p>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四、政府信息公开行政复议、行政诉讼情况</w:t>
      </w: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gridSpan w:val="5"/>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行政复议</w:t>
            </w:r>
          </w:p>
        </w:tc>
        <w:tc>
          <w:tcPr>
            <w:tcW w:w="6498" w:type="dxa"/>
            <w:gridSpan w:val="10"/>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维持</w:t>
            </w:r>
          </w:p>
        </w:tc>
        <w:tc>
          <w:tcPr>
            <w:tcW w:w="650" w:type="dxa"/>
            <w:vMerge w:val="restart"/>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纠正</w:t>
            </w:r>
          </w:p>
        </w:tc>
        <w:tc>
          <w:tcPr>
            <w:tcW w:w="650" w:type="dxa"/>
            <w:vMerge w:val="restart"/>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其他</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tc>
        <w:tc>
          <w:tcPr>
            <w:tcW w:w="650" w:type="dxa"/>
            <w:vMerge w:val="restart"/>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尚未</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审结</w:t>
            </w:r>
          </w:p>
        </w:tc>
        <w:tc>
          <w:tcPr>
            <w:tcW w:w="650" w:type="dxa"/>
            <w:vMerge w:val="restart"/>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总计</w:t>
            </w:r>
          </w:p>
        </w:tc>
        <w:tc>
          <w:tcPr>
            <w:tcW w:w="3248" w:type="dxa"/>
            <w:gridSpan w:val="5"/>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未经复议直接起诉</w:t>
            </w:r>
          </w:p>
        </w:tc>
        <w:tc>
          <w:tcPr>
            <w:tcW w:w="3250" w:type="dxa"/>
            <w:gridSpan w:val="5"/>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ign w:val="center"/>
          </w:tcPr>
          <w:p>
            <w:pPr>
              <w:spacing w:line="500" w:lineRule="exact"/>
              <w:jc w:val="center"/>
              <w:textAlignment w:val="center"/>
              <w:rPr>
                <w:rFonts w:ascii="Times New Roman" w:hAnsi="Times New Roman" w:eastAsia="仿宋_GB2312" w:cs="仿宋_GB2312"/>
                <w:kern w:val="0"/>
              </w:rPr>
            </w:pPr>
          </w:p>
        </w:tc>
        <w:tc>
          <w:tcPr>
            <w:tcW w:w="650" w:type="dxa"/>
            <w:vMerge w:val="continue"/>
            <w:noWrap/>
            <w:vAlign w:val="center"/>
          </w:tcPr>
          <w:p>
            <w:pPr>
              <w:spacing w:line="500" w:lineRule="exact"/>
              <w:jc w:val="center"/>
              <w:textAlignment w:val="center"/>
              <w:rPr>
                <w:rFonts w:ascii="Times New Roman" w:hAnsi="Times New Roman" w:eastAsia="仿宋_GB2312" w:cs="仿宋_GB2312"/>
                <w:kern w:val="0"/>
              </w:rPr>
            </w:pPr>
          </w:p>
        </w:tc>
        <w:tc>
          <w:tcPr>
            <w:tcW w:w="650" w:type="dxa"/>
            <w:vMerge w:val="continue"/>
            <w:noWrap/>
            <w:vAlign w:val="center"/>
          </w:tcPr>
          <w:p>
            <w:pPr>
              <w:spacing w:line="500" w:lineRule="exact"/>
              <w:jc w:val="center"/>
              <w:textAlignment w:val="center"/>
              <w:rPr>
                <w:rFonts w:ascii="Times New Roman" w:hAnsi="Times New Roman" w:eastAsia="仿宋_GB2312" w:cs="仿宋_GB2312"/>
                <w:kern w:val="0"/>
              </w:rPr>
            </w:pPr>
          </w:p>
        </w:tc>
        <w:tc>
          <w:tcPr>
            <w:tcW w:w="650" w:type="dxa"/>
            <w:vMerge w:val="continue"/>
            <w:noWrap/>
            <w:vAlign w:val="center"/>
          </w:tcPr>
          <w:p>
            <w:pPr>
              <w:spacing w:line="500" w:lineRule="exact"/>
              <w:jc w:val="center"/>
              <w:textAlignment w:val="center"/>
              <w:rPr>
                <w:rFonts w:ascii="Times New Roman" w:hAnsi="Times New Roman" w:eastAsia="仿宋_GB2312" w:cs="仿宋_GB2312"/>
                <w:kern w:val="0"/>
              </w:rPr>
            </w:pPr>
          </w:p>
        </w:tc>
        <w:tc>
          <w:tcPr>
            <w:tcW w:w="650" w:type="dxa"/>
            <w:vMerge w:val="continue"/>
            <w:noWrap/>
            <w:vAlign w:val="center"/>
          </w:tcPr>
          <w:p>
            <w:pPr>
              <w:spacing w:line="500" w:lineRule="exact"/>
              <w:jc w:val="center"/>
              <w:textAlignment w:val="center"/>
              <w:rPr>
                <w:rFonts w:ascii="Times New Roman" w:hAnsi="Times New Roman" w:eastAsia="仿宋_GB2312" w:cs="仿宋_GB2312"/>
                <w:kern w:val="0"/>
              </w:rPr>
            </w:pPr>
          </w:p>
        </w:tc>
        <w:tc>
          <w:tcPr>
            <w:tcW w:w="649"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维持</w:t>
            </w:r>
          </w:p>
        </w:tc>
        <w:tc>
          <w:tcPr>
            <w:tcW w:w="649"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纠正</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其他</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尚未</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审结</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总计</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维持</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纠正</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其他</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结果</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尚未</w:t>
            </w:r>
          </w:p>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审结</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仿宋_GB2312" w:eastAsia="仿宋_GB2312" w:cs="仿宋_GB2312"/>
                <w:kern w:val="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49"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49"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c>
          <w:tcPr>
            <w:tcW w:w="650" w:type="dxa"/>
            <w:noWrap/>
            <w:vAlign w:val="center"/>
          </w:tcPr>
          <w:p>
            <w:pPr>
              <w:spacing w:line="500" w:lineRule="exact"/>
              <w:jc w:val="center"/>
              <w:textAlignment w:val="center"/>
              <w:rPr>
                <w:rFonts w:ascii="Times New Roman" w:hAnsi="Times New Roman" w:eastAsia="仿宋_GB2312" w:cs="仿宋_GB2312"/>
                <w:kern w:val="0"/>
              </w:rPr>
            </w:pPr>
            <w:r>
              <w:rPr>
                <w:rFonts w:hint="eastAsia" w:ascii="Times New Roman" w:hAnsi="Times New Roman" w:eastAsia="仿宋_GB2312" w:cs="仿宋_GB2312"/>
                <w:kern w:val="0"/>
              </w:rPr>
              <w:t>0</w:t>
            </w:r>
          </w:p>
        </w:tc>
      </w:tr>
    </w:tbl>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五、存在的主要问题及改进情况</w:t>
      </w:r>
    </w:p>
    <w:p>
      <w:p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（一）存在的主要问题。</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我局在推进政务公开机制建设、规范公开内容等方面取得了一定成绩，但也存在一些问题。一是在办理政府信息公开申请方面，流程制度尚不完善，对便民原则理解不透彻。二是在公文办理方面信息公开属性把关不严格，以致部分文件未能及时进行公开。</w:t>
      </w:r>
    </w:p>
    <w:p>
      <w:p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（二）改进情况及下一步工作打算。</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针对存在的问题，一是在办理政府信息公开申请答复中，寻求市政府办政务公开办专业指导，及时总结经验，规范办理流程，深化了对便民原则的理解。二是严格把关公文办理程序，做到发文流程不完善、未明确文件公开属性的不予办理发文，确保信息公开的权威性和及时性。</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下一步，我</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将按照市政府办政务公开办要求，不断提升政务公开工作水平，推进阳光国资建设。一是建立工作台账，明确全年需要按月按季度推进的重点工作，把握时间节点，压茬推进。二是提升政务公开群众参与度，在制定涉及公共服务商务政策时，广泛征求群众意见，提高政策制定的科学性和针对性。</w:t>
      </w:r>
    </w:p>
    <w:p>
      <w:pPr>
        <w:spacing w:line="56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六、其他需要报告的事项</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1、滕州市国有资产监督管理局</w:t>
      </w:r>
      <w:r>
        <w:rPr>
          <w:rFonts w:hint="eastAsia" w:ascii="Times New Roman" w:hAnsi="Times New Roman" w:eastAsia="仿宋_GB2312"/>
          <w:sz w:val="32"/>
          <w:szCs w:val="32"/>
        </w:rPr>
        <w:t>本年度未收取政府信息处理费。</w:t>
      </w:r>
    </w:p>
    <w:p>
      <w:pPr>
        <w:spacing w:line="560" w:lineRule="exact"/>
        <w:ind w:firstLine="640" w:firstLineChars="200"/>
        <w:rPr>
          <w:rFonts w:hint="eastAsia" w:ascii="仿宋_GB2312" w:hAnsi="宋体" w:eastAsia="仿宋_GB2312" w:cs="仿宋_GB2312"/>
          <w:i w:val="0"/>
          <w:iCs w:val="0"/>
          <w:caps w:val="0"/>
          <w:color w:val="000000"/>
          <w:spacing w:val="0"/>
          <w:sz w:val="31"/>
          <w:szCs w:val="31"/>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highlight w:val="none"/>
          <w:lang w:val="en-US" w:eastAsia="zh-CN"/>
        </w:rPr>
        <w:t>2023年滕州市国有资产监督管理局</w:t>
      </w:r>
      <w:r>
        <w:rPr>
          <w:rFonts w:ascii="仿宋_GB2312" w:hAnsi="宋体" w:eastAsia="仿宋_GB2312" w:cs="仿宋_GB2312"/>
          <w:i w:val="0"/>
          <w:iCs w:val="0"/>
          <w:caps w:val="0"/>
          <w:color w:val="000000"/>
          <w:spacing w:val="0"/>
          <w:sz w:val="31"/>
          <w:szCs w:val="31"/>
        </w:rPr>
        <w:t>按照《滕州市</w:t>
      </w:r>
      <w:r>
        <w:rPr>
          <w:rFonts w:hint="eastAsia" w:ascii="仿宋_GB2312" w:hAnsi="宋体" w:eastAsia="仿宋_GB2312" w:cs="仿宋_GB2312"/>
          <w:i w:val="0"/>
          <w:iCs w:val="0"/>
          <w:caps w:val="0"/>
          <w:color w:val="000000"/>
          <w:spacing w:val="0"/>
          <w:sz w:val="31"/>
          <w:szCs w:val="31"/>
        </w:rPr>
        <w:t>2023年政务公开工作要点》要求，围绕重点领域信息公开，对《政府工作报告》（惠民实事）任务进展情况，建立工作台账，按照季度主动公开。</w:t>
      </w:r>
    </w:p>
    <w:p>
      <w:pPr>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3、2023年，我局共承办滕州市级政协提案2件，已全部办理完毕。未收到未办理人大建议。</w:t>
      </w:r>
    </w:p>
    <w:p>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4、2023年，滕州市国有资产监督管理局采取线上线下相结合等方式，不断创新公开方式，完善公开目录，保障信息公开工作的完整性。</w:t>
      </w:r>
    </w:p>
    <w:p>
      <w:pPr>
        <w:numPr>
          <w:ilvl w:val="0"/>
          <w:numId w:val="1"/>
        </w:num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无政府信息公开工作年报报告数据统计中需要说明的事项。</w:t>
      </w:r>
      <w:bookmarkStart w:id="9" w:name="_GoBack"/>
      <w:bookmarkEnd w:id="9"/>
    </w:p>
    <w:p>
      <w:pPr>
        <w:numPr>
          <w:ilvl w:val="0"/>
          <w:numId w:val="1"/>
        </w:numPr>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无其他需要报告事项。</w:t>
      </w:r>
    </w:p>
    <w:p>
      <w:pPr>
        <w:numPr>
          <w:ilvl w:val="0"/>
          <w:numId w:val="1"/>
        </w:numPr>
        <w:spacing w:line="560" w:lineRule="exact"/>
        <w:ind w:firstLine="620" w:firstLineChars="200"/>
        <w:rPr>
          <w:rFonts w:hint="default" w:ascii="Times New Roman" w:hAnsi="Times New Roman" w:eastAsia="仿宋_GB2312"/>
          <w:sz w:val="32"/>
          <w:szCs w:val="32"/>
          <w:highlight w:val="none"/>
          <w:lang w:val="en-US" w:eastAsia="zh-CN"/>
        </w:rPr>
      </w:pPr>
      <w:r>
        <w:rPr>
          <w:rFonts w:hint="eastAsia" w:ascii="仿宋_GB2312" w:hAnsi="宋体" w:eastAsia="仿宋_GB2312" w:cs="仿宋_GB2312"/>
          <w:i w:val="0"/>
          <w:caps w:val="0"/>
          <w:color w:val="000000"/>
          <w:spacing w:val="0"/>
          <w:sz w:val="31"/>
          <w:szCs w:val="31"/>
        </w:rPr>
        <w:t>本报告的电子版可在“中国滕州网”（</w:t>
      </w:r>
      <w:r>
        <w:rPr>
          <w:rFonts w:hint="eastAsia" w:ascii="仿宋_GB2312" w:hAnsi="Calibri" w:eastAsia="仿宋_GB2312" w:cs="仿宋_GB2312"/>
          <w:i w:val="0"/>
          <w:caps w:val="0"/>
          <w:color w:val="000000"/>
          <w:spacing w:val="0"/>
          <w:sz w:val="31"/>
          <w:szCs w:val="31"/>
        </w:rPr>
        <w:t>http://www.tengzhou.gov.cn/</w:t>
      </w:r>
      <w:r>
        <w:rPr>
          <w:rFonts w:hint="eastAsia" w:ascii="仿宋_GB2312" w:hAnsi="宋体" w:eastAsia="仿宋_GB2312" w:cs="仿宋_GB2312"/>
          <w:i w:val="0"/>
          <w:caps w:val="0"/>
          <w:color w:val="000000"/>
          <w:spacing w:val="0"/>
          <w:sz w:val="31"/>
          <w:szCs w:val="31"/>
        </w:rPr>
        <w:t>）网站查询和下载。如对本报告有任何疑问，请与滕州市国有资产监督管理局办公室联系。 （地址：山东省滕州市北辛中路政务中心</w:t>
      </w:r>
      <w:r>
        <w:rPr>
          <w:rFonts w:hint="eastAsia" w:ascii="Times New Roman" w:hAnsi="Times New Roman" w:eastAsia="仿宋_GB2312"/>
          <w:sz w:val="32"/>
          <w:szCs w:val="32"/>
          <w:highlight w:val="none"/>
          <w:lang w:val="en-US" w:eastAsia="zh-CN"/>
        </w:rPr>
        <w:t>A415-1</w:t>
      </w:r>
      <w:r>
        <w:rPr>
          <w:rFonts w:hint="eastAsia" w:ascii="仿宋_GB2312" w:hAnsi="宋体" w:eastAsia="仿宋_GB2312" w:cs="仿宋_GB2312"/>
          <w:i w:val="0"/>
          <w:caps w:val="0"/>
          <w:color w:val="000000"/>
          <w:spacing w:val="0"/>
          <w:sz w:val="31"/>
          <w:szCs w:val="31"/>
        </w:rPr>
        <w:t>房间，联系电话：</w:t>
      </w:r>
      <w:r>
        <w:rPr>
          <w:rFonts w:hint="eastAsia" w:ascii="Times New Roman" w:hAnsi="Times New Roman" w:eastAsia="仿宋_GB2312"/>
          <w:sz w:val="32"/>
          <w:szCs w:val="32"/>
          <w:highlight w:val="none"/>
          <w:lang w:val="en-US" w:eastAsia="zh-CN"/>
        </w:rPr>
        <w:t>0632—8055155</w:t>
      </w:r>
      <w:r>
        <w:rPr>
          <w:rFonts w:hint="eastAsia" w:ascii="仿宋_GB2312" w:hAnsi="宋体" w:eastAsia="仿宋_GB2312" w:cs="仿宋_GB2312"/>
          <w:i w:val="0"/>
          <w:caps w:val="0"/>
          <w:color w:val="000000"/>
          <w:spacing w:val="0"/>
          <w:sz w:val="31"/>
          <w:szCs w:val="31"/>
        </w:rPr>
        <w:t>，电子邮箱：</w:t>
      </w:r>
      <w:r>
        <w:rPr>
          <w:rFonts w:hint="eastAsia" w:ascii="仿宋_GB2312" w:hAnsi="宋体" w:eastAsia="仿宋_GB2312" w:cs="仿宋_GB2312"/>
          <w:i w:val="0"/>
          <w:caps w:val="0"/>
          <w:color w:val="333333"/>
          <w:spacing w:val="0"/>
          <w:sz w:val="31"/>
          <w:szCs w:val="31"/>
          <w:shd w:val="clear" w:fill="FFFFFF"/>
        </w:rPr>
        <w:t>gzjgjbgs@zz.shandong.cn）</w:t>
      </w:r>
      <w:r>
        <w:rPr>
          <w:rFonts w:hint="eastAsia" w:ascii="仿宋_GB2312" w:hAnsi="宋体" w:eastAsia="仿宋_GB2312" w:cs="仿宋_GB2312"/>
          <w:b/>
          <w:i w:val="0"/>
          <w:caps w:val="0"/>
          <w:color w:val="333333"/>
          <w:spacing w:val="0"/>
          <w:sz w:val="31"/>
          <w:szCs w:val="31"/>
          <w:shd w:val="clear" w:fill="FFFFFF"/>
        </w:rPr>
        <w:t>。</w:t>
      </w: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p>
    <w:p>
      <w:pPr>
        <w:spacing w:line="560" w:lineRule="exact"/>
        <w:ind w:firstLine="640" w:firstLineChars="200"/>
        <w:jc w:val="right"/>
      </w:pPr>
      <w:r>
        <w:rPr>
          <w:rFonts w:hint="eastAsia" w:ascii="Times New Roman" w:hAnsi="仿宋"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sectPr>
      <w:footerReference r:id="rId3" w:type="default"/>
      <w:foot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rFonts w:ascii="Times New Roman" w:hAnsi="Times New Roman" w:cs="Times New Roman"/>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- 3 -</w:t>
    </w:r>
    <w:r>
      <w:rPr>
        <w:rStyle w:val="7"/>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- 4 -</w:t>
    </w:r>
    <w:r>
      <w:rPr>
        <w:rStyle w:val="7"/>
        <w:rFonts w:ascii="Times New Roman" w:hAnsi="Times New Roman" w:cs="Times New Roman"/>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BDC98"/>
    <w:multiLevelType w:val="singleLevel"/>
    <w:tmpl w:val="4F0BDC9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5MGVhYWUyODNmZjc5ZGViYTAwZmQyZjljMWNhZTMifQ=="/>
  </w:docVars>
  <w:rsids>
    <w:rsidRoot w:val="00427CE0"/>
    <w:rsid w:val="0000488F"/>
    <w:rsid w:val="00004C2A"/>
    <w:rsid w:val="00005065"/>
    <w:rsid w:val="000078B2"/>
    <w:rsid w:val="00015847"/>
    <w:rsid w:val="00022693"/>
    <w:rsid w:val="00045F76"/>
    <w:rsid w:val="000507B0"/>
    <w:rsid w:val="00053AEB"/>
    <w:rsid w:val="0005473C"/>
    <w:rsid w:val="00055E08"/>
    <w:rsid w:val="00057DA0"/>
    <w:rsid w:val="0006084E"/>
    <w:rsid w:val="000645C9"/>
    <w:rsid w:val="00065BB7"/>
    <w:rsid w:val="00067BB4"/>
    <w:rsid w:val="00071A68"/>
    <w:rsid w:val="00074F35"/>
    <w:rsid w:val="00080035"/>
    <w:rsid w:val="0008014E"/>
    <w:rsid w:val="00087F71"/>
    <w:rsid w:val="00090330"/>
    <w:rsid w:val="00090337"/>
    <w:rsid w:val="00094482"/>
    <w:rsid w:val="0009514B"/>
    <w:rsid w:val="000A2BCF"/>
    <w:rsid w:val="000A2FA5"/>
    <w:rsid w:val="000B0753"/>
    <w:rsid w:val="000B15C6"/>
    <w:rsid w:val="000B5AFB"/>
    <w:rsid w:val="000D78E5"/>
    <w:rsid w:val="000E0D27"/>
    <w:rsid w:val="000E2930"/>
    <w:rsid w:val="000E3204"/>
    <w:rsid w:val="000E5E1E"/>
    <w:rsid w:val="000F3144"/>
    <w:rsid w:val="000F4FA9"/>
    <w:rsid w:val="0010670F"/>
    <w:rsid w:val="00107580"/>
    <w:rsid w:val="00107AC2"/>
    <w:rsid w:val="001103D4"/>
    <w:rsid w:val="001117E3"/>
    <w:rsid w:val="0012737E"/>
    <w:rsid w:val="00127B5E"/>
    <w:rsid w:val="001308D9"/>
    <w:rsid w:val="001319C4"/>
    <w:rsid w:val="00132453"/>
    <w:rsid w:val="00134A72"/>
    <w:rsid w:val="00136DEE"/>
    <w:rsid w:val="00137CF2"/>
    <w:rsid w:val="0014075A"/>
    <w:rsid w:val="001426CB"/>
    <w:rsid w:val="00143B80"/>
    <w:rsid w:val="00143E72"/>
    <w:rsid w:val="00145674"/>
    <w:rsid w:val="00147302"/>
    <w:rsid w:val="00151074"/>
    <w:rsid w:val="00151C38"/>
    <w:rsid w:val="0015532A"/>
    <w:rsid w:val="00157187"/>
    <w:rsid w:val="00164C0E"/>
    <w:rsid w:val="00183E2A"/>
    <w:rsid w:val="00184F2E"/>
    <w:rsid w:val="00191234"/>
    <w:rsid w:val="00193198"/>
    <w:rsid w:val="00193B4C"/>
    <w:rsid w:val="001A0A35"/>
    <w:rsid w:val="001A3456"/>
    <w:rsid w:val="001A579F"/>
    <w:rsid w:val="001B430F"/>
    <w:rsid w:val="001B76D0"/>
    <w:rsid w:val="001B7745"/>
    <w:rsid w:val="001B7B8D"/>
    <w:rsid w:val="001D157A"/>
    <w:rsid w:val="001D353D"/>
    <w:rsid w:val="001D70E8"/>
    <w:rsid w:val="001D7D47"/>
    <w:rsid w:val="001E47AF"/>
    <w:rsid w:val="001F69D9"/>
    <w:rsid w:val="001F772B"/>
    <w:rsid w:val="00200F35"/>
    <w:rsid w:val="00200FB4"/>
    <w:rsid w:val="00202D06"/>
    <w:rsid w:val="00203741"/>
    <w:rsid w:val="00206FFE"/>
    <w:rsid w:val="00215922"/>
    <w:rsid w:val="00215E96"/>
    <w:rsid w:val="00216A1E"/>
    <w:rsid w:val="0022002C"/>
    <w:rsid w:val="00223971"/>
    <w:rsid w:val="00224E30"/>
    <w:rsid w:val="00227D5D"/>
    <w:rsid w:val="00231F62"/>
    <w:rsid w:val="00232E4D"/>
    <w:rsid w:val="00232F74"/>
    <w:rsid w:val="00236903"/>
    <w:rsid w:val="00240D19"/>
    <w:rsid w:val="00241D46"/>
    <w:rsid w:val="00247BCE"/>
    <w:rsid w:val="002606F4"/>
    <w:rsid w:val="00260993"/>
    <w:rsid w:val="00260B43"/>
    <w:rsid w:val="00273435"/>
    <w:rsid w:val="00294448"/>
    <w:rsid w:val="002A2498"/>
    <w:rsid w:val="002A2BFC"/>
    <w:rsid w:val="002A7E35"/>
    <w:rsid w:val="002B0C7F"/>
    <w:rsid w:val="002C450D"/>
    <w:rsid w:val="002C57E2"/>
    <w:rsid w:val="002C6589"/>
    <w:rsid w:val="002C6AA8"/>
    <w:rsid w:val="002D16AB"/>
    <w:rsid w:val="002D7529"/>
    <w:rsid w:val="002E2E20"/>
    <w:rsid w:val="002F044A"/>
    <w:rsid w:val="002F08FE"/>
    <w:rsid w:val="002F1FE1"/>
    <w:rsid w:val="00300EB6"/>
    <w:rsid w:val="003106AB"/>
    <w:rsid w:val="003165FB"/>
    <w:rsid w:val="00317275"/>
    <w:rsid w:val="00317E09"/>
    <w:rsid w:val="00324A84"/>
    <w:rsid w:val="00330A4B"/>
    <w:rsid w:val="00330D15"/>
    <w:rsid w:val="00336C9C"/>
    <w:rsid w:val="00343F30"/>
    <w:rsid w:val="003545ED"/>
    <w:rsid w:val="0035479F"/>
    <w:rsid w:val="00357A67"/>
    <w:rsid w:val="0037030C"/>
    <w:rsid w:val="00374B57"/>
    <w:rsid w:val="003838A3"/>
    <w:rsid w:val="00386E10"/>
    <w:rsid w:val="003905E6"/>
    <w:rsid w:val="00390B69"/>
    <w:rsid w:val="00392C99"/>
    <w:rsid w:val="003966B7"/>
    <w:rsid w:val="003A5321"/>
    <w:rsid w:val="003A535D"/>
    <w:rsid w:val="003A55B8"/>
    <w:rsid w:val="003A594D"/>
    <w:rsid w:val="003A71E9"/>
    <w:rsid w:val="003A78DE"/>
    <w:rsid w:val="003B5F81"/>
    <w:rsid w:val="003C1B37"/>
    <w:rsid w:val="003C1C6C"/>
    <w:rsid w:val="003C2B40"/>
    <w:rsid w:val="003C31F8"/>
    <w:rsid w:val="003C3EE3"/>
    <w:rsid w:val="003D046B"/>
    <w:rsid w:val="003D0B73"/>
    <w:rsid w:val="003D661E"/>
    <w:rsid w:val="003E35DF"/>
    <w:rsid w:val="003F702D"/>
    <w:rsid w:val="0040201C"/>
    <w:rsid w:val="004043B6"/>
    <w:rsid w:val="00406C37"/>
    <w:rsid w:val="004072E5"/>
    <w:rsid w:val="00407742"/>
    <w:rsid w:val="004107C9"/>
    <w:rsid w:val="00424D19"/>
    <w:rsid w:val="004260E0"/>
    <w:rsid w:val="00427A95"/>
    <w:rsid w:val="00427CE0"/>
    <w:rsid w:val="00430283"/>
    <w:rsid w:val="004307D6"/>
    <w:rsid w:val="00436BCD"/>
    <w:rsid w:val="00440113"/>
    <w:rsid w:val="00441D2F"/>
    <w:rsid w:val="0044350F"/>
    <w:rsid w:val="00443BB0"/>
    <w:rsid w:val="00444941"/>
    <w:rsid w:val="0044579C"/>
    <w:rsid w:val="00445A68"/>
    <w:rsid w:val="0044659B"/>
    <w:rsid w:val="00446AD6"/>
    <w:rsid w:val="00450969"/>
    <w:rsid w:val="0045296C"/>
    <w:rsid w:val="00453332"/>
    <w:rsid w:val="004557B8"/>
    <w:rsid w:val="00456F68"/>
    <w:rsid w:val="00461418"/>
    <w:rsid w:val="00467749"/>
    <w:rsid w:val="004719C1"/>
    <w:rsid w:val="00472E3C"/>
    <w:rsid w:val="00475A7E"/>
    <w:rsid w:val="00480487"/>
    <w:rsid w:val="00484D9C"/>
    <w:rsid w:val="004A2C91"/>
    <w:rsid w:val="004A571F"/>
    <w:rsid w:val="004B1E69"/>
    <w:rsid w:val="004B7801"/>
    <w:rsid w:val="004C1DE5"/>
    <w:rsid w:val="004D76A3"/>
    <w:rsid w:val="004D7879"/>
    <w:rsid w:val="004D7E33"/>
    <w:rsid w:val="004E5FB4"/>
    <w:rsid w:val="004E7E6C"/>
    <w:rsid w:val="004F4317"/>
    <w:rsid w:val="004F6F98"/>
    <w:rsid w:val="0050060E"/>
    <w:rsid w:val="00502C5F"/>
    <w:rsid w:val="005201B2"/>
    <w:rsid w:val="00520D53"/>
    <w:rsid w:val="00523949"/>
    <w:rsid w:val="0052595D"/>
    <w:rsid w:val="00530E03"/>
    <w:rsid w:val="00536C3D"/>
    <w:rsid w:val="0054029C"/>
    <w:rsid w:val="00541B43"/>
    <w:rsid w:val="0054244F"/>
    <w:rsid w:val="00550DF2"/>
    <w:rsid w:val="0056426F"/>
    <w:rsid w:val="00565285"/>
    <w:rsid w:val="00566B24"/>
    <w:rsid w:val="00570772"/>
    <w:rsid w:val="00570D92"/>
    <w:rsid w:val="005758F4"/>
    <w:rsid w:val="005805C9"/>
    <w:rsid w:val="00583346"/>
    <w:rsid w:val="00583A10"/>
    <w:rsid w:val="0058521E"/>
    <w:rsid w:val="00590AE8"/>
    <w:rsid w:val="00591FBE"/>
    <w:rsid w:val="005A0C24"/>
    <w:rsid w:val="005A4009"/>
    <w:rsid w:val="005A4317"/>
    <w:rsid w:val="005A5E11"/>
    <w:rsid w:val="005A6313"/>
    <w:rsid w:val="005B381D"/>
    <w:rsid w:val="005C049E"/>
    <w:rsid w:val="005C79F8"/>
    <w:rsid w:val="005D2D97"/>
    <w:rsid w:val="005D30B1"/>
    <w:rsid w:val="005E1ED5"/>
    <w:rsid w:val="005E284C"/>
    <w:rsid w:val="005E3A55"/>
    <w:rsid w:val="005F2DE3"/>
    <w:rsid w:val="005F655C"/>
    <w:rsid w:val="006013F2"/>
    <w:rsid w:val="00603E69"/>
    <w:rsid w:val="006068B8"/>
    <w:rsid w:val="00611A58"/>
    <w:rsid w:val="00614AD2"/>
    <w:rsid w:val="00623B24"/>
    <w:rsid w:val="00623B80"/>
    <w:rsid w:val="00626BBC"/>
    <w:rsid w:val="00634BCF"/>
    <w:rsid w:val="0064417C"/>
    <w:rsid w:val="00645E60"/>
    <w:rsid w:val="00652763"/>
    <w:rsid w:val="006528FF"/>
    <w:rsid w:val="00654529"/>
    <w:rsid w:val="00661BC0"/>
    <w:rsid w:val="00662DC5"/>
    <w:rsid w:val="0067049F"/>
    <w:rsid w:val="00673330"/>
    <w:rsid w:val="0067779B"/>
    <w:rsid w:val="00680806"/>
    <w:rsid w:val="006814FB"/>
    <w:rsid w:val="00692137"/>
    <w:rsid w:val="006946A5"/>
    <w:rsid w:val="00694EE8"/>
    <w:rsid w:val="00694F75"/>
    <w:rsid w:val="006A00EB"/>
    <w:rsid w:val="006A0AC9"/>
    <w:rsid w:val="006A1A79"/>
    <w:rsid w:val="006A2CF7"/>
    <w:rsid w:val="006A3F96"/>
    <w:rsid w:val="006A418F"/>
    <w:rsid w:val="006A5B9C"/>
    <w:rsid w:val="006B11C8"/>
    <w:rsid w:val="006B2F56"/>
    <w:rsid w:val="006B49DD"/>
    <w:rsid w:val="006B73DE"/>
    <w:rsid w:val="006C196B"/>
    <w:rsid w:val="006C3F83"/>
    <w:rsid w:val="006C44DB"/>
    <w:rsid w:val="006C5103"/>
    <w:rsid w:val="006C7F2A"/>
    <w:rsid w:val="006D05CD"/>
    <w:rsid w:val="006D6619"/>
    <w:rsid w:val="006E0243"/>
    <w:rsid w:val="006E10BF"/>
    <w:rsid w:val="006E187C"/>
    <w:rsid w:val="006E4AEF"/>
    <w:rsid w:val="006E60EB"/>
    <w:rsid w:val="006F272B"/>
    <w:rsid w:val="007056DD"/>
    <w:rsid w:val="0070657E"/>
    <w:rsid w:val="007108FE"/>
    <w:rsid w:val="00714053"/>
    <w:rsid w:val="007179B5"/>
    <w:rsid w:val="007214A9"/>
    <w:rsid w:val="00740D78"/>
    <w:rsid w:val="0074530A"/>
    <w:rsid w:val="0074636E"/>
    <w:rsid w:val="00746841"/>
    <w:rsid w:val="007522D5"/>
    <w:rsid w:val="007577BA"/>
    <w:rsid w:val="00763B99"/>
    <w:rsid w:val="0077294E"/>
    <w:rsid w:val="007758C2"/>
    <w:rsid w:val="0078317F"/>
    <w:rsid w:val="00786D79"/>
    <w:rsid w:val="00786FA7"/>
    <w:rsid w:val="00796A90"/>
    <w:rsid w:val="007A0BF5"/>
    <w:rsid w:val="007A142B"/>
    <w:rsid w:val="007A1697"/>
    <w:rsid w:val="007A415C"/>
    <w:rsid w:val="007A493A"/>
    <w:rsid w:val="007A4DA0"/>
    <w:rsid w:val="007B1255"/>
    <w:rsid w:val="007C3AE6"/>
    <w:rsid w:val="007D17E4"/>
    <w:rsid w:val="007E29F4"/>
    <w:rsid w:val="007E4A9C"/>
    <w:rsid w:val="00801FD3"/>
    <w:rsid w:val="00805AEB"/>
    <w:rsid w:val="00807347"/>
    <w:rsid w:val="008103AA"/>
    <w:rsid w:val="00813EA2"/>
    <w:rsid w:val="00815F96"/>
    <w:rsid w:val="0081746F"/>
    <w:rsid w:val="00817B03"/>
    <w:rsid w:val="008234F7"/>
    <w:rsid w:val="008257F4"/>
    <w:rsid w:val="00825D10"/>
    <w:rsid w:val="00832F3B"/>
    <w:rsid w:val="008334D0"/>
    <w:rsid w:val="008354A5"/>
    <w:rsid w:val="00835BF9"/>
    <w:rsid w:val="00835F97"/>
    <w:rsid w:val="008422F9"/>
    <w:rsid w:val="00846F8D"/>
    <w:rsid w:val="00851427"/>
    <w:rsid w:val="00854B44"/>
    <w:rsid w:val="008617F3"/>
    <w:rsid w:val="008656D8"/>
    <w:rsid w:val="00866C4D"/>
    <w:rsid w:val="008678B3"/>
    <w:rsid w:val="00872210"/>
    <w:rsid w:val="00872EE2"/>
    <w:rsid w:val="00873FEF"/>
    <w:rsid w:val="0087401F"/>
    <w:rsid w:val="0087714B"/>
    <w:rsid w:val="0087743C"/>
    <w:rsid w:val="00881BCE"/>
    <w:rsid w:val="00881E9A"/>
    <w:rsid w:val="008847F6"/>
    <w:rsid w:val="00886DA4"/>
    <w:rsid w:val="00886E5C"/>
    <w:rsid w:val="0088791B"/>
    <w:rsid w:val="00887ACE"/>
    <w:rsid w:val="00887E53"/>
    <w:rsid w:val="008912C0"/>
    <w:rsid w:val="008919B9"/>
    <w:rsid w:val="008953DB"/>
    <w:rsid w:val="00896F15"/>
    <w:rsid w:val="008A2EAD"/>
    <w:rsid w:val="008A3231"/>
    <w:rsid w:val="008A4E80"/>
    <w:rsid w:val="008A5C83"/>
    <w:rsid w:val="008A5E6A"/>
    <w:rsid w:val="008A65D8"/>
    <w:rsid w:val="008A6A3B"/>
    <w:rsid w:val="008A7B0D"/>
    <w:rsid w:val="008A7C57"/>
    <w:rsid w:val="008B4EE1"/>
    <w:rsid w:val="008C0C42"/>
    <w:rsid w:val="008C6BB7"/>
    <w:rsid w:val="008D0034"/>
    <w:rsid w:val="008D2456"/>
    <w:rsid w:val="008D2F8D"/>
    <w:rsid w:val="008D5107"/>
    <w:rsid w:val="008D5E5C"/>
    <w:rsid w:val="008D6B23"/>
    <w:rsid w:val="008D7C59"/>
    <w:rsid w:val="008F120C"/>
    <w:rsid w:val="008F5EAB"/>
    <w:rsid w:val="00903BCD"/>
    <w:rsid w:val="0090758A"/>
    <w:rsid w:val="00910027"/>
    <w:rsid w:val="0091193A"/>
    <w:rsid w:val="009122AA"/>
    <w:rsid w:val="0091593B"/>
    <w:rsid w:val="00915AE4"/>
    <w:rsid w:val="00917122"/>
    <w:rsid w:val="00922430"/>
    <w:rsid w:val="00924B26"/>
    <w:rsid w:val="00926A5F"/>
    <w:rsid w:val="00927612"/>
    <w:rsid w:val="00931257"/>
    <w:rsid w:val="009356ED"/>
    <w:rsid w:val="009404C9"/>
    <w:rsid w:val="00947F18"/>
    <w:rsid w:val="00952179"/>
    <w:rsid w:val="00955857"/>
    <w:rsid w:val="00956A4A"/>
    <w:rsid w:val="0095748D"/>
    <w:rsid w:val="00962398"/>
    <w:rsid w:val="009623F0"/>
    <w:rsid w:val="00980EDA"/>
    <w:rsid w:val="00983E86"/>
    <w:rsid w:val="00994A60"/>
    <w:rsid w:val="00996522"/>
    <w:rsid w:val="009A1B6B"/>
    <w:rsid w:val="009A43E3"/>
    <w:rsid w:val="009A498E"/>
    <w:rsid w:val="009A54A3"/>
    <w:rsid w:val="009A62F6"/>
    <w:rsid w:val="009B3B7D"/>
    <w:rsid w:val="009B4A88"/>
    <w:rsid w:val="009C4525"/>
    <w:rsid w:val="009C7F30"/>
    <w:rsid w:val="009D4BEA"/>
    <w:rsid w:val="009E245A"/>
    <w:rsid w:val="009E3B7E"/>
    <w:rsid w:val="009E4F39"/>
    <w:rsid w:val="009E70CC"/>
    <w:rsid w:val="009E7747"/>
    <w:rsid w:val="009E79D6"/>
    <w:rsid w:val="009F6FDE"/>
    <w:rsid w:val="00A03C61"/>
    <w:rsid w:val="00A055C2"/>
    <w:rsid w:val="00A06952"/>
    <w:rsid w:val="00A10905"/>
    <w:rsid w:val="00A13041"/>
    <w:rsid w:val="00A16699"/>
    <w:rsid w:val="00A22D1A"/>
    <w:rsid w:val="00A2396F"/>
    <w:rsid w:val="00A27999"/>
    <w:rsid w:val="00A3151E"/>
    <w:rsid w:val="00A36499"/>
    <w:rsid w:val="00A37F7E"/>
    <w:rsid w:val="00A43666"/>
    <w:rsid w:val="00A46C12"/>
    <w:rsid w:val="00A54329"/>
    <w:rsid w:val="00A555FC"/>
    <w:rsid w:val="00A571AD"/>
    <w:rsid w:val="00A60A50"/>
    <w:rsid w:val="00A7094D"/>
    <w:rsid w:val="00A7384A"/>
    <w:rsid w:val="00A74731"/>
    <w:rsid w:val="00A819CB"/>
    <w:rsid w:val="00A85D8B"/>
    <w:rsid w:val="00A87296"/>
    <w:rsid w:val="00A911D1"/>
    <w:rsid w:val="00A923AA"/>
    <w:rsid w:val="00A94CD0"/>
    <w:rsid w:val="00A954DA"/>
    <w:rsid w:val="00AA473A"/>
    <w:rsid w:val="00AA797E"/>
    <w:rsid w:val="00AC5A84"/>
    <w:rsid w:val="00AC6D24"/>
    <w:rsid w:val="00AD419B"/>
    <w:rsid w:val="00AD4B3F"/>
    <w:rsid w:val="00AD72B4"/>
    <w:rsid w:val="00AE2391"/>
    <w:rsid w:val="00AE2B0B"/>
    <w:rsid w:val="00AE571A"/>
    <w:rsid w:val="00AE6B9B"/>
    <w:rsid w:val="00AE7056"/>
    <w:rsid w:val="00AF0800"/>
    <w:rsid w:val="00AF1572"/>
    <w:rsid w:val="00AF4D9C"/>
    <w:rsid w:val="00AF76E9"/>
    <w:rsid w:val="00B0058C"/>
    <w:rsid w:val="00B07E03"/>
    <w:rsid w:val="00B1056A"/>
    <w:rsid w:val="00B15812"/>
    <w:rsid w:val="00B20490"/>
    <w:rsid w:val="00B25C3C"/>
    <w:rsid w:val="00B31D68"/>
    <w:rsid w:val="00B31DB3"/>
    <w:rsid w:val="00B323EE"/>
    <w:rsid w:val="00B3511B"/>
    <w:rsid w:val="00B35F50"/>
    <w:rsid w:val="00B367DE"/>
    <w:rsid w:val="00B37B7A"/>
    <w:rsid w:val="00B37D83"/>
    <w:rsid w:val="00B43088"/>
    <w:rsid w:val="00B45705"/>
    <w:rsid w:val="00B472DF"/>
    <w:rsid w:val="00B50ECC"/>
    <w:rsid w:val="00B6007C"/>
    <w:rsid w:val="00B75960"/>
    <w:rsid w:val="00B825D9"/>
    <w:rsid w:val="00B82644"/>
    <w:rsid w:val="00B84242"/>
    <w:rsid w:val="00B85C74"/>
    <w:rsid w:val="00B862D7"/>
    <w:rsid w:val="00B92FB0"/>
    <w:rsid w:val="00B93A88"/>
    <w:rsid w:val="00BA3712"/>
    <w:rsid w:val="00BA373F"/>
    <w:rsid w:val="00BA623F"/>
    <w:rsid w:val="00BB45BC"/>
    <w:rsid w:val="00BB4FD7"/>
    <w:rsid w:val="00BB63A9"/>
    <w:rsid w:val="00BB6582"/>
    <w:rsid w:val="00BB73EA"/>
    <w:rsid w:val="00BD348D"/>
    <w:rsid w:val="00BD619D"/>
    <w:rsid w:val="00BD6822"/>
    <w:rsid w:val="00BD6E5C"/>
    <w:rsid w:val="00BE3072"/>
    <w:rsid w:val="00BF4DED"/>
    <w:rsid w:val="00C0389A"/>
    <w:rsid w:val="00C06615"/>
    <w:rsid w:val="00C079BA"/>
    <w:rsid w:val="00C10EDC"/>
    <w:rsid w:val="00C20CB6"/>
    <w:rsid w:val="00C22EA6"/>
    <w:rsid w:val="00C2784B"/>
    <w:rsid w:val="00C31BB8"/>
    <w:rsid w:val="00C357CB"/>
    <w:rsid w:val="00C35ED7"/>
    <w:rsid w:val="00C47998"/>
    <w:rsid w:val="00C50531"/>
    <w:rsid w:val="00C505CE"/>
    <w:rsid w:val="00C606C8"/>
    <w:rsid w:val="00C625AA"/>
    <w:rsid w:val="00C62833"/>
    <w:rsid w:val="00C629D2"/>
    <w:rsid w:val="00C636CB"/>
    <w:rsid w:val="00C65B9B"/>
    <w:rsid w:val="00C65FA9"/>
    <w:rsid w:val="00C668D8"/>
    <w:rsid w:val="00C747E7"/>
    <w:rsid w:val="00C768F0"/>
    <w:rsid w:val="00C77055"/>
    <w:rsid w:val="00C83BE5"/>
    <w:rsid w:val="00C86F6C"/>
    <w:rsid w:val="00C87379"/>
    <w:rsid w:val="00C96C15"/>
    <w:rsid w:val="00C9710A"/>
    <w:rsid w:val="00CA0D96"/>
    <w:rsid w:val="00CA2CD1"/>
    <w:rsid w:val="00CA36B5"/>
    <w:rsid w:val="00CA4852"/>
    <w:rsid w:val="00CA6392"/>
    <w:rsid w:val="00CA6BDB"/>
    <w:rsid w:val="00CB35A2"/>
    <w:rsid w:val="00CB4824"/>
    <w:rsid w:val="00CB568D"/>
    <w:rsid w:val="00CB7479"/>
    <w:rsid w:val="00CC138A"/>
    <w:rsid w:val="00CC3408"/>
    <w:rsid w:val="00CC4ECB"/>
    <w:rsid w:val="00CD03BC"/>
    <w:rsid w:val="00CD0490"/>
    <w:rsid w:val="00CD0725"/>
    <w:rsid w:val="00CD1497"/>
    <w:rsid w:val="00CD21FA"/>
    <w:rsid w:val="00CD701E"/>
    <w:rsid w:val="00CD7B8B"/>
    <w:rsid w:val="00CD7E48"/>
    <w:rsid w:val="00CE0456"/>
    <w:rsid w:val="00CF1BE8"/>
    <w:rsid w:val="00CF2698"/>
    <w:rsid w:val="00CF5288"/>
    <w:rsid w:val="00D04FD8"/>
    <w:rsid w:val="00D108CF"/>
    <w:rsid w:val="00D137A6"/>
    <w:rsid w:val="00D14B75"/>
    <w:rsid w:val="00D167DD"/>
    <w:rsid w:val="00D20BC6"/>
    <w:rsid w:val="00D26346"/>
    <w:rsid w:val="00D27D5F"/>
    <w:rsid w:val="00D310CB"/>
    <w:rsid w:val="00D41D0A"/>
    <w:rsid w:val="00D429F1"/>
    <w:rsid w:val="00D446F8"/>
    <w:rsid w:val="00D44FA6"/>
    <w:rsid w:val="00D46DD7"/>
    <w:rsid w:val="00D6418C"/>
    <w:rsid w:val="00D646B1"/>
    <w:rsid w:val="00D6608D"/>
    <w:rsid w:val="00D66F03"/>
    <w:rsid w:val="00D6743B"/>
    <w:rsid w:val="00D70D55"/>
    <w:rsid w:val="00D75A84"/>
    <w:rsid w:val="00D75B76"/>
    <w:rsid w:val="00D801A8"/>
    <w:rsid w:val="00D80212"/>
    <w:rsid w:val="00D8059A"/>
    <w:rsid w:val="00D925C2"/>
    <w:rsid w:val="00D9260C"/>
    <w:rsid w:val="00D938BF"/>
    <w:rsid w:val="00D951DC"/>
    <w:rsid w:val="00D96461"/>
    <w:rsid w:val="00D970D8"/>
    <w:rsid w:val="00DA0C5B"/>
    <w:rsid w:val="00DA44AA"/>
    <w:rsid w:val="00DA6711"/>
    <w:rsid w:val="00DA7BED"/>
    <w:rsid w:val="00DB2515"/>
    <w:rsid w:val="00DB5DD8"/>
    <w:rsid w:val="00DC1C60"/>
    <w:rsid w:val="00DC2054"/>
    <w:rsid w:val="00DD0E02"/>
    <w:rsid w:val="00DD3926"/>
    <w:rsid w:val="00DD3A53"/>
    <w:rsid w:val="00DE3ADD"/>
    <w:rsid w:val="00DE65CE"/>
    <w:rsid w:val="00DE6B97"/>
    <w:rsid w:val="00DF01A0"/>
    <w:rsid w:val="00DF04D7"/>
    <w:rsid w:val="00DF1E88"/>
    <w:rsid w:val="00DF379B"/>
    <w:rsid w:val="00E03746"/>
    <w:rsid w:val="00E0397D"/>
    <w:rsid w:val="00E0559F"/>
    <w:rsid w:val="00E1398B"/>
    <w:rsid w:val="00E24994"/>
    <w:rsid w:val="00E25E3A"/>
    <w:rsid w:val="00E270B6"/>
    <w:rsid w:val="00E312F7"/>
    <w:rsid w:val="00E353B3"/>
    <w:rsid w:val="00E35A62"/>
    <w:rsid w:val="00E37373"/>
    <w:rsid w:val="00E40813"/>
    <w:rsid w:val="00E4153D"/>
    <w:rsid w:val="00E41EBC"/>
    <w:rsid w:val="00E45052"/>
    <w:rsid w:val="00E465E0"/>
    <w:rsid w:val="00E51D42"/>
    <w:rsid w:val="00E54738"/>
    <w:rsid w:val="00E61273"/>
    <w:rsid w:val="00E661B7"/>
    <w:rsid w:val="00E66874"/>
    <w:rsid w:val="00E71D5A"/>
    <w:rsid w:val="00E75087"/>
    <w:rsid w:val="00E75A00"/>
    <w:rsid w:val="00E81460"/>
    <w:rsid w:val="00E91312"/>
    <w:rsid w:val="00E9240C"/>
    <w:rsid w:val="00EA0963"/>
    <w:rsid w:val="00EA20C4"/>
    <w:rsid w:val="00EA2445"/>
    <w:rsid w:val="00EA5871"/>
    <w:rsid w:val="00EA5BC0"/>
    <w:rsid w:val="00EA6122"/>
    <w:rsid w:val="00EB235E"/>
    <w:rsid w:val="00EB260E"/>
    <w:rsid w:val="00EC177D"/>
    <w:rsid w:val="00EC1919"/>
    <w:rsid w:val="00EC2B0B"/>
    <w:rsid w:val="00ED2403"/>
    <w:rsid w:val="00ED2D6D"/>
    <w:rsid w:val="00ED343F"/>
    <w:rsid w:val="00ED3F84"/>
    <w:rsid w:val="00EE20E8"/>
    <w:rsid w:val="00EE660E"/>
    <w:rsid w:val="00EF3A29"/>
    <w:rsid w:val="00EF51D5"/>
    <w:rsid w:val="00F07392"/>
    <w:rsid w:val="00F073D9"/>
    <w:rsid w:val="00F177D4"/>
    <w:rsid w:val="00F2005D"/>
    <w:rsid w:val="00F20B62"/>
    <w:rsid w:val="00F258BB"/>
    <w:rsid w:val="00F25D05"/>
    <w:rsid w:val="00F46A9E"/>
    <w:rsid w:val="00F51BEC"/>
    <w:rsid w:val="00F52661"/>
    <w:rsid w:val="00F54CA8"/>
    <w:rsid w:val="00F56EE4"/>
    <w:rsid w:val="00F6441C"/>
    <w:rsid w:val="00F6566E"/>
    <w:rsid w:val="00F72C3A"/>
    <w:rsid w:val="00F770F9"/>
    <w:rsid w:val="00F86EE9"/>
    <w:rsid w:val="00F871E0"/>
    <w:rsid w:val="00F910F1"/>
    <w:rsid w:val="00F9258D"/>
    <w:rsid w:val="00F92B6C"/>
    <w:rsid w:val="00F955C4"/>
    <w:rsid w:val="00F95DD7"/>
    <w:rsid w:val="00FA44FA"/>
    <w:rsid w:val="00FB0869"/>
    <w:rsid w:val="00FB12F1"/>
    <w:rsid w:val="00FB3CAD"/>
    <w:rsid w:val="00FB5152"/>
    <w:rsid w:val="00FB5CB4"/>
    <w:rsid w:val="00FB5E15"/>
    <w:rsid w:val="00FC5404"/>
    <w:rsid w:val="00FC5E32"/>
    <w:rsid w:val="00FD0598"/>
    <w:rsid w:val="00FE05B3"/>
    <w:rsid w:val="00FE490B"/>
    <w:rsid w:val="00FE75CF"/>
    <w:rsid w:val="00FE79BD"/>
    <w:rsid w:val="012D2227"/>
    <w:rsid w:val="04870C3D"/>
    <w:rsid w:val="07DE427B"/>
    <w:rsid w:val="0B8769D7"/>
    <w:rsid w:val="0C3508A3"/>
    <w:rsid w:val="0CC440E3"/>
    <w:rsid w:val="0E572FC1"/>
    <w:rsid w:val="115A0FCC"/>
    <w:rsid w:val="129C0FBA"/>
    <w:rsid w:val="136E3B08"/>
    <w:rsid w:val="160C46A9"/>
    <w:rsid w:val="165025C6"/>
    <w:rsid w:val="16BC1C2B"/>
    <w:rsid w:val="170F61FF"/>
    <w:rsid w:val="17F92A0B"/>
    <w:rsid w:val="1FBE07C2"/>
    <w:rsid w:val="20F46465"/>
    <w:rsid w:val="228A2DCE"/>
    <w:rsid w:val="23DB10F9"/>
    <w:rsid w:val="25D67256"/>
    <w:rsid w:val="26EB20AC"/>
    <w:rsid w:val="281C4C20"/>
    <w:rsid w:val="28452C32"/>
    <w:rsid w:val="28B906C0"/>
    <w:rsid w:val="294A544A"/>
    <w:rsid w:val="298E7457"/>
    <w:rsid w:val="2A4804A5"/>
    <w:rsid w:val="2AC1560A"/>
    <w:rsid w:val="2BEE242F"/>
    <w:rsid w:val="2D92328E"/>
    <w:rsid w:val="2DD40824"/>
    <w:rsid w:val="2E4E5407"/>
    <w:rsid w:val="306C7AC7"/>
    <w:rsid w:val="30A13F14"/>
    <w:rsid w:val="30C419B0"/>
    <w:rsid w:val="31093867"/>
    <w:rsid w:val="33D04B10"/>
    <w:rsid w:val="37054AD1"/>
    <w:rsid w:val="38B7004D"/>
    <w:rsid w:val="397F6DBC"/>
    <w:rsid w:val="3CF8256F"/>
    <w:rsid w:val="3E2D5039"/>
    <w:rsid w:val="3F79605C"/>
    <w:rsid w:val="403B1563"/>
    <w:rsid w:val="422C1AAB"/>
    <w:rsid w:val="45611D80"/>
    <w:rsid w:val="497858EA"/>
    <w:rsid w:val="49F82701"/>
    <w:rsid w:val="4C2E4986"/>
    <w:rsid w:val="4D720CBA"/>
    <w:rsid w:val="50C07F8E"/>
    <w:rsid w:val="51AE428B"/>
    <w:rsid w:val="53277E51"/>
    <w:rsid w:val="556D1D67"/>
    <w:rsid w:val="56B37C4E"/>
    <w:rsid w:val="57A9177C"/>
    <w:rsid w:val="5AFC7E15"/>
    <w:rsid w:val="5E48511F"/>
    <w:rsid w:val="5E532442"/>
    <w:rsid w:val="5F585836"/>
    <w:rsid w:val="5FD56E87"/>
    <w:rsid w:val="63DC4C88"/>
    <w:rsid w:val="6E427617"/>
    <w:rsid w:val="732F7061"/>
    <w:rsid w:val="74FC6F38"/>
    <w:rsid w:val="77F20ECB"/>
    <w:rsid w:val="79382508"/>
    <w:rsid w:val="7B540BCF"/>
    <w:rsid w:val="7C6158D2"/>
    <w:rsid w:val="7F761695"/>
    <w:rsid w:val="FBFB99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autoRedefine/>
    <w:qFormat/>
    <w:uiPriority w:val="99"/>
  </w:style>
  <w:style w:type="character" w:customStyle="1" w:styleId="8">
    <w:name w:val="页眉 Char"/>
    <w:basedOn w:val="6"/>
    <w:link w:val="3"/>
    <w:autoRedefine/>
    <w:semiHidden/>
    <w:qFormat/>
    <w:locked/>
    <w:uiPriority w:val="99"/>
    <w:rPr>
      <w:sz w:val="18"/>
      <w:szCs w:val="18"/>
    </w:rPr>
  </w:style>
  <w:style w:type="character" w:customStyle="1" w:styleId="9">
    <w:name w:val="页脚 Char"/>
    <w:basedOn w:val="6"/>
    <w:link w:val="2"/>
    <w:autoRedefine/>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6</Pages>
  <Words>2636</Words>
  <Characters>2713</Characters>
  <Lines>19</Lines>
  <Paragraphs>5</Paragraphs>
  <TotalTime>21</TotalTime>
  <ScaleCrop>false</ScaleCrop>
  <LinksUpToDate>false</LinksUpToDate>
  <CharactersWithSpaces>2765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2021-01-22T17:42:00Z</dcterms:created>
  <dc:creator>汪  岑</dc:creator>
  <cp:lastModifiedBy>淡然的小生活</cp:lastModifiedBy>
  <cp:lastPrinted>2024-01-23T02:18:00Z</cp:lastPrinted>
  <dcterms:modified xsi:type="dcterms:W3CDTF">2024-01-24T01:21:07Z</dcterms:modified>
  <cp:revision>590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6CFE2B0563BE495BAEED32219A8CBF97</vt:lpwstr>
  </property>
</Properties>
</file>