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17"/>
          <w:sz w:val="44"/>
          <w:szCs w:val="44"/>
          <w:shd w:val="clear" w:color="auto" w:fill="FFFFFF"/>
          <w:lang w:val="en-US" w:eastAsia="zh-CN" w:bidi="ar-SA"/>
        </w:rPr>
      </w:pPr>
      <w:r>
        <w:rPr>
          <w:rFonts w:hint="eastAsia" w:ascii="方正小标宋简体" w:hAnsi="方正小标宋简体" w:eastAsia="方正小标宋简体" w:cs="方正小标宋简体"/>
          <w:b/>
          <w:bCs w:val="0"/>
          <w:i w:val="0"/>
          <w:caps w:val="0"/>
          <w:color w:val="333333"/>
          <w:spacing w:val="-17"/>
          <w:sz w:val="44"/>
          <w:szCs w:val="44"/>
          <w:shd w:val="clear" w:color="auto" w:fill="FFFFFF"/>
          <w:lang w:val="en-US" w:eastAsia="zh-CN" w:bidi="ar-SA"/>
        </w:rPr>
        <w:t>滕州市南沙河镇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17"/>
          <w:sz w:val="44"/>
          <w:szCs w:val="44"/>
          <w:shd w:val="clear" w:color="auto" w:fill="FFFFFF"/>
          <w:lang w:val="en-US" w:eastAsia="zh-CN" w:bidi="ar-SA"/>
        </w:rPr>
      </w:pPr>
      <w:r>
        <w:rPr>
          <w:rFonts w:hint="eastAsia" w:ascii="方正小标宋简体" w:hAnsi="方正小标宋简体" w:eastAsia="方正小标宋简体" w:cs="方正小标宋简体"/>
          <w:b/>
          <w:bCs w:val="0"/>
          <w:i w:val="0"/>
          <w:caps w:val="0"/>
          <w:color w:val="333333"/>
          <w:spacing w:val="-17"/>
          <w:sz w:val="44"/>
          <w:szCs w:val="44"/>
          <w:shd w:val="clear" w:color="auto" w:fill="FFFFFF"/>
          <w:lang w:val="en-US" w:eastAsia="zh-CN" w:bidi="ar-SA"/>
        </w:rPr>
        <w:t>2023年政府信息公开工作年度报告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17"/>
          <w:sz w:val="44"/>
          <w:szCs w:val="44"/>
          <w:shd w:val="clear" w:color="auto" w:fill="FFFFFF"/>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after="0" w:afterAutospacing="0" w:line="605" w:lineRule="atLeast"/>
        <w:ind w:left="0" w:firstLine="634"/>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 xml:space="preserve"> </w:t>
      </w: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eastAsia="zh-CN"/>
        </w:rPr>
        <w:t>在市政府的正确领导下，在上级有关部门的关心支持下，我镇认真贯彻实施《条例》，层层分解落实政府信息公开要点，政府信息公开工作得到平稳、有序地推进，工作机制不断完善，公开内容不断深化，公开形式不断拓展，服务水平不断提高。为广大人民群众及时、规范、高效的提供政府信息公开服务，较好的满足了社会公众获取、利用政府信息的需求，有效的保障了公民知情权、参与权和监督权。</w:t>
      </w:r>
      <w:r>
        <w:rPr>
          <w:rFonts w:hint="eastAsia" w:ascii="仿宋" w:hAnsi="仿宋" w:eastAsia="仿宋" w:cs="仿宋"/>
          <w:b w:val="0"/>
          <w:bCs w:val="0"/>
          <w:i w:val="0"/>
          <w:iCs w:val="0"/>
          <w:color w:val="000000"/>
          <w:spacing w:val="0"/>
          <w:sz w:val="32"/>
          <w:szCs w:val="32"/>
          <w:shd w:val="clear" w:color="auto" w:fill="FFFFFF"/>
        </w:rPr>
        <w:t>本报告所列数据的统计时限自</w:t>
      </w:r>
      <w:r>
        <w:rPr>
          <w:rFonts w:hint="eastAsia" w:ascii="仿宋" w:hAnsi="仿宋" w:eastAsia="仿宋" w:cs="仿宋"/>
          <w:b w:val="0"/>
          <w:bCs w:val="0"/>
          <w:i w:val="0"/>
          <w:iCs w:val="0"/>
          <w:sz w:val="32"/>
          <w:szCs w:val="32"/>
          <w:shd w:val="clear" w:color="auto" w:fill="FFFFFF"/>
        </w:rPr>
        <w:t>202</w:t>
      </w:r>
      <w:r>
        <w:rPr>
          <w:rFonts w:hint="eastAsia" w:ascii="仿宋" w:hAnsi="仿宋" w:eastAsia="仿宋" w:cs="仿宋"/>
          <w:b w:val="0"/>
          <w:bCs w:val="0"/>
          <w:i w:val="0"/>
          <w:iCs w:val="0"/>
          <w:sz w:val="32"/>
          <w:szCs w:val="32"/>
          <w:shd w:val="clear" w:color="auto" w:fill="FFFFFF"/>
          <w:lang w:val="en-US" w:eastAsia="zh-CN"/>
        </w:rPr>
        <w:t>3</w:t>
      </w:r>
      <w:r>
        <w:rPr>
          <w:rFonts w:hint="eastAsia" w:ascii="仿宋" w:hAnsi="仿宋" w:eastAsia="仿宋" w:cs="仿宋"/>
          <w:b w:val="0"/>
          <w:bCs w:val="0"/>
          <w:i w:val="0"/>
          <w:iCs w:val="0"/>
          <w:color w:val="000000"/>
          <w:spacing w:val="0"/>
          <w:sz w:val="32"/>
          <w:szCs w:val="32"/>
          <w:shd w:val="clear" w:color="auto" w:fill="FFFFFF"/>
        </w:rPr>
        <w:t>年</w:t>
      </w:r>
      <w:r>
        <w:rPr>
          <w:rFonts w:hint="eastAsia" w:ascii="仿宋" w:hAnsi="仿宋" w:eastAsia="仿宋" w:cs="仿宋"/>
          <w:b w:val="0"/>
          <w:bCs w:val="0"/>
          <w:i w:val="0"/>
          <w:iCs w:val="0"/>
          <w:sz w:val="32"/>
          <w:szCs w:val="32"/>
          <w:shd w:val="clear" w:color="auto" w:fill="FFFFFF"/>
        </w:rPr>
        <w:t>1月1日起至</w:t>
      </w:r>
      <w:r>
        <w:rPr>
          <w:rFonts w:hint="eastAsia" w:ascii="仿宋" w:hAnsi="仿宋" w:eastAsia="仿宋" w:cs="仿宋"/>
          <w:b w:val="0"/>
          <w:bCs w:val="0"/>
          <w:i w:val="0"/>
          <w:iCs w:val="0"/>
          <w:sz w:val="32"/>
          <w:szCs w:val="32"/>
          <w:highlight w:val="none"/>
          <w:shd w:val="clear" w:color="auto" w:fill="FFFFFF"/>
          <w:lang w:val="en-US" w:eastAsia="zh-CN"/>
        </w:rPr>
        <w:t>2023</w:t>
      </w:r>
      <w:r>
        <w:rPr>
          <w:rFonts w:hint="eastAsia" w:ascii="仿宋" w:hAnsi="仿宋" w:eastAsia="仿宋" w:cs="仿宋"/>
          <w:b w:val="0"/>
          <w:bCs w:val="0"/>
          <w:i w:val="0"/>
          <w:iCs w:val="0"/>
          <w:color w:val="000000"/>
          <w:spacing w:val="0"/>
          <w:sz w:val="32"/>
          <w:szCs w:val="32"/>
          <w:shd w:val="clear" w:color="auto" w:fill="FFFFFF"/>
        </w:rPr>
        <w:t>年</w:t>
      </w:r>
      <w:r>
        <w:rPr>
          <w:rFonts w:hint="eastAsia" w:ascii="仿宋" w:hAnsi="仿宋" w:eastAsia="仿宋" w:cs="仿宋"/>
          <w:b w:val="0"/>
          <w:bCs w:val="0"/>
          <w:i w:val="0"/>
          <w:iCs w:val="0"/>
          <w:sz w:val="32"/>
          <w:szCs w:val="32"/>
          <w:shd w:val="clear" w:color="auto" w:fill="FFFFFF"/>
        </w:rPr>
        <w:t>12月3</w:t>
      </w:r>
      <w:r>
        <w:rPr>
          <w:rFonts w:hint="eastAsia" w:ascii="仿宋" w:hAnsi="仿宋" w:eastAsia="仿宋" w:cs="仿宋"/>
          <w:b w:val="0"/>
          <w:bCs w:val="0"/>
          <w:i w:val="0"/>
          <w:iCs w:val="0"/>
          <w:sz w:val="32"/>
          <w:szCs w:val="32"/>
          <w:shd w:val="clear" w:color="auto" w:fill="FFFFFF"/>
          <w:lang w:val="en-US" w:eastAsia="zh-CN"/>
        </w:rPr>
        <w:t>1</w:t>
      </w:r>
      <w:r>
        <w:rPr>
          <w:rFonts w:hint="eastAsia" w:ascii="仿宋" w:hAnsi="仿宋" w:eastAsia="仿宋" w:cs="仿宋"/>
          <w:b w:val="0"/>
          <w:bCs w:val="0"/>
          <w:i w:val="0"/>
          <w:iCs w:val="0"/>
          <w:sz w:val="32"/>
          <w:szCs w:val="32"/>
          <w:shd w:val="clear" w:color="auto" w:fill="FFFFFF"/>
        </w:rPr>
        <w:t>日止。</w:t>
      </w:r>
    </w:p>
    <w:p>
      <w:pPr>
        <w:pStyle w:val="4"/>
        <w:keepNext w:val="0"/>
        <w:keepLines w:val="0"/>
        <w:widowControl/>
        <w:suppressLineNumbers w:val="0"/>
        <w:spacing w:after="0" w:afterAutospacing="0" w:line="562" w:lineRule="atLeast"/>
        <w:ind w:left="0" w:firstLine="619"/>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一、总体情况</w:t>
      </w:r>
    </w:p>
    <w:p>
      <w:pPr>
        <w:pStyle w:val="4"/>
        <w:keepNext w:val="0"/>
        <w:keepLines w:val="0"/>
        <w:widowControl/>
        <w:suppressLineNumbers w:val="0"/>
        <w:shd w:val="clear" w:color="auto" w:fill="FFFFFF"/>
        <w:spacing w:after="0" w:afterAutospacing="0" w:line="562" w:lineRule="atLeast"/>
        <w:ind w:left="0" w:firstLine="0"/>
        <w:jc w:val="left"/>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rPr>
        <w:t>  （一）主动公开情况。</w:t>
      </w:r>
      <w:r>
        <w:rPr>
          <w:rFonts w:hint="eastAsia" w:ascii="仿宋" w:hAnsi="仿宋" w:eastAsia="仿宋" w:cs="仿宋"/>
          <w:i w:val="0"/>
          <w:iCs w:val="0"/>
          <w:caps w:val="0"/>
          <w:color w:val="000000"/>
          <w:spacing w:val="0"/>
          <w:sz w:val="32"/>
          <w:szCs w:val="32"/>
          <w:shd w:val="clear" w:color="auto" w:fill="FFFFFF"/>
          <w:lang w:val="en-US" w:eastAsia="zh-CN"/>
        </w:rPr>
        <w:t>2023年在主动公开信息工作中，</w:t>
      </w:r>
      <w:r>
        <w:rPr>
          <w:rFonts w:hint="eastAsia" w:ascii="仿宋" w:hAnsi="仿宋" w:eastAsia="仿宋" w:cs="仿宋"/>
          <w:i w:val="0"/>
          <w:iCs w:val="0"/>
          <w:caps w:val="0"/>
          <w:color w:val="000000"/>
          <w:spacing w:val="0"/>
          <w:sz w:val="32"/>
          <w:szCs w:val="32"/>
          <w:shd w:val="clear" w:color="auto" w:fill="FFFFFF"/>
        </w:rPr>
        <w:t>严格按照关心社会热点，关注民生焦点，围绕群众关心的政务服务、医疗卫生、教育等工作，我镇政府信息公开主要采用网络形式发布。</w:t>
      </w:r>
      <w:r>
        <w:rPr>
          <w:rFonts w:hint="eastAsia" w:ascii="仿宋" w:hAnsi="仿宋" w:eastAsia="仿宋" w:cs="仿宋"/>
          <w:i w:val="0"/>
          <w:iCs w:val="0"/>
          <w:caps w:val="0"/>
          <w:color w:val="000000"/>
          <w:spacing w:val="0"/>
          <w:sz w:val="32"/>
          <w:szCs w:val="32"/>
          <w:shd w:val="clear" w:color="auto" w:fill="FFFFFF"/>
          <w:lang w:eastAsia="zh-CN"/>
        </w:rPr>
        <w:t>在</w:t>
      </w:r>
      <w:r>
        <w:rPr>
          <w:rFonts w:hint="eastAsia" w:ascii="仿宋" w:hAnsi="仿宋" w:eastAsia="仿宋" w:cs="仿宋"/>
          <w:i w:val="0"/>
          <w:iCs w:val="0"/>
          <w:caps w:val="0"/>
          <w:color w:val="000000"/>
          <w:spacing w:val="0"/>
          <w:sz w:val="32"/>
          <w:szCs w:val="32"/>
          <w:shd w:val="clear" w:color="auto" w:fill="FFFFFF"/>
        </w:rPr>
        <w:t>“南沙河镇人民政府网站”和南沙河微信公众号（nshzrmzf）上公开信息，确保了信息公开及时、准确。</w:t>
      </w:r>
      <w:r>
        <w:rPr>
          <w:rFonts w:hint="eastAsia" w:ascii="仿宋" w:hAnsi="仿宋" w:eastAsia="仿宋" w:cs="仿宋"/>
          <w:i w:val="0"/>
          <w:iCs w:val="0"/>
          <w:caps w:val="0"/>
          <w:color w:val="000000"/>
          <w:spacing w:val="0"/>
          <w:sz w:val="32"/>
          <w:szCs w:val="32"/>
          <w:shd w:val="clear" w:color="auto" w:fill="FFFFFF"/>
          <w:lang w:eastAsia="zh-CN"/>
        </w:rPr>
        <w:t>我镇对公开信息进行了梳理，</w:t>
      </w:r>
      <w:r>
        <w:rPr>
          <w:rFonts w:hint="eastAsia" w:ascii="仿宋" w:hAnsi="仿宋" w:eastAsia="仿宋" w:cs="仿宋"/>
          <w:i w:val="0"/>
          <w:iCs w:val="0"/>
          <w:caps w:val="0"/>
          <w:color w:val="000000"/>
          <w:spacing w:val="0"/>
          <w:sz w:val="32"/>
          <w:szCs w:val="32"/>
          <w:shd w:val="clear" w:color="auto" w:fill="FFFFFF"/>
        </w:rPr>
        <w:t>202</w:t>
      </w:r>
      <w:r>
        <w:rPr>
          <w:rFonts w:hint="eastAsia" w:ascii="仿宋" w:hAnsi="仿宋" w:eastAsia="仿宋" w:cs="仿宋"/>
          <w:i w:val="0"/>
          <w:iCs w:val="0"/>
          <w:caps w:val="0"/>
          <w:color w:val="000000"/>
          <w:spacing w:val="0"/>
          <w:sz w:val="32"/>
          <w:szCs w:val="32"/>
          <w:shd w:val="clear" w:color="auto" w:fill="FFFFFF"/>
          <w:lang w:val="en-US" w:eastAsia="zh-CN"/>
        </w:rPr>
        <w:t>3</w:t>
      </w:r>
      <w:r>
        <w:rPr>
          <w:rFonts w:hint="eastAsia" w:ascii="仿宋" w:hAnsi="仿宋" w:eastAsia="仿宋" w:cs="仿宋"/>
          <w:i w:val="0"/>
          <w:iCs w:val="0"/>
          <w:caps w:val="0"/>
          <w:color w:val="000000"/>
          <w:spacing w:val="0"/>
          <w:sz w:val="32"/>
          <w:szCs w:val="32"/>
          <w:shd w:val="clear" w:color="auto" w:fill="FFFFFF"/>
        </w:rPr>
        <w:t>年全年通过微信公众号推送信息</w:t>
      </w:r>
      <w:r>
        <w:rPr>
          <w:rFonts w:hint="eastAsia" w:ascii="仿宋" w:hAnsi="仿宋" w:eastAsia="仿宋" w:cs="仿宋"/>
          <w:i w:val="0"/>
          <w:iCs w:val="0"/>
          <w:caps w:val="0"/>
          <w:color w:val="000000"/>
          <w:spacing w:val="0"/>
          <w:sz w:val="32"/>
          <w:szCs w:val="32"/>
          <w:shd w:val="clear" w:color="auto" w:fill="FFFFFF"/>
          <w:lang w:val="en-US" w:eastAsia="zh-CN"/>
        </w:rPr>
        <w:t>1422</w:t>
      </w:r>
      <w:r>
        <w:rPr>
          <w:rFonts w:hint="eastAsia" w:ascii="仿宋" w:hAnsi="仿宋" w:eastAsia="仿宋" w:cs="仿宋"/>
          <w:i w:val="0"/>
          <w:iCs w:val="0"/>
          <w:caps w:val="0"/>
          <w:color w:val="000000"/>
          <w:spacing w:val="0"/>
          <w:sz w:val="32"/>
          <w:szCs w:val="32"/>
          <w:shd w:val="clear" w:color="auto" w:fill="FFFFFF"/>
        </w:rPr>
        <w:t>余条，通过信息公开网站主动公开政府信息数</w:t>
      </w:r>
      <w:r>
        <w:rPr>
          <w:rFonts w:hint="eastAsia" w:ascii="仿宋" w:hAnsi="仿宋" w:eastAsia="仿宋" w:cs="仿宋"/>
          <w:i w:val="0"/>
          <w:iCs w:val="0"/>
          <w:caps w:val="0"/>
          <w:color w:val="000000"/>
          <w:spacing w:val="0"/>
          <w:sz w:val="32"/>
          <w:szCs w:val="32"/>
          <w:shd w:val="clear" w:color="auto" w:fill="FFFFFF"/>
          <w:lang w:val="en-US" w:eastAsia="zh-CN"/>
        </w:rPr>
        <w:t>26</w:t>
      </w:r>
      <w:r>
        <w:rPr>
          <w:rFonts w:hint="eastAsia" w:ascii="仿宋" w:hAnsi="仿宋" w:eastAsia="仿宋" w:cs="仿宋"/>
          <w:i w:val="0"/>
          <w:iCs w:val="0"/>
          <w:caps w:val="0"/>
          <w:color w:val="000000"/>
          <w:spacing w:val="0"/>
          <w:sz w:val="32"/>
          <w:szCs w:val="32"/>
          <w:shd w:val="clear" w:color="auto" w:fill="FFFFFF"/>
        </w:rPr>
        <w:t>条，其中，通知公告</w:t>
      </w:r>
      <w:r>
        <w:rPr>
          <w:rFonts w:hint="eastAsia" w:ascii="仿宋" w:hAnsi="仿宋" w:eastAsia="仿宋" w:cs="仿宋"/>
          <w:i w:val="0"/>
          <w:iCs w:val="0"/>
          <w:caps w:val="0"/>
          <w:color w:val="000000"/>
          <w:spacing w:val="0"/>
          <w:sz w:val="32"/>
          <w:szCs w:val="32"/>
          <w:shd w:val="clear" w:color="auto" w:fill="FFFFFF"/>
          <w:lang w:val="en-US" w:eastAsia="zh-CN"/>
        </w:rPr>
        <w:t>10</w:t>
      </w:r>
      <w:r>
        <w:rPr>
          <w:rFonts w:hint="eastAsia" w:ascii="仿宋" w:hAnsi="仿宋" w:eastAsia="仿宋" w:cs="仿宋"/>
          <w:i w:val="0"/>
          <w:iCs w:val="0"/>
          <w:caps w:val="0"/>
          <w:color w:val="000000"/>
          <w:spacing w:val="0"/>
          <w:sz w:val="32"/>
          <w:szCs w:val="32"/>
          <w:shd w:val="clear" w:color="auto" w:fill="FFFFFF"/>
        </w:rPr>
        <w:t>条，</w:t>
      </w:r>
      <w:r>
        <w:rPr>
          <w:rFonts w:hint="eastAsia" w:ascii="仿宋" w:hAnsi="仿宋" w:eastAsia="仿宋" w:cs="仿宋"/>
          <w:i w:val="0"/>
          <w:iCs w:val="0"/>
          <w:caps w:val="0"/>
          <w:color w:val="000000"/>
          <w:spacing w:val="0"/>
          <w:sz w:val="32"/>
          <w:szCs w:val="32"/>
          <w:shd w:val="clear" w:color="auto" w:fill="FFFFFF"/>
          <w:lang w:eastAsia="zh-CN"/>
        </w:rPr>
        <w:t>部门镇街解读</w:t>
      </w:r>
      <w:r>
        <w:rPr>
          <w:rFonts w:hint="eastAsia" w:ascii="仿宋" w:hAnsi="仿宋" w:eastAsia="仿宋" w:cs="仿宋"/>
          <w:i w:val="0"/>
          <w:iCs w:val="0"/>
          <w:caps w:val="0"/>
          <w:color w:val="000000"/>
          <w:spacing w:val="0"/>
          <w:sz w:val="32"/>
          <w:szCs w:val="32"/>
          <w:shd w:val="clear" w:color="auto" w:fill="FFFFFF"/>
        </w:rPr>
        <w:t>1条，规划计划2条，组织管理</w:t>
      </w:r>
      <w:r>
        <w:rPr>
          <w:rFonts w:hint="eastAsia" w:ascii="仿宋" w:hAnsi="仿宋" w:eastAsia="仿宋" w:cs="仿宋"/>
          <w:i w:val="0"/>
          <w:iCs w:val="0"/>
          <w:caps w:val="0"/>
          <w:color w:val="000000"/>
          <w:spacing w:val="0"/>
          <w:sz w:val="32"/>
          <w:szCs w:val="32"/>
          <w:shd w:val="clear" w:color="auto" w:fill="FFFFFF"/>
          <w:lang w:val="en-US" w:eastAsia="zh-CN"/>
        </w:rPr>
        <w:t>11</w:t>
      </w:r>
      <w:r>
        <w:rPr>
          <w:rFonts w:hint="eastAsia" w:ascii="仿宋" w:hAnsi="仿宋" w:eastAsia="仿宋" w:cs="仿宋"/>
          <w:i w:val="0"/>
          <w:iCs w:val="0"/>
          <w:caps w:val="0"/>
          <w:color w:val="000000"/>
          <w:spacing w:val="0"/>
          <w:sz w:val="32"/>
          <w:szCs w:val="32"/>
          <w:shd w:val="clear" w:color="auto" w:fill="FFFFFF"/>
        </w:rPr>
        <w:t>条，公开基本目录2条</w:t>
      </w:r>
      <w:r>
        <w:rPr>
          <w:rFonts w:hint="eastAsia" w:ascii="仿宋" w:hAnsi="仿宋" w:eastAsia="仿宋" w:cs="仿宋"/>
          <w:i w:val="0"/>
          <w:iCs w:val="0"/>
          <w:caps w:val="0"/>
          <w:color w:val="000000"/>
          <w:spacing w:val="0"/>
          <w:sz w:val="32"/>
          <w:szCs w:val="32"/>
          <w:shd w:val="clear" w:color="auto" w:fill="FFFFFF"/>
          <w:lang w:eastAsia="zh-CN"/>
        </w:rPr>
        <w:t>。</w:t>
      </w:r>
    </w:p>
    <w:p>
      <w:pPr>
        <w:pStyle w:val="4"/>
        <w:keepNext w:val="0"/>
        <w:keepLines w:val="0"/>
        <w:widowControl/>
        <w:suppressLineNumbers w:val="0"/>
        <w:shd w:val="clear" w:color="auto" w:fill="FFFFFF"/>
        <w:spacing w:after="0" w:afterAutospacing="0" w:line="562" w:lineRule="atLeast"/>
        <w:ind w:left="0" w:firstLine="0"/>
        <w:jc w:val="left"/>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4"/>
        <w:keepNext w:val="0"/>
        <w:keepLines w:val="0"/>
        <w:widowControl/>
        <w:suppressLineNumbers w:val="0"/>
        <w:shd w:val="clear" w:color="auto" w:fill="FFFFFF"/>
        <w:spacing w:after="0" w:afterAutospacing="0" w:line="418" w:lineRule="atLeast"/>
        <w:ind w:left="0" w:firstLine="0"/>
        <w:jc w:val="center"/>
        <w:rPr>
          <w:rFonts w:hint="eastAsia" w:ascii="仿宋" w:hAnsi="仿宋" w:eastAsia="仿宋" w:cs="仿宋"/>
          <w:i w:val="0"/>
          <w:iCs w:val="0"/>
          <w:caps w:val="0"/>
          <w:color w:val="000000"/>
          <w:spacing w:val="0"/>
          <w:sz w:val="32"/>
          <w:szCs w:val="32"/>
          <w:lang w:eastAsia="zh-CN"/>
        </w:rPr>
      </w:pPr>
      <w:bookmarkStart w:id="0" w:name="_GoBack"/>
      <w:r>
        <w:rPr>
          <w:rFonts w:hint="eastAsia" w:ascii="仿宋" w:hAnsi="仿宋" w:eastAsia="仿宋" w:cs="仿宋"/>
          <w:i w:val="0"/>
          <w:iCs w:val="0"/>
          <w:caps w:val="0"/>
          <w:color w:val="000000"/>
          <w:spacing w:val="0"/>
          <w:sz w:val="32"/>
          <w:szCs w:val="32"/>
          <w:lang w:eastAsia="zh-CN"/>
        </w:rPr>
        <w:drawing>
          <wp:inline distT="0" distB="0" distL="114300" distR="114300">
            <wp:extent cx="5285105" cy="3188335"/>
            <wp:effectExtent l="4445" t="4445" r="635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p>
      <w:pPr>
        <w:pStyle w:val="4"/>
        <w:keepNext w:val="0"/>
        <w:keepLines w:val="0"/>
        <w:widowControl/>
        <w:suppressLineNumbers w:val="0"/>
        <w:spacing w:after="0" w:afterAutospacing="0" w:line="562" w:lineRule="atLeast"/>
        <w:ind w:left="0" w:firstLine="634"/>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（二）依申请公开情况。</w:t>
      </w:r>
    </w:p>
    <w:p>
      <w:pPr>
        <w:ind w:firstLine="640" w:firstLineChars="200"/>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全面贯彻落实《条例》规定，规范政府信息公开申请办理答复文书格式，建立登记、审核、办理、答复、归档的制度，全面提升政府信息公开申请办理工作质量。202</w:t>
      </w: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年，南沙河镇共受理</w:t>
      </w:r>
      <w:r>
        <w:rPr>
          <w:rFonts w:hint="eastAsia" w:ascii="仿宋" w:hAnsi="仿宋" w:eastAsia="仿宋" w:cs="仿宋"/>
          <w:i w:val="0"/>
          <w:iCs w:val="0"/>
          <w:caps w:val="0"/>
          <w:color w:val="000000"/>
          <w:spacing w:val="0"/>
          <w:sz w:val="32"/>
          <w:szCs w:val="32"/>
          <w:lang w:val="en-US" w:eastAsia="zh-CN"/>
        </w:rPr>
        <w:t>0</w:t>
      </w:r>
      <w:r>
        <w:rPr>
          <w:rFonts w:hint="eastAsia" w:ascii="仿宋" w:hAnsi="仿宋" w:eastAsia="仿宋" w:cs="仿宋"/>
          <w:i w:val="0"/>
          <w:iCs w:val="0"/>
          <w:caps w:val="0"/>
          <w:color w:val="000000"/>
          <w:spacing w:val="0"/>
          <w:sz w:val="32"/>
          <w:szCs w:val="32"/>
        </w:rPr>
        <w:t>件政府信息公开申请，结转上年政府信息公开申请0件</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sz w:val="32"/>
          <w:szCs w:val="32"/>
        </w:rPr>
        <w:t>未发生有关政府信息公开事务的行政复议和诉讼案件。</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2022年相比没有变化。</w:t>
      </w:r>
    </w:p>
    <w:p>
      <w:pPr>
        <w:pStyle w:val="4"/>
        <w:keepNext w:val="0"/>
        <w:keepLines w:val="0"/>
        <w:widowControl/>
        <w:numPr>
          <w:ilvl w:val="0"/>
          <w:numId w:val="1"/>
        </w:numPr>
        <w:suppressLineNumbers w:val="0"/>
        <w:spacing w:after="0" w:afterAutospacing="0" w:line="562" w:lineRule="atLeast"/>
        <w:ind w:left="0" w:firstLine="634"/>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政府信息管理情况</w:t>
      </w:r>
      <w:r>
        <w:rPr>
          <w:rFonts w:hint="eastAsia" w:ascii="仿宋" w:hAnsi="仿宋" w:eastAsia="仿宋" w:cs="仿宋"/>
          <w:i w:val="0"/>
          <w:iCs w:val="0"/>
          <w:caps w:val="0"/>
          <w:color w:val="000000"/>
          <w:spacing w:val="0"/>
          <w:sz w:val="32"/>
          <w:szCs w:val="32"/>
          <w:lang w:eastAsia="zh-CN"/>
        </w:rPr>
        <w:t>。</w:t>
      </w:r>
    </w:p>
    <w:p>
      <w:pPr>
        <w:pStyle w:val="4"/>
        <w:keepNext w:val="0"/>
        <w:keepLines w:val="0"/>
        <w:widowControl/>
        <w:suppressLineNumbers w:val="0"/>
        <w:spacing w:after="0" w:afterAutospacing="0" w:line="562" w:lineRule="atLeast"/>
        <w:ind w:left="0" w:firstLine="634"/>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按照基层政务公开标准化规范化工作要求，加强政府信息管理、完善公开信息类别，目前公开的信息内容主要有以下六种类型：1.机构职能类信息；2.财政类信息；3.人事管理类信息；4.政策、规范性文件类信息；5.规划计划类信息；6.重点领域服务类信息。定期对公开内容进行梳理。严格把关政府信息公开内容审查，202</w:t>
      </w: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年无违反规定和失泄密情况。</w:t>
      </w:r>
    </w:p>
    <w:p>
      <w:pPr>
        <w:pStyle w:val="4"/>
        <w:keepNext w:val="0"/>
        <w:keepLines w:val="0"/>
        <w:widowControl/>
        <w:suppressLineNumbers w:val="0"/>
        <w:spacing w:after="0" w:afterAutospacing="0" w:line="562" w:lineRule="atLeast"/>
        <w:ind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（四）公开平台建设情况</w:t>
      </w:r>
    </w:p>
    <w:p>
      <w:pPr>
        <w:pStyle w:val="4"/>
        <w:keepNext w:val="0"/>
        <w:keepLines w:val="0"/>
        <w:widowControl/>
        <w:suppressLineNumbers w:val="0"/>
        <w:spacing w:before="100" w:beforeAutospacing="1" w:after="0" w:afterAutospacing="0" w:line="562" w:lineRule="atLeast"/>
        <w:ind w:left="0" w:right="0" w:firstLine="634"/>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一是</w:t>
      </w:r>
      <w:r>
        <w:rPr>
          <w:rFonts w:hint="eastAsia" w:ascii="仿宋" w:hAnsi="仿宋" w:eastAsia="仿宋" w:cs="仿宋"/>
          <w:i w:val="0"/>
          <w:iCs w:val="0"/>
          <w:caps w:val="0"/>
          <w:color w:val="000000"/>
          <w:spacing w:val="0"/>
          <w:sz w:val="32"/>
          <w:szCs w:val="32"/>
          <w:lang w:eastAsia="zh-CN"/>
        </w:rPr>
        <w:t>健全组织机构，加强</w:t>
      </w:r>
      <w:r>
        <w:rPr>
          <w:rFonts w:hint="eastAsia" w:ascii="仿宋" w:hAnsi="仿宋" w:eastAsia="仿宋" w:cs="仿宋"/>
          <w:i w:val="0"/>
          <w:iCs w:val="0"/>
          <w:caps w:val="0"/>
          <w:color w:val="000000"/>
          <w:spacing w:val="0"/>
          <w:sz w:val="32"/>
          <w:szCs w:val="32"/>
        </w:rPr>
        <w:t>。坚持高点站位抓落实，成立由镇长任组长，副书记任副组长，党政办、宣传科、便民服务大厅等相关部门组成的工作领导小组，全面协调推进政务信息公开。在便民服务中心设立政务公开专区，拿出资金配好查询设施设备，夯实了工作的底座保障。二是完善基础设施。立足镇内实际，积极对接电信部门，全面完成镇级部门网络布设，实现了信息化办公全覆盖。下大力气推广电子政务办公平台使用，提高了工作质量和效率。三是做好信息公开。定期对政府网站进行维护和政务信息公开，积极配合上级网站链接，丰富信息化内容，加大信息的更新频率，保质保量完成中国滕州网、党政办公网站信息的更新、维护和报送工作。</w:t>
      </w:r>
    </w:p>
    <w:p>
      <w:pPr>
        <w:pStyle w:val="4"/>
        <w:keepNext w:val="0"/>
        <w:keepLines w:val="0"/>
        <w:widowControl/>
        <w:suppressLineNumbers w:val="0"/>
        <w:spacing w:after="0" w:afterAutospacing="0" w:line="562"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  （五）监督保障情况。</w:t>
      </w:r>
    </w:p>
    <w:p>
      <w:pPr>
        <w:pStyle w:val="4"/>
        <w:keepNext w:val="0"/>
        <w:keepLines w:val="0"/>
        <w:widowControl/>
        <w:suppressLineNumbers w:val="0"/>
        <w:shd w:val="clear" w:color="auto" w:fill="FFFFFF"/>
        <w:spacing w:before="216" w:beforeAutospacing="0" w:after="216" w:afterAutospacing="0" w:line="562" w:lineRule="atLeast"/>
        <w:ind w:left="0" w:firstLine="634"/>
        <w:jc w:val="center"/>
        <w:rPr>
          <w:rFonts w:hint="eastAsia" w:ascii="仿宋_GB2312" w:hAnsi="sans-serif" w:eastAsia="仿宋_GB2312" w:cs="仿宋_GB2312"/>
          <w:i w:val="0"/>
          <w:iCs w:val="0"/>
          <w:caps w:val="0"/>
          <w:color w:val="000000"/>
          <w:spacing w:val="0"/>
          <w:sz w:val="32"/>
          <w:szCs w:val="32"/>
        </w:rPr>
      </w:pPr>
      <w:r>
        <w:rPr>
          <w:rFonts w:hint="eastAsia" w:ascii="仿宋" w:hAnsi="仿宋" w:eastAsia="仿宋" w:cs="仿宋"/>
          <w:i w:val="0"/>
          <w:iCs w:val="0"/>
          <w:caps w:val="0"/>
          <w:color w:val="000000"/>
          <w:spacing w:val="0"/>
          <w:sz w:val="32"/>
          <w:szCs w:val="32"/>
        </w:rPr>
        <w:t>深化政务公开工作是推进依法行政、加强权力监督，密切党委政府同人民群众联系的重要举措。切实加强对政务公开工作的领导，实行“党委统一领导、政府主抓、人大监督实施、党政办组织协调”的工作机制，确保政务公开工作有机构承担、有人员负责。建立健全政府信息公开工作考核制度和责任追究制度，定期对政府信息公开工作进行考核、社会评议。同时积极参加或者定期组织对涉政务公开工作人员进行专题培训，提升业务水平。202</w:t>
      </w: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年，全镇未发生因不履行政务公开义务而产生</w:t>
      </w:r>
      <w:r>
        <w:rPr>
          <w:rFonts w:hint="eastAsia" w:ascii="仿宋" w:hAnsi="仿宋" w:eastAsia="仿宋" w:cs="仿宋"/>
          <w:i w:val="0"/>
          <w:iCs w:val="0"/>
          <w:caps w:val="0"/>
          <w:color w:val="000000"/>
          <w:spacing w:val="0"/>
          <w:sz w:val="32"/>
          <w:szCs w:val="32"/>
          <w:lang w:eastAsia="zh-CN"/>
        </w:rPr>
        <w:t>的</w:t>
      </w:r>
      <w:r>
        <w:rPr>
          <w:rFonts w:hint="eastAsia" w:ascii="仿宋" w:hAnsi="仿宋" w:eastAsia="仿宋" w:cs="仿宋"/>
          <w:i w:val="0"/>
          <w:iCs w:val="0"/>
          <w:caps w:val="0"/>
          <w:color w:val="000000"/>
          <w:spacing w:val="0"/>
          <w:sz w:val="32"/>
          <w:szCs w:val="32"/>
        </w:rPr>
        <w:t>任追究情况。</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本单位</w:t>
      </w:r>
      <w:r>
        <w:rPr>
          <w:rFonts w:hint="eastAsia" w:ascii="仿宋" w:hAnsi="仿宋" w:eastAsia="仿宋" w:cs="仿宋"/>
          <w:sz w:val="32"/>
          <w:szCs w:val="32"/>
          <w:highlight w:val="none"/>
        </w:rPr>
        <w:t>未发生因信息公开审查不当或保密审查机构未履行保密审查职责而引起的失泄密情况。202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年度未进行社会评议，未发生责任追究情况。</w:t>
      </w:r>
      <w:r>
        <w:rPr>
          <w:rFonts w:hint="default"/>
          <w:b w:val="0"/>
          <w:bCs w:val="0"/>
          <w:sz w:val="32"/>
          <w:szCs w:val="32"/>
          <w:lang w:val="en-US" w:eastAsia="zh-CN"/>
        </w:rPr>
        <w:drawing>
          <wp:inline distT="0" distB="0" distL="114300" distR="114300">
            <wp:extent cx="4919345" cy="2952115"/>
            <wp:effectExtent l="0" t="0" r="14605" b="635"/>
            <wp:docPr id="3" name="图片 3" descr="e934e1f6ae32091ed5a4d10560bc1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934e1f6ae32091ed5a4d10560bc16a"/>
                    <pic:cNvPicPr>
                      <a:picLocks noChangeAspect="1"/>
                    </pic:cNvPicPr>
                  </pic:nvPicPr>
                  <pic:blipFill>
                    <a:blip r:embed="rId7"/>
                    <a:stretch>
                      <a:fillRect/>
                    </a:stretch>
                  </pic:blipFill>
                  <pic:spPr>
                    <a:xfrm>
                      <a:off x="0" y="0"/>
                      <a:ext cx="4919345" cy="2952115"/>
                    </a:xfrm>
                    <a:prstGeom prst="rect">
                      <a:avLst/>
                    </a:prstGeom>
                  </pic:spPr>
                </pic:pic>
              </a:graphicData>
            </a:graphic>
          </wp:inline>
        </w:drawing>
      </w:r>
    </w:p>
    <w:p>
      <w:pPr>
        <w:pStyle w:val="4"/>
        <w:keepNext w:val="0"/>
        <w:keepLines w:val="0"/>
        <w:widowControl/>
        <w:suppressLineNumbers w:val="0"/>
        <w:spacing w:before="100" w:beforeAutospacing="1" w:after="0" w:afterAutospacing="0" w:line="195" w:lineRule="atLeast"/>
        <w:ind w:left="0" w:right="0" w:firstLine="619"/>
        <w:jc w:val="both"/>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30"/>
          <w:szCs w:val="30"/>
        </w:rPr>
        <w:t>二、主动公开政府信息情况</w:t>
      </w:r>
    </w:p>
    <w:tbl>
      <w:tblPr>
        <w:tblStyle w:val="5"/>
        <w:tblW w:w="904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077"/>
        <w:gridCol w:w="2095"/>
        <w:gridCol w:w="2095"/>
        <w:gridCol w:w="277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6" w:hRule="atLeast"/>
        </w:trPr>
        <w:tc>
          <w:tcPr>
            <w:tcW w:w="904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i w:val="0"/>
                <w:iCs w:val="0"/>
                <w:caps w:val="0"/>
                <w:color w:val="000000"/>
                <w:spacing w:val="0"/>
                <w:sz w:val="19"/>
                <w:szCs w:val="19"/>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2077"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信息内容</w:t>
            </w:r>
          </w:p>
        </w:tc>
        <w:tc>
          <w:tcPr>
            <w:tcW w:w="20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本年制发件数</w:t>
            </w:r>
          </w:p>
        </w:tc>
        <w:tc>
          <w:tcPr>
            <w:tcW w:w="20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本年废止件数</w:t>
            </w:r>
          </w:p>
        </w:tc>
        <w:tc>
          <w:tcPr>
            <w:tcW w:w="2773" w:type="dxa"/>
            <w:tcBorders>
              <w:top w:val="nil"/>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2077"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0"/>
                <w:spacing w:val="0"/>
                <w:sz w:val="19"/>
                <w:szCs w:val="19"/>
              </w:rPr>
              <w:t>规章</w:t>
            </w:r>
          </w:p>
        </w:tc>
        <w:tc>
          <w:tcPr>
            <w:tcW w:w="20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0</w:t>
            </w:r>
          </w:p>
        </w:tc>
        <w:tc>
          <w:tcPr>
            <w:tcW w:w="20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0</w:t>
            </w:r>
          </w:p>
        </w:tc>
        <w:tc>
          <w:tcPr>
            <w:tcW w:w="2773" w:type="dxa"/>
            <w:tcBorders>
              <w:top w:val="nil"/>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2077"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0"/>
                <w:spacing w:val="0"/>
                <w:sz w:val="19"/>
                <w:szCs w:val="19"/>
              </w:rPr>
              <w:t>行政规范性文件</w:t>
            </w:r>
          </w:p>
        </w:tc>
        <w:tc>
          <w:tcPr>
            <w:tcW w:w="20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0</w:t>
            </w:r>
          </w:p>
        </w:tc>
        <w:tc>
          <w:tcPr>
            <w:tcW w:w="2095"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0</w:t>
            </w:r>
          </w:p>
        </w:tc>
        <w:tc>
          <w:tcPr>
            <w:tcW w:w="2773" w:type="dxa"/>
            <w:tcBorders>
              <w:top w:val="nil"/>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904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i w:val="0"/>
                <w:iCs w:val="0"/>
                <w:caps w:val="0"/>
                <w:color w:val="000000"/>
                <w:spacing w:val="0"/>
                <w:sz w:val="19"/>
                <w:szCs w:val="19"/>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2077"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信息内容</w:t>
            </w:r>
          </w:p>
        </w:tc>
        <w:tc>
          <w:tcPr>
            <w:tcW w:w="6963"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2077"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0"/>
                <w:spacing w:val="0"/>
                <w:sz w:val="19"/>
                <w:szCs w:val="19"/>
              </w:rPr>
              <w:t>行政许可</w:t>
            </w:r>
          </w:p>
        </w:tc>
        <w:tc>
          <w:tcPr>
            <w:tcW w:w="6963"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904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i w:val="0"/>
                <w:iCs w:val="0"/>
                <w:caps w:val="0"/>
                <w:color w:val="000000"/>
                <w:spacing w:val="0"/>
                <w:sz w:val="19"/>
                <w:szCs w:val="19"/>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2077"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信息内容</w:t>
            </w:r>
          </w:p>
        </w:tc>
        <w:tc>
          <w:tcPr>
            <w:tcW w:w="6963"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2077"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0"/>
                <w:spacing w:val="0"/>
                <w:sz w:val="19"/>
                <w:szCs w:val="19"/>
              </w:rPr>
              <w:t>行政处罚</w:t>
            </w:r>
          </w:p>
        </w:tc>
        <w:tc>
          <w:tcPr>
            <w:tcW w:w="6963"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2077"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0"/>
                <w:spacing w:val="0"/>
                <w:sz w:val="19"/>
                <w:szCs w:val="19"/>
              </w:rPr>
              <w:t>行政强制</w:t>
            </w:r>
          </w:p>
        </w:tc>
        <w:tc>
          <w:tcPr>
            <w:tcW w:w="6963"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904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i w:val="0"/>
                <w:iCs w:val="0"/>
                <w:caps w:val="0"/>
                <w:color w:val="000000"/>
                <w:spacing w:val="0"/>
                <w:sz w:val="19"/>
                <w:szCs w:val="19"/>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1" w:hRule="atLeast"/>
        </w:trPr>
        <w:tc>
          <w:tcPr>
            <w:tcW w:w="2077"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信息内容</w:t>
            </w:r>
          </w:p>
        </w:tc>
        <w:tc>
          <w:tcPr>
            <w:tcW w:w="6963"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86" w:hRule="atLeast"/>
        </w:trPr>
        <w:tc>
          <w:tcPr>
            <w:tcW w:w="2077" w:type="dxa"/>
            <w:tcBorders>
              <w:top w:val="nil"/>
              <w:left w:val="single" w:color="000000" w:sz="8" w:space="0"/>
              <w:bottom w:val="single" w:color="000000" w:sz="8" w:space="0"/>
              <w:right w:val="nil"/>
            </w:tcBorders>
            <w:noWrap w:val="0"/>
            <w:tcMar>
              <w:left w:w="115"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仿宋_GB2312" w:hAnsi="sans-serif" w:eastAsia="仿宋_GB2312" w:cs="仿宋_GB2312"/>
                <w:i w:val="0"/>
                <w:iCs w:val="0"/>
                <w:caps w:val="0"/>
                <w:color w:val="000000"/>
                <w:spacing w:val="0"/>
                <w:sz w:val="19"/>
                <w:szCs w:val="19"/>
              </w:rPr>
              <w:t>行政事业性收费</w:t>
            </w:r>
          </w:p>
        </w:tc>
        <w:tc>
          <w:tcPr>
            <w:tcW w:w="6963"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hAnsi="sans-serif" w:eastAsia="仿宋_GB2312" w:cs="仿宋_GB2312"/>
                <w:i w:val="0"/>
                <w:iCs w:val="0"/>
                <w:caps w:val="0"/>
                <w:color w:val="000000"/>
                <w:spacing w:val="0"/>
                <w:sz w:val="19"/>
                <w:szCs w:val="19"/>
              </w:rPr>
              <w:t>0</w:t>
            </w:r>
          </w:p>
        </w:tc>
      </w:tr>
    </w:tbl>
    <w:p>
      <w:pPr>
        <w:pStyle w:val="4"/>
        <w:keepNext w:val="0"/>
        <w:keepLines w:val="0"/>
        <w:widowControl/>
        <w:suppressLineNumbers w:val="0"/>
        <w:spacing w:before="101" w:beforeAutospacing="0" w:after="101" w:afterAutospacing="0" w:line="317" w:lineRule="atLeast"/>
        <w:ind w:left="0" w:firstLine="619"/>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0"/>
          <w:szCs w:val="30"/>
        </w:rPr>
        <w:t>三、收到和处理政府信息公开申请情况</w:t>
      </w:r>
    </w:p>
    <w:tbl>
      <w:tblPr>
        <w:tblStyle w:val="5"/>
        <w:tblW w:w="903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469"/>
        <w:gridCol w:w="649"/>
        <w:gridCol w:w="2264"/>
        <w:gridCol w:w="487"/>
        <w:gridCol w:w="514"/>
        <w:gridCol w:w="514"/>
        <w:gridCol w:w="635"/>
        <w:gridCol w:w="648"/>
        <w:gridCol w:w="1239"/>
        <w:gridCol w:w="161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480" w:type="dxa"/>
            <w:gridSpan w:val="3"/>
            <w:vMerge w:val="restart"/>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（本列数据的勾稽关系为：第一项加第二项之和，等于第三项加第四项之和）</w:t>
            </w:r>
          </w:p>
        </w:tc>
        <w:tc>
          <w:tcPr>
            <w:tcW w:w="5220" w:type="dxa"/>
            <w:gridSpan w:val="7"/>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480" w:type="dxa"/>
            <w:gridSpan w:val="3"/>
            <w:vMerge w:val="continue"/>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10"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自然人</w:t>
            </w:r>
          </w:p>
        </w:tc>
        <w:tc>
          <w:tcPr>
            <w:tcW w:w="3795" w:type="dxa"/>
            <w:gridSpan w:val="5"/>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法人或其他组织</w:t>
            </w:r>
          </w:p>
        </w:tc>
        <w:tc>
          <w:tcPr>
            <w:tcW w:w="510" w:type="dxa"/>
            <w:vMerge w:val="restart"/>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480" w:type="dxa"/>
            <w:gridSpan w:val="3"/>
            <w:vMerge w:val="continue"/>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1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商业企业</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科研机构</w:t>
            </w:r>
          </w:p>
        </w:tc>
        <w:tc>
          <w:tcPr>
            <w:tcW w:w="675"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社会公益组织</w:t>
            </w:r>
          </w:p>
        </w:tc>
        <w:tc>
          <w:tcPr>
            <w:tcW w:w="6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法律服务机构</w:t>
            </w:r>
          </w:p>
        </w:tc>
        <w:tc>
          <w:tcPr>
            <w:tcW w:w="51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其他</w:t>
            </w:r>
          </w:p>
        </w:tc>
        <w:tc>
          <w:tcPr>
            <w:tcW w:w="510" w:type="dxa"/>
            <w:vMerge w:val="continue"/>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pPr>
              <w:rPr>
                <w:rFonts w:hint="default" w:ascii="sans-serif" w:hAnsi="sans-serif" w:eastAsia="sans-serif" w:cs="sans-serif"/>
                <w:i w:val="0"/>
                <w:iCs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36" w:hRule="atLeast"/>
        </w:trPr>
        <w:tc>
          <w:tcPr>
            <w:tcW w:w="3480" w:type="dxa"/>
            <w:gridSpan w:val="3"/>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宋体" w:hAnsi="宋体" w:eastAsia="宋体" w:cs="宋体"/>
                <w:i w:val="0"/>
                <w:iCs w:val="0"/>
                <w:caps w:val="0"/>
                <w:color w:val="000000"/>
                <w:spacing w:val="0"/>
                <w:sz w:val="18"/>
                <w:szCs w:val="18"/>
              </w:rPr>
              <w:t>一、本年新收政府信息公开申请数量</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eastAsia="zh-CN"/>
              </w:rPr>
            </w:pPr>
            <w:r>
              <w:rPr>
                <w:rFonts w:hint="eastAsia" w:ascii="Calibri" w:hAnsi="Calibri" w:eastAsia="宋体" w:cs="Calibri"/>
                <w:i w:val="0"/>
                <w:iCs w:val="0"/>
                <w:caps w:val="0"/>
                <w:color w:val="000000"/>
                <w:spacing w:val="0"/>
                <w:sz w:val="19"/>
                <w:szCs w:val="19"/>
                <w:lang w:val="en-US" w:eastAsia="zh-CN"/>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eastAsia="zh-CN"/>
              </w:rPr>
            </w:pPr>
            <w:r>
              <w:rPr>
                <w:rFonts w:hint="eastAsia" w:ascii="Calibri" w:hAnsi="Calibri" w:eastAsia="宋体" w:cs="Calibri"/>
                <w:i w:val="0"/>
                <w:iCs w:val="0"/>
                <w:caps w:val="0"/>
                <w:color w:val="000000"/>
                <w:spacing w:val="0"/>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36" w:hRule="atLeast"/>
        </w:trPr>
        <w:tc>
          <w:tcPr>
            <w:tcW w:w="3480" w:type="dxa"/>
            <w:gridSpan w:val="3"/>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宋体" w:hAnsi="宋体" w:eastAsia="宋体" w:cs="宋体"/>
                <w:i w:val="0"/>
                <w:iCs w:val="0"/>
                <w:caps w:val="0"/>
                <w:color w:val="000000"/>
                <w:spacing w:val="0"/>
                <w:sz w:val="18"/>
                <w:szCs w:val="18"/>
              </w:rPr>
              <w:t>二、上年结转政府信息公开申请数量</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三、本年度办理结果</w:t>
            </w:r>
          </w:p>
        </w:tc>
        <w:tc>
          <w:tcPr>
            <w:tcW w:w="2880" w:type="dxa"/>
            <w:gridSpan w:val="2"/>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ascii="楷体" w:hAnsi="楷体" w:eastAsia="楷体" w:cs="楷体"/>
                <w:i w:val="0"/>
                <w:iCs w:val="0"/>
                <w:caps w:val="0"/>
                <w:color w:val="000000"/>
                <w:spacing w:val="0"/>
                <w:sz w:val="18"/>
                <w:szCs w:val="18"/>
              </w:rPr>
              <w:t>（一）予以公开</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880" w:type="dxa"/>
            <w:gridSpan w:val="2"/>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（二）部分公开（区分处理的，只计这一情形，不计其他情形）</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（三）不予公开</w:t>
            </w: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1.属于国家秘密</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2.其他法律行政法规禁止公开</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3.危及“三安全一稳定”</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4.保护第三方合法权益</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5.属于三类内部事务信息</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6.属于四类过程性信息</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7.属于行政执法案卷</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8.属于行政查询事项</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（四）无法提供</w:t>
            </w: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1.本机关不掌握相关政府信息</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val="en-US" w:eastAsia="zh-CN"/>
              </w:rPr>
            </w:pPr>
            <w:r>
              <w:rPr>
                <w:rFonts w:hint="eastAsia"/>
                <w:sz w:val="19"/>
                <w:szCs w:val="19"/>
                <w:lang w:val="en-US" w:eastAsia="zh-CN"/>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val="en-US" w:eastAsia="zh-CN"/>
              </w:rPr>
            </w:pPr>
            <w:r>
              <w:rPr>
                <w:rFonts w:hint="eastAsia"/>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2.没有现成信息需要另行制作</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3.补正后申请内容仍不明确</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（五）不予处理</w:t>
            </w: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1.信访举报投诉类申请</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2.重复申请</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3.要求提供公开出版物</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4.无正当理由大量反复申请</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5.要求行政机关确认或重新出具已获取信息</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880" w:type="dxa"/>
            <w:gridSpan w:val="2"/>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（六）其他处理</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2880" w:type="dxa"/>
            <w:gridSpan w:val="2"/>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楷体" w:hAnsi="楷体" w:eastAsia="楷体" w:cs="楷体"/>
                <w:i w:val="0"/>
                <w:iCs w:val="0"/>
                <w:caps w:val="0"/>
                <w:color w:val="000000"/>
                <w:spacing w:val="0"/>
                <w:sz w:val="18"/>
                <w:szCs w:val="18"/>
              </w:rPr>
              <w:t>（七）总计</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eastAsia="zh-CN"/>
              </w:rPr>
            </w:pPr>
            <w:r>
              <w:rPr>
                <w:rFonts w:hint="eastAsia" w:ascii="Calibri" w:hAnsi="Calibri" w:eastAsia="宋体" w:cs="Calibri"/>
                <w:i w:val="0"/>
                <w:iCs w:val="0"/>
                <w:caps w:val="0"/>
                <w:color w:val="000000"/>
                <w:spacing w:val="0"/>
                <w:sz w:val="19"/>
                <w:szCs w:val="19"/>
                <w:lang w:val="en-US" w:eastAsia="zh-CN"/>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eastAsia="zh-CN"/>
              </w:rPr>
            </w:pPr>
            <w:r>
              <w:rPr>
                <w:rFonts w:hint="eastAsia" w:ascii="Calibri" w:hAnsi="Calibri" w:eastAsia="宋体" w:cs="Calibri"/>
                <w:i w:val="0"/>
                <w:iCs w:val="0"/>
                <w:caps w:val="0"/>
                <w:color w:val="000000"/>
                <w:spacing w:val="0"/>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56" w:hRule="atLeast"/>
        </w:trPr>
        <w:tc>
          <w:tcPr>
            <w:tcW w:w="3480" w:type="dxa"/>
            <w:gridSpan w:val="3"/>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宋体" w:hAnsi="宋体" w:eastAsia="宋体" w:cs="宋体"/>
                <w:i w:val="0"/>
                <w:iCs w:val="0"/>
                <w:caps w:val="0"/>
                <w:color w:val="000000"/>
                <w:spacing w:val="0"/>
                <w:sz w:val="18"/>
                <w:szCs w:val="18"/>
              </w:rPr>
              <w:t>四、结转下年度继续办理</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bl>
    <w:p>
      <w:pPr>
        <w:pStyle w:val="4"/>
        <w:keepNext w:val="0"/>
        <w:keepLines w:val="0"/>
        <w:widowControl/>
        <w:suppressLineNumbers w:val="0"/>
        <w:spacing w:before="101" w:beforeAutospacing="0" w:after="101" w:afterAutospacing="0" w:line="317" w:lineRule="atLeast"/>
        <w:ind w:left="0" w:firstLine="619"/>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0"/>
          <w:szCs w:val="30"/>
        </w:rPr>
        <w:t>四、政府信息公开行政复议、行政诉讼情况</w:t>
      </w:r>
    </w:p>
    <w:tbl>
      <w:tblPr>
        <w:tblStyle w:val="5"/>
        <w:tblW w:w="897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388"/>
        <w:gridCol w:w="405"/>
        <w:gridCol w:w="405"/>
        <w:gridCol w:w="405"/>
        <w:gridCol w:w="1355"/>
        <w:gridCol w:w="358"/>
        <w:gridCol w:w="405"/>
        <w:gridCol w:w="405"/>
        <w:gridCol w:w="405"/>
        <w:gridCol w:w="1293"/>
        <w:gridCol w:w="405"/>
        <w:gridCol w:w="405"/>
        <w:gridCol w:w="405"/>
        <w:gridCol w:w="405"/>
        <w:gridCol w:w="152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2850" w:type="dxa"/>
            <w:gridSpan w:val="5"/>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行政复议</w:t>
            </w:r>
          </w:p>
        </w:tc>
        <w:tc>
          <w:tcPr>
            <w:tcW w:w="5790" w:type="dxa"/>
            <w:gridSpan w:val="10"/>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75"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结果维持</w:t>
            </w:r>
          </w:p>
        </w:tc>
        <w:tc>
          <w:tcPr>
            <w:tcW w:w="390"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结果纠正</w:t>
            </w:r>
          </w:p>
        </w:tc>
        <w:tc>
          <w:tcPr>
            <w:tcW w:w="390" w:type="dxa"/>
            <w:vMerge w:val="restart"/>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其他结果</w:t>
            </w:r>
          </w:p>
        </w:tc>
        <w:tc>
          <w:tcPr>
            <w:tcW w:w="390" w:type="dxa"/>
            <w:vMerge w:val="restart"/>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尚未审结</w:t>
            </w:r>
          </w:p>
        </w:tc>
        <w:tc>
          <w:tcPr>
            <w:tcW w:w="465" w:type="dxa"/>
            <w:vMerge w:val="restart"/>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总计</w:t>
            </w:r>
          </w:p>
        </w:tc>
        <w:tc>
          <w:tcPr>
            <w:tcW w:w="2760" w:type="dxa"/>
            <w:gridSpan w:val="5"/>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未经复议直接起诉</w:t>
            </w:r>
          </w:p>
        </w:tc>
        <w:tc>
          <w:tcPr>
            <w:tcW w:w="2820" w:type="dxa"/>
            <w:gridSpan w:val="5"/>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7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390" w:type="dxa"/>
            <w:vMerge w:val="continue"/>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390" w:type="dxa"/>
            <w:vMerge w:val="continue"/>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465" w:type="dxa"/>
            <w:vMerge w:val="continue"/>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rPr>
                <w:rFonts w:hint="default" w:ascii="sans-serif" w:hAnsi="sans-serif" w:eastAsia="sans-serif" w:cs="sans-serif"/>
                <w:i w:val="0"/>
                <w:iCs w:val="0"/>
                <w:caps w:val="0"/>
                <w:color w:val="000000"/>
                <w:spacing w:val="0"/>
                <w:sz w:val="27"/>
                <w:szCs w:val="27"/>
              </w:rPr>
            </w:pPr>
          </w:p>
        </w:tc>
        <w:tc>
          <w:tcPr>
            <w:tcW w:w="34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结果维持</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结果纠正</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其他结果</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尚未审结</w:t>
            </w:r>
          </w:p>
        </w:tc>
        <w:tc>
          <w:tcPr>
            <w:tcW w:w="405"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总计</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结果维持</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结果纠正</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其他结果</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尚未审结</w:t>
            </w:r>
          </w:p>
        </w:tc>
        <w:tc>
          <w:tcPr>
            <w:tcW w:w="420" w:type="dxa"/>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8"/>
                <w:szCs w:val="18"/>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0" w:hRule="atLeast"/>
        </w:trPr>
        <w:tc>
          <w:tcPr>
            <w:tcW w:w="37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46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34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405"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c>
          <w:tcPr>
            <w:tcW w:w="42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Calibri" w:hAnsi="Calibri" w:eastAsia="sans-serif" w:cs="Calibri"/>
                <w:i w:val="0"/>
                <w:iCs w:val="0"/>
                <w:caps w:val="0"/>
                <w:color w:val="000000"/>
                <w:spacing w:val="0"/>
                <w:sz w:val="19"/>
                <w:szCs w:val="19"/>
              </w:rPr>
              <w:t>0</w:t>
            </w:r>
          </w:p>
        </w:tc>
      </w:tr>
    </w:tbl>
    <w:p>
      <w:pPr>
        <w:pStyle w:val="4"/>
        <w:keepNext w:val="0"/>
        <w:keepLines w:val="0"/>
        <w:widowControl/>
        <w:numPr>
          <w:ilvl w:val="0"/>
          <w:numId w:val="2"/>
        </w:numPr>
        <w:suppressLineNumbers w:val="0"/>
        <w:spacing w:after="0" w:afterAutospacing="0" w:line="562" w:lineRule="atLeast"/>
        <w:ind w:left="0" w:firstLine="619"/>
        <w:jc w:val="left"/>
        <w:rPr>
          <w:rFonts w:hint="eastAsia" w:ascii="黑体" w:hAnsi="宋体" w:eastAsia="黑体" w:cs="黑体"/>
          <w:i w:val="0"/>
          <w:iCs w:val="0"/>
          <w:caps w:val="0"/>
          <w:color w:val="000000"/>
          <w:spacing w:val="0"/>
          <w:sz w:val="30"/>
          <w:szCs w:val="30"/>
        </w:rPr>
      </w:pPr>
      <w:r>
        <w:rPr>
          <w:rFonts w:hint="eastAsia" w:ascii="黑体" w:hAnsi="宋体" w:eastAsia="黑体" w:cs="黑体"/>
          <w:i w:val="0"/>
          <w:iCs w:val="0"/>
          <w:caps w:val="0"/>
          <w:color w:val="000000"/>
          <w:spacing w:val="0"/>
          <w:sz w:val="30"/>
          <w:szCs w:val="30"/>
        </w:rPr>
        <w:t>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（一）存在的主要问题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1.专职工作力量不足。目前没有专职负责政府信息公开的工作人员，工作人员力量需要进一步充实，工作人员专业性也需要进一步提升。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2.公开内容质量不高。主动公开的信息量较少，标准化、规范化水平离标准还有所欠缺，发布的政府信息内容质量有待进一步加强。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3.主动公开领域较小。常态化公开机制还不够完善，一些与群众切身利益密切相关领域的政府信息公开不足，群众的知晓率、参与度有待提高。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（二）下步改进计划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1.完善制度，落实工作责任。进一步加强对政务公开工作的领导，建立更科学、合理的工作机制，配备专人负责政府信息公开，建立一支相对稳定、能力素质高的政府信息公开工作人员队伍。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2.认真梳理，丰富公开内容。进一步梳理政府信息，结合当前政府信息公开当中存在的一些盲区和不足，对原有的政府信息公开目录进行补充完善，提升政务公开内容完整性和准确性。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3.创新方式，深化政民互动。进一步畅通对外的宣传窗口和政务公开主渠道，按照便利、实用、有效的原则，认真创新政务公开的新载体、新形式，提升群众知晓率，增强参与度、传播率。</w:t>
      </w:r>
    </w:p>
    <w:p>
      <w:pPr>
        <w:pStyle w:val="4"/>
        <w:keepNext w:val="0"/>
        <w:keepLines w:val="0"/>
        <w:widowControl/>
        <w:suppressLineNumbers w:val="0"/>
        <w:spacing w:after="0" w:afterAutospacing="0" w:line="562" w:lineRule="atLeast"/>
        <w:ind w:left="0" w:firstLine="643" w:firstLineChars="200"/>
        <w:jc w:val="left"/>
        <w:rPr>
          <w:rFonts w:hint="eastAsia" w:ascii="仿宋" w:hAnsi="仿宋" w:eastAsia="仿宋" w:cs="仿宋"/>
          <w:b/>
          <w:bCs/>
          <w:i w:val="0"/>
          <w:iCs w:val="0"/>
          <w:caps w:val="0"/>
          <w:color w:val="000000"/>
          <w:spacing w:val="0"/>
          <w:sz w:val="32"/>
          <w:szCs w:val="32"/>
        </w:rPr>
      </w:pPr>
      <w:r>
        <w:rPr>
          <w:rFonts w:hint="eastAsia" w:ascii="仿宋" w:hAnsi="仿宋" w:eastAsia="仿宋" w:cs="仿宋"/>
          <w:b/>
          <w:bCs/>
          <w:i w:val="0"/>
          <w:iCs w:val="0"/>
          <w:caps w:val="0"/>
          <w:color w:val="000000"/>
          <w:spacing w:val="0"/>
          <w:sz w:val="32"/>
          <w:szCs w:val="32"/>
        </w:rPr>
        <w:t>六、其他需要报告的事项</w:t>
      </w:r>
    </w:p>
    <w:p>
      <w:pPr>
        <w:pStyle w:val="4"/>
        <w:keepNext w:val="0"/>
        <w:keepLines w:val="0"/>
        <w:widowControl/>
        <w:suppressLineNumbers w:val="0"/>
        <w:spacing w:after="0" w:afterAutospacing="0" w:line="562" w:lineRule="atLeast"/>
        <w:ind w:firstLine="640" w:firstLineChars="20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eastAsia="zh-CN"/>
        </w:rPr>
        <w:t>（一）</w:t>
      </w: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年，我镇政府信息公开工作未发生《政府信息公开信息处理费管理办法》所列情况，无收取信息处理费情况。</w:t>
      </w:r>
    </w:p>
    <w:p>
      <w:pPr>
        <w:pStyle w:val="4"/>
        <w:keepNext w:val="0"/>
        <w:keepLines w:val="0"/>
        <w:widowControl/>
        <w:suppressLineNumbers w:val="0"/>
        <w:spacing w:after="0" w:afterAutospacing="0" w:line="562" w:lineRule="atLeast"/>
        <w:ind w:firstLine="640" w:firstLineChars="200"/>
        <w:jc w:val="left"/>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lang w:eastAsia="zh-CN"/>
        </w:rPr>
        <w:t>（二）</w:t>
      </w:r>
      <w:r>
        <w:rPr>
          <w:rFonts w:hint="eastAsia" w:ascii="仿宋" w:hAnsi="仿宋" w:eastAsia="仿宋" w:cs="仿宋"/>
          <w:i w:val="0"/>
          <w:iCs w:val="0"/>
          <w:caps w:val="0"/>
          <w:color w:val="000000"/>
          <w:spacing w:val="0"/>
          <w:sz w:val="32"/>
          <w:szCs w:val="32"/>
          <w:lang w:val="en-US" w:eastAsia="zh-CN"/>
        </w:rPr>
        <w:t>2023年我镇继续健全和完善政务公开工作领导，指定一名工作人员负责政务公开日常具体工作。对政务公开工作进行细化分工，加强对各科室业务能力培训，</w:t>
      </w:r>
      <w:r>
        <w:rPr>
          <w:rFonts w:hint="eastAsia" w:ascii="仿宋" w:hAnsi="仿宋" w:eastAsia="仿宋" w:cs="仿宋"/>
          <w:i w:val="0"/>
          <w:iCs w:val="0"/>
          <w:caps w:val="0"/>
          <w:color w:val="000000"/>
          <w:spacing w:val="0"/>
          <w:sz w:val="32"/>
          <w:szCs w:val="32"/>
          <w:lang w:val="en-US" w:eastAsia="zh-CN"/>
        </w:rPr>
        <w:t>提高依法依规做好政府信息公开工作的能力和水平。</w:t>
      </w:r>
    </w:p>
    <w:p>
      <w:pPr>
        <w:pStyle w:val="4"/>
        <w:keepNext w:val="0"/>
        <w:keepLines w:val="0"/>
        <w:widowControl/>
        <w:numPr>
          <w:ilvl w:val="0"/>
          <w:numId w:val="0"/>
        </w:numPr>
        <w:suppressLineNumbers w:val="0"/>
        <w:spacing w:after="0" w:afterAutospacing="0" w:line="562" w:lineRule="atLeast"/>
        <w:ind w:left="0" w:leftChars="0" w:right="0" w:rightChars="0" w:firstLine="634" w:firstLineChars="0"/>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kern w:val="0"/>
          <w:sz w:val="32"/>
          <w:szCs w:val="32"/>
          <w:lang w:val="en-US" w:eastAsia="zh-CN" w:bidi="ar"/>
        </w:rPr>
        <w:t>（三）</w:t>
      </w:r>
      <w:r>
        <w:rPr>
          <w:rFonts w:hint="eastAsia" w:ascii="仿宋" w:hAnsi="仿宋" w:eastAsia="仿宋" w:cs="仿宋"/>
          <w:i w:val="0"/>
          <w:iCs w:val="0"/>
          <w:caps w:val="0"/>
          <w:color w:val="000000"/>
          <w:spacing w:val="0"/>
          <w:sz w:val="32"/>
          <w:szCs w:val="32"/>
        </w:rPr>
        <w:t>人大代表建议和政协提案办理情况方面</w:t>
      </w:r>
      <w:r>
        <w:rPr>
          <w:rFonts w:hint="eastAsia" w:ascii="仿宋" w:hAnsi="仿宋" w:eastAsia="仿宋" w:cs="仿宋"/>
          <w:i w:val="0"/>
          <w:iCs w:val="0"/>
          <w:caps w:val="0"/>
          <w:color w:val="000000"/>
          <w:spacing w:val="0"/>
          <w:sz w:val="32"/>
          <w:szCs w:val="32"/>
          <w:lang w:eastAsia="zh-CN"/>
        </w:rPr>
        <w:t>。无</w:t>
      </w:r>
    </w:p>
    <w:p>
      <w:pPr>
        <w:pStyle w:val="4"/>
        <w:keepNext w:val="0"/>
        <w:keepLines w:val="0"/>
        <w:widowControl/>
        <w:numPr>
          <w:ilvl w:val="0"/>
          <w:numId w:val="0"/>
        </w:numPr>
        <w:suppressLineNumbers w:val="0"/>
        <w:spacing w:after="0" w:afterAutospacing="0" w:line="562" w:lineRule="atLeast"/>
        <w:ind w:left="0" w:leftChars="0" w:right="0" w:rightChars="0" w:firstLine="634" w:firstLineChars="0"/>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kern w:val="0"/>
          <w:sz w:val="32"/>
          <w:szCs w:val="32"/>
          <w:lang w:val="en-US" w:eastAsia="zh-CN" w:bidi="ar"/>
        </w:rPr>
        <w:t>（四）</w:t>
      </w:r>
      <w:r>
        <w:rPr>
          <w:rFonts w:hint="eastAsia" w:ascii="仿宋" w:hAnsi="仿宋" w:eastAsia="仿宋" w:cs="仿宋"/>
          <w:i w:val="0"/>
          <w:iCs w:val="0"/>
          <w:caps w:val="0"/>
          <w:color w:val="000000"/>
          <w:spacing w:val="0"/>
          <w:sz w:val="32"/>
          <w:szCs w:val="32"/>
        </w:rPr>
        <w:t>本单位政府信息公开工作年度报告数据统计需要说明的事项：无</w:t>
      </w:r>
    </w:p>
    <w:p>
      <w:pPr>
        <w:pStyle w:val="4"/>
        <w:keepNext w:val="0"/>
        <w:keepLines w:val="0"/>
        <w:widowControl/>
        <w:numPr>
          <w:ilvl w:val="0"/>
          <w:numId w:val="0"/>
        </w:numPr>
        <w:suppressLineNumbers w:val="0"/>
        <w:spacing w:after="0" w:afterAutospacing="0" w:line="562" w:lineRule="atLeast"/>
        <w:ind w:left="0" w:leftChars="0" w:right="0" w:rightChars="0" w:firstLine="634" w:firstLineChars="0"/>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kern w:val="0"/>
          <w:sz w:val="32"/>
          <w:szCs w:val="32"/>
          <w:lang w:val="en-US" w:eastAsia="zh-CN" w:bidi="ar"/>
        </w:rPr>
        <w:t>（五）</w:t>
      </w:r>
      <w:r>
        <w:rPr>
          <w:rFonts w:hint="eastAsia" w:ascii="仿宋" w:hAnsi="仿宋" w:eastAsia="仿宋" w:cs="仿宋"/>
          <w:i w:val="0"/>
          <w:iCs w:val="0"/>
          <w:caps w:val="0"/>
          <w:color w:val="000000"/>
          <w:spacing w:val="0"/>
          <w:sz w:val="32"/>
          <w:szCs w:val="32"/>
        </w:rPr>
        <w:t>其他有关文件专门要求通过政府信息公开工作年度报告予以报告的事项：无</w:t>
      </w:r>
    </w:p>
    <w:p>
      <w:pPr>
        <w:pStyle w:val="4"/>
        <w:keepNext w:val="0"/>
        <w:keepLines w:val="0"/>
        <w:widowControl/>
        <w:suppressLineNumbers w:val="0"/>
        <w:spacing w:after="0" w:afterAutospacing="0" w:line="562" w:lineRule="atLeast"/>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报告通过滕州市政府信息公开门户网站向社会公布，公民、法人及其他组织需要查询报告中相关政府信息公开事项的，可与镇政务信息公开办公室联系。（地址：山东省滕州市南沙河镇政府，联系电话：0632—5961419，电子邮箱：nshdzb@zz.shandong.cn）</w:t>
      </w:r>
    </w:p>
    <w:p>
      <w:pPr>
        <w:pStyle w:val="4"/>
        <w:keepNext w:val="0"/>
        <w:keepLines w:val="0"/>
        <w:widowControl/>
        <w:suppressLineNumbers w:val="0"/>
        <w:spacing w:after="0" w:afterAutospacing="0" w:line="562" w:lineRule="atLeast"/>
        <w:ind w:left="0" w:firstLine="5141"/>
        <w:jc w:val="both"/>
        <w:rPr>
          <w:rFonts w:hint="eastAsia" w:ascii="仿宋" w:hAnsi="仿宋" w:eastAsia="仿宋" w:cs="仿宋"/>
          <w:i w:val="0"/>
          <w:iCs w:val="0"/>
          <w:caps w:val="0"/>
          <w:color w:val="000000"/>
          <w:spacing w:val="0"/>
          <w:sz w:val="32"/>
          <w:szCs w:val="32"/>
        </w:rPr>
      </w:pPr>
    </w:p>
    <w:p>
      <w:pPr>
        <w:pStyle w:val="4"/>
        <w:keepNext w:val="0"/>
        <w:keepLines w:val="0"/>
        <w:widowControl/>
        <w:suppressLineNumbers w:val="0"/>
        <w:spacing w:after="0" w:afterAutospacing="0" w:line="562" w:lineRule="atLeast"/>
        <w:ind w:left="5558" w:hanging="317"/>
        <w:jc w:val="both"/>
      </w:pPr>
      <w:r>
        <w:rPr>
          <w:rFonts w:hint="eastAsia" w:ascii="仿宋_GB2312" w:hAnsi="sans-serif" w:eastAsia="仿宋_GB2312" w:cs="仿宋_GB2312"/>
          <w:i w:val="0"/>
          <w:iCs w:val="0"/>
          <w:caps w:val="0"/>
          <w:color w:val="000000"/>
          <w:spacing w:val="0"/>
          <w:sz w:val="32"/>
          <w:szCs w:val="32"/>
        </w:rPr>
        <w:t>  </w:t>
      </w:r>
    </w:p>
    <w:sectPr>
      <w:footerReference r:id="rId3" w:type="default"/>
      <w:pgSz w:w="11906" w:h="16838"/>
      <w:pgMar w:top="1440" w:right="1689" w:bottom="1440" w:left="168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04CE70D-9780-4D78-B9A0-BA23AAE84C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73522F1-6C0E-4CE5-8308-5B25D3F5BA42}"/>
  </w:font>
  <w:font w:name="方正小标宋简体">
    <w:panose1 w:val="03000509000000000000"/>
    <w:charset w:val="86"/>
    <w:family w:val="auto"/>
    <w:pitch w:val="default"/>
    <w:sig w:usb0="00000001" w:usb1="080E0000" w:usb2="00000000" w:usb3="00000000" w:csb0="00040000" w:csb1="00000000"/>
    <w:embedRegular r:id="rId3" w:fontKey="{DC113983-12C9-4A3C-9419-5CE2644256EB}"/>
  </w:font>
  <w:font w:name="sans-serif">
    <w:altName w:val="Segoe Print"/>
    <w:panose1 w:val="00000000000000000000"/>
    <w:charset w:val="00"/>
    <w:family w:val="auto"/>
    <w:pitch w:val="default"/>
    <w:sig w:usb0="00000000" w:usb1="00000000" w:usb2="00000000" w:usb3="00000000" w:csb0="00040001" w:csb1="00000000"/>
    <w:embedRegular r:id="rId4" w:fontKey="{E82B8828-1795-4A96-AF32-98CA6D7BFA28}"/>
  </w:font>
  <w:font w:name="仿宋_GB2312">
    <w:panose1 w:val="02010609030101010101"/>
    <w:charset w:val="86"/>
    <w:family w:val="auto"/>
    <w:pitch w:val="default"/>
    <w:sig w:usb0="00000001" w:usb1="080E0000" w:usb2="00000000" w:usb3="00000000" w:csb0="00040000" w:csb1="00000000"/>
    <w:embedRegular r:id="rId5" w:fontKey="{CA0E3BB6-5FB6-4757-A185-2C92B679CC11}"/>
  </w:font>
  <w:font w:name="楷体">
    <w:panose1 w:val="02010609060101010101"/>
    <w:charset w:val="86"/>
    <w:family w:val="auto"/>
    <w:pitch w:val="default"/>
    <w:sig w:usb0="800002BF" w:usb1="38CF7CFA" w:usb2="00000016" w:usb3="00000000" w:csb0="00040001" w:csb1="00000000"/>
    <w:embedRegular r:id="rId6" w:fontKey="{22932A8E-7BDE-48AC-BD2B-E7DE2AB230FF}"/>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embedRegular r:id="rId7" w:fontKey="{A37B33DA-B1E4-46C9-9061-60AAA555B2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66545"/>
    <w:multiLevelType w:val="singleLevel"/>
    <w:tmpl w:val="16066545"/>
    <w:lvl w:ilvl="0" w:tentative="0">
      <w:start w:val="5"/>
      <w:numFmt w:val="chineseCounting"/>
      <w:suff w:val="nothing"/>
      <w:lvlText w:val="%1、"/>
      <w:lvlJc w:val="left"/>
      <w:rPr>
        <w:rFonts w:hint="eastAsia"/>
      </w:rPr>
    </w:lvl>
  </w:abstractNum>
  <w:abstractNum w:abstractNumId="1">
    <w:nsid w:val="52A4D550"/>
    <w:multiLevelType w:val="singleLevel"/>
    <w:tmpl w:val="52A4D55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GNhYWZjMjNjOTk4ZWI0MmU4NGNiYjk3NjExMGQifQ=="/>
  </w:docVars>
  <w:rsids>
    <w:rsidRoot w:val="00000000"/>
    <w:rsid w:val="022977A3"/>
    <w:rsid w:val="08D77648"/>
    <w:rsid w:val="09005DB9"/>
    <w:rsid w:val="102B2027"/>
    <w:rsid w:val="11082369"/>
    <w:rsid w:val="113E5D8A"/>
    <w:rsid w:val="13B54DA6"/>
    <w:rsid w:val="14190E4F"/>
    <w:rsid w:val="16C46D32"/>
    <w:rsid w:val="1A9375AF"/>
    <w:rsid w:val="1CAC2742"/>
    <w:rsid w:val="1E236C80"/>
    <w:rsid w:val="2E1754F4"/>
    <w:rsid w:val="2FCB64B0"/>
    <w:rsid w:val="3260395B"/>
    <w:rsid w:val="3B070E17"/>
    <w:rsid w:val="3B3E6803"/>
    <w:rsid w:val="3FAE09D4"/>
    <w:rsid w:val="50CC248F"/>
    <w:rsid w:val="54B62C2B"/>
    <w:rsid w:val="54CB4FB3"/>
    <w:rsid w:val="566B274A"/>
    <w:rsid w:val="586B4670"/>
    <w:rsid w:val="5D4B6E32"/>
    <w:rsid w:val="5D550EDB"/>
    <w:rsid w:val="629E5C56"/>
    <w:rsid w:val="63F62D04"/>
    <w:rsid w:val="65F242EE"/>
    <w:rsid w:val="70DA254F"/>
    <w:rsid w:val="77EA5F9D"/>
    <w:rsid w:val="791C13C6"/>
    <w:rsid w:val="792E168A"/>
    <w:rsid w:val="7F74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40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400000" scaled="1"/>
                </a:gra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1"/>
              <c:showVal val="1"/>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1"/>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1"/>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Sheet1!$A$2:$A$3</c:f>
              <c:strCache>
                <c:ptCount val="2"/>
                <c:pt idx="0">
                  <c:v>微信公众号</c:v>
                </c:pt>
                <c:pt idx="1">
                  <c:v>信息公开</c:v>
                </c:pt>
              </c:strCache>
            </c:strRef>
          </c:cat>
          <c:val>
            <c:numRef>
              <c:f>Sheet1!$B$2:$B$3</c:f>
              <c:numCache>
                <c:formatCode>General</c:formatCode>
                <c:ptCount val="2"/>
                <c:pt idx="0">
                  <c:v>1422</c:v>
                </c:pt>
                <c:pt idx="1">
                  <c:v>26</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gradFill>
              <a:gsLst>
                <a:gs pos="100000">
                  <a:schemeClr val="accent1"/>
                </a:gs>
                <a:gs pos="0">
                  <a:schemeClr val="accent1">
                    <a:hueOff val="-1670000"/>
                  </a:schemeClr>
                </a:gs>
              </a:gsLst>
              <a:lin ang="5400000" scaled="0"/>
            </a:gradFill>
            <a:ln>
              <a:gradFill>
                <a:gsLst>
                  <a:gs pos="100000">
                    <a:schemeClr val="accent1">
                      <a:lumMod val="75000"/>
                    </a:schemeClr>
                  </a:gs>
                  <a:gs pos="0">
                    <a:schemeClr val="accent1">
                      <a:lumMod val="75000"/>
                      <a:hueOff val="-1670000"/>
                    </a:schemeClr>
                  </a:gs>
                </a:gsLst>
                <a:lin ang="4620000" scaled="0"/>
              </a:grad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Sheet1!$A$2:$A$6</c:f>
              <c:strCache>
                <c:ptCount val="5"/>
                <c:pt idx="0">
                  <c:v>通知公告</c:v>
                </c:pt>
                <c:pt idx="1">
                  <c:v>规划计划</c:v>
                </c:pt>
                <c:pt idx="2">
                  <c:v>组织管理</c:v>
                </c:pt>
                <c:pt idx="3">
                  <c:v>公开基本目录</c:v>
                </c:pt>
                <c:pt idx="4">
                  <c:v>部门镇街解读</c:v>
                </c:pt>
              </c:strCache>
            </c:strRef>
          </c:cat>
          <c:val>
            <c:numRef>
              <c:f>Sheet1!$B$2:$B$6</c:f>
              <c:numCache>
                <c:formatCode>General</c:formatCode>
                <c:ptCount val="5"/>
                <c:pt idx="0">
                  <c:v>10</c:v>
                </c:pt>
                <c:pt idx="1">
                  <c:v>2</c:v>
                </c:pt>
                <c:pt idx="2">
                  <c:v>11</c:v>
                </c:pt>
                <c:pt idx="3">
                  <c:v>2</c:v>
                </c:pt>
                <c:pt idx="4">
                  <c:v>1</c:v>
                </c:pt>
              </c:numCache>
            </c:numRef>
          </c:val>
        </c:ser>
        <c:dLbls>
          <c:showLegendKey val="0"/>
          <c:showVal val="1"/>
          <c:showCatName val="0"/>
          <c:showSerName val="0"/>
          <c:showPercent val="0"/>
          <c:showBubbleSize val="0"/>
        </c:dLbls>
        <c:gapWidth val="500"/>
        <c:overlap val="-50"/>
        <c:axId val="851493139"/>
        <c:axId val="801546337"/>
      </c:barChart>
      <c:catAx>
        <c:axId val="851493139"/>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801546337"/>
        <c:crosses val="autoZero"/>
        <c:auto val="1"/>
        <c:lblAlgn val="ctr"/>
        <c:lblOffset val="100"/>
        <c:noMultiLvlLbl val="0"/>
      </c:catAx>
      <c:valAx>
        <c:axId val="801546337"/>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851493139"/>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0">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8">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100000">
            <a:schemeClr val="phClr"/>
          </a:gs>
          <a:gs pos="0">
            <a:schemeClr val="phClr">
              <a:hueOff val="-1670000"/>
            </a:schemeClr>
          </a:gs>
        </a:gsLst>
        <a:lin ang="5400000" scaled="0"/>
      </a:gradFill>
      <a:ln>
        <a:gradFill>
          <a:gsLst>
            <a:gs pos="100000">
              <a:schemeClr val="phClr">
                <a:lumMod val="75000"/>
              </a:schemeClr>
            </a:gs>
            <a:gs pos="0">
              <a:schemeClr val="phClr">
                <a:lumMod val="75000"/>
                <a:hueOff val="-1670000"/>
              </a:schemeClr>
            </a:gs>
          </a:gsLst>
          <a:lin ang="4620000" scaled="0"/>
        </a:gra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2024-01-18T00:55:00Z</dcterms:created>
  <dc:creator>Administrator</dc:creator>
  <cp:lastModifiedBy>tengzhou</cp:lastModifiedBy>
  <dcterms:modified xsi:type="dcterms:W3CDTF">2024-01-22T03:37:56Z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1A1FDAA8767443C489D60D252BE442F4_12</vt:lpwstr>
  </property>
</Properties>
</file>