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450" w:afterAutospacing="0"/>
        <w:jc w:val="center"/>
        <w:rPr>
          <w:rFonts w:hint="eastAsia" w:ascii="宋体" w:hAnsi="宋体" w:eastAsia="宋体" w:cs="宋体"/>
          <w:b/>
          <w:bCs/>
          <w:sz w:val="44"/>
          <w:szCs w:val="44"/>
          <w:shd w:val="clear" w:color="auto" w:fill="FFFFFF"/>
        </w:rPr>
      </w:pPr>
      <w:r>
        <w:rPr>
          <w:rFonts w:hint="eastAsia" w:ascii="宋体" w:hAnsi="宋体" w:eastAsia="宋体" w:cs="宋体"/>
          <w:b/>
          <w:bCs/>
          <w:sz w:val="44"/>
          <w:szCs w:val="44"/>
          <w:shd w:val="clear" w:color="auto" w:fill="FFFFFF"/>
        </w:rPr>
        <w:t>滕州市财政局202</w:t>
      </w:r>
      <w:r>
        <w:rPr>
          <w:rFonts w:hint="eastAsia" w:ascii="宋体" w:hAnsi="宋体" w:eastAsia="宋体" w:cs="宋体"/>
          <w:b/>
          <w:bCs/>
          <w:sz w:val="44"/>
          <w:szCs w:val="44"/>
          <w:shd w:val="clear" w:color="auto" w:fill="FFFFFF"/>
          <w:lang w:val="en-US" w:eastAsia="zh-CN"/>
        </w:rPr>
        <w:t>3</w:t>
      </w:r>
      <w:r>
        <w:rPr>
          <w:rFonts w:hint="eastAsia" w:ascii="宋体" w:hAnsi="宋体" w:eastAsia="宋体" w:cs="宋体"/>
          <w:b/>
          <w:bCs/>
          <w:sz w:val="44"/>
          <w:szCs w:val="44"/>
          <w:shd w:val="clear" w:color="auto" w:fill="FFFFFF"/>
        </w:rPr>
        <w:t>年度政府信息公开</w:t>
      </w:r>
    </w:p>
    <w:p>
      <w:pPr>
        <w:pStyle w:val="2"/>
        <w:widowControl/>
        <w:shd w:val="clear" w:color="auto" w:fill="FFFFFF"/>
        <w:spacing w:beforeAutospacing="0" w:after="450" w:afterAutospacing="0"/>
        <w:jc w:val="center"/>
        <w:rPr>
          <w:rFonts w:hint="eastAsia" w:ascii="宋体" w:hAnsi="宋体" w:eastAsia="宋体" w:cs="宋体"/>
          <w:b/>
          <w:bCs/>
          <w:sz w:val="44"/>
          <w:szCs w:val="44"/>
        </w:rPr>
      </w:pPr>
      <w:r>
        <w:rPr>
          <w:rFonts w:hint="eastAsia" w:ascii="宋体" w:hAnsi="宋体" w:eastAsia="宋体" w:cs="宋体"/>
          <w:b/>
          <w:bCs/>
          <w:sz w:val="44"/>
          <w:szCs w:val="44"/>
          <w:shd w:val="clear" w:color="auto" w:fill="FFFFFF"/>
        </w:rPr>
        <w:t>工作年度报告</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根据《中华人民共和国政府信息公开条例》规定和省政府办公厅、枣庄市政府办公室、滕州市政府办公室通知要求，特编制滕州市</w:t>
      </w:r>
      <w:r>
        <w:rPr>
          <w:rFonts w:hint="eastAsia" w:ascii="仿宋_GB2312" w:hAnsi="宋体" w:eastAsia="仿宋_GB2312" w:cs="仿宋_GB2312"/>
          <w:i w:val="0"/>
          <w:iCs w:val="0"/>
          <w:caps w:val="0"/>
          <w:color w:val="000000"/>
          <w:spacing w:val="0"/>
          <w:sz w:val="32"/>
          <w:szCs w:val="32"/>
          <w:shd w:val="clear" w:fill="FFFFFF"/>
          <w:lang w:val="en-US" w:eastAsia="zh-CN"/>
        </w:rPr>
        <w:t>财政</w:t>
      </w:r>
      <w:r>
        <w:rPr>
          <w:rFonts w:ascii="仿宋_GB2312" w:hAnsi="宋体" w:eastAsia="仿宋_GB2312" w:cs="仿宋_GB2312"/>
          <w:i w:val="0"/>
          <w:iCs w:val="0"/>
          <w:caps w:val="0"/>
          <w:color w:val="000000"/>
          <w:spacing w:val="0"/>
          <w:sz w:val="32"/>
          <w:szCs w:val="32"/>
          <w:shd w:val="clear" w:fill="FFFFFF"/>
        </w:rPr>
        <w:t>局</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年政府信息公开年度报告并向社会公布。本年度报告中所列数据的统计期限自202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年1月1日起至12月31日止。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ascii="仿宋_GB2312" w:hAnsi="宋体" w:eastAsia="仿宋_GB2312" w:cs="仿宋_GB2312"/>
          <w:i w:val="0"/>
          <w:iCs w:val="0"/>
          <w:caps w:val="0"/>
          <w:color w:val="000000"/>
          <w:spacing w:val="0"/>
          <w:sz w:val="32"/>
          <w:szCs w:val="32"/>
          <w:shd w:val="clear" w:fill="FFFFFF"/>
        </w:rPr>
        <w:t>年，市</w:t>
      </w:r>
      <w:r>
        <w:rPr>
          <w:rFonts w:hint="eastAsia" w:ascii="仿宋_GB2312" w:hAnsi="宋体" w:eastAsia="仿宋_GB2312" w:cs="仿宋_GB2312"/>
          <w:i w:val="0"/>
          <w:iCs w:val="0"/>
          <w:caps w:val="0"/>
          <w:color w:val="000000"/>
          <w:spacing w:val="0"/>
          <w:sz w:val="32"/>
          <w:szCs w:val="32"/>
          <w:shd w:val="clear" w:fill="FFFFFF"/>
          <w:lang w:val="en-US" w:eastAsia="zh-CN"/>
        </w:rPr>
        <w:t>财政</w:t>
      </w:r>
      <w:r>
        <w:rPr>
          <w:rFonts w:ascii="仿宋_GB2312" w:hAnsi="宋体" w:eastAsia="仿宋_GB2312" w:cs="仿宋_GB2312"/>
          <w:i w:val="0"/>
          <w:iCs w:val="0"/>
          <w:caps w:val="0"/>
          <w:color w:val="000000"/>
          <w:spacing w:val="0"/>
          <w:sz w:val="32"/>
          <w:szCs w:val="32"/>
          <w:shd w:val="clear" w:fill="FFFFFF"/>
        </w:rPr>
        <w:t>局按照市委、市政府的统一部署，认真贯彻落实《中华人民共和国政府信息公开条例》以及省、枣庄市和滕州市政府关于政府信息公开工作的要求，紧扣</w:t>
      </w:r>
      <w:r>
        <w:rPr>
          <w:rFonts w:hint="eastAsia" w:ascii="仿宋_GB2312" w:hAnsi="宋体" w:eastAsia="仿宋_GB2312" w:cs="仿宋_GB2312"/>
          <w:i w:val="0"/>
          <w:iCs w:val="0"/>
          <w:caps w:val="0"/>
          <w:color w:val="000000"/>
          <w:spacing w:val="0"/>
          <w:sz w:val="32"/>
          <w:szCs w:val="32"/>
          <w:shd w:val="clear" w:fill="FFFFFF"/>
          <w:lang w:val="en-US" w:eastAsia="zh-CN"/>
        </w:rPr>
        <w:t>财政</w:t>
      </w:r>
      <w:r>
        <w:rPr>
          <w:rFonts w:ascii="仿宋_GB2312" w:hAnsi="宋体" w:eastAsia="仿宋_GB2312" w:cs="仿宋_GB2312"/>
          <w:i w:val="0"/>
          <w:iCs w:val="0"/>
          <w:caps w:val="0"/>
          <w:color w:val="000000"/>
          <w:spacing w:val="0"/>
          <w:sz w:val="32"/>
          <w:szCs w:val="32"/>
          <w:shd w:val="clear" w:fill="FFFFFF"/>
        </w:rPr>
        <w:t>局工作实际，加强市政府信息公开专栏、门户网站信息公开工作管理，优化政务服务机制，不断提升政府信息公开工作水平。</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eastAsia="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。一是强化基本信息公开。</w:t>
      </w:r>
      <w:r>
        <w:rPr>
          <w:rFonts w:ascii="仿宋_GB2312" w:hAnsi="宋体" w:eastAsia="仿宋_GB2312" w:cs="仿宋_GB2312"/>
          <w:i w:val="0"/>
          <w:iCs w:val="0"/>
          <w:caps w:val="0"/>
          <w:color w:val="000000"/>
          <w:spacing w:val="0"/>
          <w:sz w:val="32"/>
          <w:szCs w:val="32"/>
          <w:shd w:val="clear" w:fill="FFFFFF"/>
        </w:rPr>
        <w:t>全年共主动公开政府信息33</w:t>
      </w:r>
      <w:r>
        <w:rPr>
          <w:rFonts w:hint="eastAsia" w:ascii="仿宋_GB2312" w:hAnsi="宋体" w:eastAsia="仿宋_GB2312" w:cs="仿宋_GB2312"/>
          <w:i w:val="0"/>
          <w:iCs w:val="0"/>
          <w:caps w:val="0"/>
          <w:color w:val="000000"/>
          <w:spacing w:val="0"/>
          <w:sz w:val="32"/>
          <w:szCs w:val="32"/>
          <w:shd w:val="clear" w:fill="FFFFFF"/>
          <w:lang w:val="en-US" w:eastAsia="zh-CN"/>
        </w:rPr>
        <w:t>8</w:t>
      </w:r>
      <w:r>
        <w:rPr>
          <w:rFonts w:ascii="仿宋_GB2312" w:hAnsi="宋体" w:eastAsia="仿宋_GB2312" w:cs="仿宋_GB2312"/>
          <w:i w:val="0"/>
          <w:iCs w:val="0"/>
          <w:caps w:val="0"/>
          <w:color w:val="000000"/>
          <w:spacing w:val="0"/>
          <w:sz w:val="32"/>
          <w:szCs w:val="32"/>
          <w:shd w:val="clear" w:fill="FFFFFF"/>
        </w:rPr>
        <w:t>条。其中，通过官方网站公开</w:t>
      </w:r>
      <w:r>
        <w:rPr>
          <w:rFonts w:hint="eastAsia" w:ascii="仿宋_GB2312" w:hAnsi="宋体" w:eastAsia="仿宋_GB2312" w:cs="仿宋_GB2312"/>
          <w:i w:val="0"/>
          <w:iCs w:val="0"/>
          <w:caps w:val="0"/>
          <w:color w:val="000000"/>
          <w:spacing w:val="0"/>
          <w:sz w:val="32"/>
          <w:szCs w:val="32"/>
          <w:shd w:val="clear" w:fill="FFFFFF"/>
          <w:lang w:val="en-US" w:eastAsia="zh-CN"/>
        </w:rPr>
        <w:t>116</w:t>
      </w:r>
      <w:r>
        <w:rPr>
          <w:rFonts w:ascii="仿宋_GB2312" w:hAnsi="宋体" w:eastAsia="仿宋_GB2312" w:cs="仿宋_GB2312"/>
          <w:i w:val="0"/>
          <w:iCs w:val="0"/>
          <w:caps w:val="0"/>
          <w:color w:val="000000"/>
          <w:spacing w:val="0"/>
          <w:sz w:val="32"/>
          <w:szCs w:val="32"/>
          <w:shd w:val="clear" w:fill="FFFFFF"/>
        </w:rPr>
        <w:t>条，通过</w:t>
      </w:r>
      <w:r>
        <w:rPr>
          <w:rFonts w:hint="eastAsia" w:ascii="仿宋_GB2312" w:hAnsi="宋体" w:eastAsia="仿宋_GB2312" w:cs="仿宋_GB2312"/>
          <w:i w:val="0"/>
          <w:iCs w:val="0"/>
          <w:caps w:val="0"/>
          <w:color w:val="000000"/>
          <w:spacing w:val="0"/>
          <w:sz w:val="32"/>
          <w:szCs w:val="32"/>
          <w:shd w:val="clear" w:fill="FFFFFF"/>
          <w:lang w:val="en-US" w:eastAsia="zh-CN"/>
        </w:rPr>
        <w:t>政府</w:t>
      </w:r>
      <w:r>
        <w:rPr>
          <w:rFonts w:ascii="仿宋_GB2312" w:hAnsi="宋体" w:eastAsia="仿宋_GB2312" w:cs="仿宋_GB2312"/>
          <w:i w:val="0"/>
          <w:iCs w:val="0"/>
          <w:caps w:val="0"/>
          <w:color w:val="000000"/>
          <w:spacing w:val="0"/>
          <w:sz w:val="32"/>
          <w:szCs w:val="32"/>
          <w:shd w:val="clear" w:fill="FFFFFF"/>
        </w:rPr>
        <w:t>信息公开网站公开</w:t>
      </w:r>
      <w:r>
        <w:rPr>
          <w:rFonts w:hint="eastAsia" w:ascii="仿宋_GB2312" w:hAnsi="宋体" w:eastAsia="仿宋_GB2312" w:cs="仿宋_GB2312"/>
          <w:i w:val="0"/>
          <w:iCs w:val="0"/>
          <w:caps w:val="0"/>
          <w:color w:val="000000"/>
          <w:spacing w:val="0"/>
          <w:sz w:val="32"/>
          <w:szCs w:val="32"/>
          <w:shd w:val="clear" w:fill="FFFFFF"/>
          <w:lang w:val="en-US" w:eastAsia="zh-CN"/>
        </w:rPr>
        <w:t>101</w:t>
      </w:r>
      <w:r>
        <w:rPr>
          <w:rFonts w:ascii="仿宋_GB2312" w:hAnsi="宋体" w:eastAsia="仿宋_GB2312" w:cs="仿宋_GB2312"/>
          <w:i w:val="0"/>
          <w:iCs w:val="0"/>
          <w:caps w:val="0"/>
          <w:color w:val="000000"/>
          <w:spacing w:val="0"/>
          <w:sz w:val="32"/>
          <w:szCs w:val="32"/>
          <w:shd w:val="clear" w:fill="FFFFFF"/>
        </w:rPr>
        <w:t>条，通过微信公众号公开</w:t>
      </w:r>
      <w:r>
        <w:rPr>
          <w:rFonts w:hint="eastAsia" w:ascii="仿宋_GB2312" w:hAnsi="宋体" w:eastAsia="仿宋_GB2312" w:cs="仿宋_GB2312"/>
          <w:i w:val="0"/>
          <w:iCs w:val="0"/>
          <w:caps w:val="0"/>
          <w:color w:val="000000"/>
          <w:spacing w:val="0"/>
          <w:sz w:val="32"/>
          <w:szCs w:val="32"/>
          <w:shd w:val="clear" w:fill="FFFFFF"/>
          <w:lang w:val="en-US" w:eastAsia="zh-CN"/>
        </w:rPr>
        <w:t>121</w:t>
      </w:r>
      <w:r>
        <w:rPr>
          <w:rFonts w:ascii="仿宋_GB2312" w:hAnsi="宋体"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sz w:val="32"/>
          <w:szCs w:val="32"/>
        </w:rPr>
        <w:t>主动公开基本信息，包括通知公告、政策法规及</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文件、规划计划等。二是突出重点领域信息公开。202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年，主动公开财政信息包括：财政预决算、财政收支信息、重点项目绩效评价。维护滕州市预决算公开平台（</w:t>
      </w:r>
      <w:r>
        <w:rPr>
          <w:rFonts w:ascii="仿宋_GB2312" w:hAnsi="仿宋_GB2312" w:eastAsia="仿宋_GB2312" w:cs="仿宋_GB2312"/>
          <w:sz w:val="32"/>
          <w:szCs w:val="32"/>
        </w:rPr>
        <w:t>http://tengzhou.czyjsgk.com:5000/</w:t>
      </w:r>
      <w:r>
        <w:rPr>
          <w:rFonts w:hint="eastAsia" w:ascii="仿宋_GB2312" w:hAnsi="仿宋_GB2312" w:eastAsia="仿宋_GB2312" w:cs="仿宋_GB2312"/>
          <w:sz w:val="32"/>
          <w:szCs w:val="32"/>
        </w:rPr>
        <w:t>），财政预决算及三公经费类信息统一在此平台发布。</w:t>
      </w:r>
    </w:p>
    <w:p>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591050" cy="2809240"/>
            <wp:effectExtent l="0" t="0" r="0" b="10160"/>
            <wp:docPr id="2" name="图片 2" descr="直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直达"/>
                    <pic:cNvPicPr>
                      <a:picLocks noChangeAspect="1"/>
                    </pic:cNvPicPr>
                  </pic:nvPicPr>
                  <pic:blipFill>
                    <a:blip r:embed="rId4"/>
                    <a:stretch>
                      <a:fillRect/>
                    </a:stretch>
                  </pic:blipFill>
                  <pic:spPr>
                    <a:xfrm>
                      <a:off x="0" y="0"/>
                      <a:ext cx="4591050" cy="2809240"/>
                    </a:xfrm>
                    <a:prstGeom prst="rect">
                      <a:avLst/>
                    </a:prstGeom>
                  </pic:spPr>
                </pic:pic>
              </a:graphicData>
            </a:graphic>
          </wp:inline>
        </w:drawing>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firstLine="640" w:firstLineChars="200"/>
        <w:textAlignment w:val="auto"/>
        <w:rPr>
          <w:rFonts w:hint="default"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依申请公开。</w:t>
      </w:r>
      <w:r>
        <w:rPr>
          <w:rFonts w:hint="eastAsia" w:ascii="仿宋_GB2312" w:eastAsia="仿宋_GB2312"/>
          <w:color w:val="000000"/>
          <w:sz w:val="32"/>
          <w:szCs w:val="32"/>
          <w:lang w:val="en-US" w:eastAsia="zh-CN"/>
        </w:rPr>
        <w:t>2023年，新收4件</w:t>
      </w:r>
      <w:r>
        <w:rPr>
          <w:rFonts w:hint="eastAsia" w:ascii="仿宋_GB2312" w:hAnsi="仿宋_GB2312" w:eastAsia="仿宋_GB2312" w:cs="仿宋_GB2312"/>
          <w:sz w:val="32"/>
          <w:szCs w:val="32"/>
        </w:rPr>
        <w:t>政府信息公开申请，上年结转</w:t>
      </w:r>
      <w:r>
        <w:rPr>
          <w:rFonts w:hint="eastAsia" w:ascii="仿宋_GB2312" w:eastAsia="仿宋_GB2312"/>
          <w:color w:val="000000"/>
          <w:sz w:val="32"/>
          <w:szCs w:val="32"/>
          <w:lang w:val="en-US" w:eastAsia="zh-CN"/>
        </w:rPr>
        <w:t>0件，合计4件</w:t>
      </w:r>
      <w:r>
        <w:rPr>
          <w:rFonts w:hint="eastAsia" w:ascii="仿宋_GB2312" w:hAnsi="仿宋_GB2312" w:eastAsia="仿宋_GB2312" w:cs="仿宋_GB2312"/>
          <w:sz w:val="32"/>
          <w:szCs w:val="32"/>
        </w:rPr>
        <w:t>。</w:t>
      </w:r>
      <w:r>
        <w:rPr>
          <w:rFonts w:hint="eastAsia" w:ascii="仿宋_GB2312" w:eastAsia="仿宋_GB2312"/>
          <w:color w:val="000000"/>
          <w:sz w:val="32"/>
          <w:szCs w:val="32"/>
        </w:rPr>
        <w:t>自然人申</w:t>
      </w:r>
      <w:r>
        <w:rPr>
          <w:rFonts w:hint="eastAsia" w:ascii="仿宋_GB2312" w:eastAsia="仿宋_GB2312"/>
          <w:color w:val="000000"/>
          <w:sz w:val="32"/>
          <w:szCs w:val="32"/>
          <w:lang w:val="en-US" w:eastAsia="zh-CN"/>
        </w:rPr>
        <w:t>请4件，</w:t>
      </w:r>
      <w:r>
        <w:rPr>
          <w:rFonts w:hint="eastAsia" w:ascii="仿宋_GB2312" w:eastAsia="仿宋_GB2312" w:cstheme="minorBidi"/>
          <w:kern w:val="2"/>
          <w:sz w:val="32"/>
          <w:szCs w:val="32"/>
        </w:rPr>
        <w:t>其中予以公开</w:t>
      </w:r>
      <w:r>
        <w:rPr>
          <w:rFonts w:hint="eastAsia" w:ascii="仿宋_GB2312" w:eastAsia="仿宋_GB2312"/>
          <w:color w:val="000000"/>
          <w:sz w:val="32"/>
          <w:szCs w:val="32"/>
          <w:lang w:val="en-US" w:eastAsia="zh-CN"/>
        </w:rPr>
        <w:t>2件。</w:t>
      </w:r>
      <w:r>
        <w:rPr>
          <w:rFonts w:hint="eastAsia" w:ascii="仿宋_GB2312" w:eastAsia="仿宋_GB2312"/>
          <w:sz w:val="32"/>
          <w:szCs w:val="32"/>
        </w:rPr>
        <w:t>答复申请时，</w:t>
      </w:r>
      <w:r>
        <w:rPr>
          <w:rFonts w:ascii="仿宋_GB2312" w:eastAsia="仿宋_GB2312"/>
          <w:sz w:val="32"/>
          <w:szCs w:val="32"/>
        </w:rPr>
        <w:t>依法有据、严谨规范、慎重稳妥</w:t>
      </w:r>
      <w:r>
        <w:rPr>
          <w:rFonts w:hint="eastAsia"/>
          <w:sz w:val="32"/>
          <w:szCs w:val="32"/>
        </w:rPr>
        <w:t>。</w:t>
      </w:r>
      <w:r>
        <w:rPr>
          <w:rFonts w:hint="eastAsia" w:ascii="仿宋_GB2312" w:eastAsia="仿宋_GB2312"/>
          <w:color w:val="000000"/>
          <w:sz w:val="32"/>
          <w:szCs w:val="32"/>
        </w:rPr>
        <w:t>被行政复议</w:t>
      </w:r>
      <w:r>
        <w:rPr>
          <w:rFonts w:hint="eastAsia" w:ascii="仿宋_GB2312" w:eastAsia="仿宋_GB2312"/>
          <w:color w:val="000000"/>
          <w:sz w:val="32"/>
          <w:szCs w:val="32"/>
          <w:lang w:val="en-US" w:eastAsia="zh-CN"/>
        </w:rPr>
        <w:t>0件，</w:t>
      </w:r>
      <w:r>
        <w:rPr>
          <w:rFonts w:hint="eastAsia" w:ascii="仿宋_GB2312" w:eastAsia="仿宋_GB2312"/>
          <w:color w:val="000000"/>
          <w:sz w:val="32"/>
          <w:szCs w:val="32"/>
          <w:lang w:eastAsia="zh-CN"/>
        </w:rPr>
        <w:t>行政诉讼</w:t>
      </w:r>
      <w:r>
        <w:rPr>
          <w:rFonts w:hint="eastAsia" w:ascii="仿宋_GB2312" w:eastAsia="仿宋_GB2312"/>
          <w:color w:val="000000"/>
          <w:sz w:val="32"/>
          <w:szCs w:val="32"/>
          <w:lang w:val="en-US" w:eastAsia="zh-CN"/>
        </w:rPr>
        <w:t>0件。与往年相比增减情况，详见图表。</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center"/>
        <w:textAlignment w:val="auto"/>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drawing>
          <wp:inline distT="0" distB="0" distL="114300" distR="114300">
            <wp:extent cx="4114800" cy="2395220"/>
            <wp:effectExtent l="4445" t="4445" r="14605" b="19685"/>
            <wp:docPr id="6" name="图表 6" descr="7b0a202020202263686172745265734964223a2022333137383637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3.政府信息管理。严格落实公文公开属性源头认定机制，明确标识主动公开、依申请公开、不予公开属性。另明确信息公开时限要求，确保信息上传及时、避免出现空白栏目，扎实做好信息上传维护工作。</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4.政府信息公开平台建设。加强本部门网站</w:t>
      </w:r>
      <w:r>
        <w:rPr>
          <w:rFonts w:hint="eastAsia" w:ascii="仿宋_GB2312" w:eastAsia="仿宋_GB2312"/>
          <w:sz w:val="32"/>
          <w:szCs w:val="32"/>
        </w:rPr>
        <w:t>、政府信息公开专栏、政务新媒体</w:t>
      </w:r>
      <w:r>
        <w:rPr>
          <w:rFonts w:hint="eastAsia" w:ascii="仿宋_GB2312" w:hAnsi="仿宋_GB2312" w:eastAsia="仿宋_GB2312" w:cs="仿宋_GB2312"/>
          <w:sz w:val="32"/>
          <w:szCs w:val="32"/>
        </w:rPr>
        <w:t>的日常管理和栏目维护，不断完善政府信息公开网的公开内容。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5.监督保障。加强对政务信息公开工作的组织领导，健全以局长任组长，分管领导任副组长的政府信息公开工作领导小组，并下设办公室。结合工作安排，开展政务公开培训。</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年，滕州市财政局未发生因信息公开审查不当或保密审查机构未履行保密审查职责而引起的失泄密情况。202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年度未进行社会评议，未发生责任追究情况。</w:t>
      </w:r>
    </w:p>
    <w:p>
      <w:pPr>
        <w:numPr>
          <w:ilvl w:val="0"/>
          <w:numId w:val="1"/>
        </w:numPr>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tbl>
      <w:tblPr>
        <w:tblStyle w:val="9"/>
        <w:tblpPr w:leftFromText="180" w:rightFromText="180" w:vertAnchor="page" w:horzAnchor="page" w:tblpX="1715" w:tblpY="6928"/>
        <w:tblOverlap w:val="never"/>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rPr>
          <w:rFonts w:hint="eastAsia"/>
        </w:rPr>
      </w:pPr>
    </w:p>
    <w:p>
      <w:pPr>
        <w:numPr>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9"/>
        <w:tblW w:w="106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1650"/>
        <w:gridCol w:w="3030"/>
        <w:gridCol w:w="735"/>
        <w:gridCol w:w="660"/>
        <w:gridCol w:w="735"/>
        <w:gridCol w:w="810"/>
        <w:gridCol w:w="750"/>
        <w:gridCol w:w="660"/>
        <w:gridCol w:w="57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97"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（本列数据的勾稽关系为：第一项加第二项之和，</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等于第三项加第四项之和）</w:t>
            </w:r>
          </w:p>
        </w:tc>
        <w:tc>
          <w:tcPr>
            <w:tcW w:w="492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9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73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w:t>
            </w:r>
          </w:p>
        </w:tc>
        <w:tc>
          <w:tcPr>
            <w:tcW w:w="361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569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7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社会公益组织</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法律服务机构</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一、本年新收政府信息公开申请数量</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二、上年结转政府信息公开申请数量</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10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三、本年度办理结果</w:t>
            </w: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（一）予以公开</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（二）部分公开（区分处理的，只计这一情形，不计其他情形）</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（三）不予公开</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1.属于国家秘密</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2.其他法律行政法规禁止公开</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3.危及“三安全一稳定”</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4.保护第三方合法权益</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5.属于三类内部事务信息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6.属于四类过程性信息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7.属于行政执法案卷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8.属于行政查询事项</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（四）无法提供</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1.本机关不掌握相关政府信息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2.没有现成信息需要另行制作</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3.补正后申请内容仍不明确</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（五）不予处理</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1.信访举报投诉类申请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2.重复申请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3.要求提供公开出版物</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4.无正当理由大量反复申请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5.要求行政机关确认或重新出具已获取信息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（六）其他处理</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1.申请人无正当理由逾期不补正、行政机关不再处理其政府信息公开申请</w:t>
            </w:r>
          </w:p>
        </w:tc>
        <w:tc>
          <w:tcPr>
            <w:tcW w:w="735"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vMerge w:val="restart"/>
            <w:tcBorders>
              <w:top w:val="single" w:color="auto" w:sz="8" w:space="0"/>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left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2.申请人逾期未按收费通知要求缴纳费用、行政机关不再处理其政府信息公开申请</w:t>
            </w:r>
          </w:p>
        </w:tc>
        <w:tc>
          <w:tcPr>
            <w:tcW w:w="735"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660"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735"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810"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750"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660"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575" w:type="dxa"/>
            <w:vMerge w:val="continue"/>
            <w:tcBorders>
              <w:left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1650" w:type="dxa"/>
            <w:vMerge w:val="continue"/>
            <w:tcBorders>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w:t>
            </w:r>
          </w:p>
        </w:tc>
        <w:tc>
          <w:tcPr>
            <w:tcW w:w="735"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660"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735"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810"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750"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660"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c>
          <w:tcPr>
            <w:tcW w:w="575" w:type="dxa"/>
            <w:vMerge w:val="continue"/>
            <w:tcBorders>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（七）总计</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四、结转下年度继续办理</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rPr>
          <w:rFonts w:ascii="仿宋_GB2312" w:hAnsi="仿宋_GB2312" w:eastAsia="仿宋_GB2312" w:cs="仿宋_GB2312"/>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W w:w="1006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750"/>
        <w:gridCol w:w="695"/>
        <w:gridCol w:w="682"/>
        <w:gridCol w:w="423"/>
        <w:gridCol w:w="682"/>
        <w:gridCol w:w="763"/>
        <w:gridCol w:w="709"/>
        <w:gridCol w:w="682"/>
        <w:gridCol w:w="573"/>
        <w:gridCol w:w="682"/>
        <w:gridCol w:w="681"/>
        <w:gridCol w:w="696"/>
        <w:gridCol w:w="709"/>
        <w:gridCol w:w="559"/>
      </w:tblGrid>
      <w:tr>
        <w:tblPrEx>
          <w:tblCellMar>
            <w:top w:w="0" w:type="dxa"/>
            <w:left w:w="0" w:type="dxa"/>
            <w:bottom w:w="0" w:type="dxa"/>
            <w:right w:w="0" w:type="dxa"/>
          </w:tblCellMar>
        </w:tblPrEx>
        <w:trPr>
          <w:trHeight w:val="580" w:hRule="atLeast"/>
          <w:jc w:val="center"/>
        </w:trPr>
        <w:tc>
          <w:tcPr>
            <w:tcW w:w="332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行政复议</w:t>
            </w:r>
          </w:p>
        </w:tc>
        <w:tc>
          <w:tcPr>
            <w:tcW w:w="673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77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7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6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42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w:t>
            </w:r>
          </w:p>
        </w:tc>
        <w:tc>
          <w:tcPr>
            <w:tcW w:w="340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未经复议直接起诉</w:t>
            </w:r>
          </w:p>
        </w:tc>
        <w:tc>
          <w:tcPr>
            <w:tcW w:w="332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p>
        </w:tc>
        <w:tc>
          <w:tcPr>
            <w:tcW w:w="7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p>
        </w:tc>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p>
        </w:tc>
        <w:tc>
          <w:tcPr>
            <w:tcW w:w="42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76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6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5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778"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6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1"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9"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pPr>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lang w:val="en-US" w:eastAsia="zh-CN"/>
        </w:rPr>
        <w:t>2023年，</w:t>
      </w:r>
      <w:r>
        <w:rPr>
          <w:rFonts w:ascii="仿宋_GB2312" w:hAnsi="宋体" w:eastAsia="仿宋_GB2312" w:cs="仿宋_GB2312"/>
          <w:i w:val="0"/>
          <w:iCs w:val="0"/>
          <w:caps w:val="0"/>
          <w:color w:val="000000"/>
          <w:spacing w:val="0"/>
          <w:sz w:val="32"/>
          <w:szCs w:val="32"/>
          <w:shd w:val="clear" w:fill="FFFFFF"/>
        </w:rPr>
        <w:t>在上级业务部门的指导下</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val="en-US" w:eastAsia="zh-CN"/>
        </w:rPr>
        <w:t>财政</w:t>
      </w:r>
      <w:r>
        <w:rPr>
          <w:rFonts w:ascii="仿宋_GB2312" w:hAnsi="宋体" w:eastAsia="仿宋_GB2312" w:cs="仿宋_GB2312"/>
          <w:i w:val="0"/>
          <w:iCs w:val="0"/>
          <w:caps w:val="0"/>
          <w:color w:val="000000"/>
          <w:spacing w:val="0"/>
          <w:sz w:val="32"/>
          <w:szCs w:val="32"/>
          <w:shd w:val="clear" w:fill="FFFFFF"/>
        </w:rPr>
        <w:t>局政府信息公开工作更加规范化、制度化，但也存在一些问题和不足：一是</w:t>
      </w:r>
      <w:r>
        <w:rPr>
          <w:rFonts w:hint="eastAsia" w:ascii="仿宋_GB2312" w:hAnsi="宋体" w:eastAsia="仿宋_GB2312" w:cs="仿宋_GB2312"/>
          <w:i w:val="0"/>
          <w:iCs w:val="0"/>
          <w:caps w:val="0"/>
          <w:color w:val="000000"/>
          <w:spacing w:val="0"/>
          <w:sz w:val="32"/>
          <w:szCs w:val="32"/>
          <w:shd w:val="clear" w:fill="FFFFFF"/>
          <w:lang w:val="en-US" w:eastAsia="zh-CN"/>
        </w:rPr>
        <w:t>依申请公开办理还有待进一步规范</w:t>
      </w:r>
      <w:r>
        <w:rPr>
          <w:rFonts w:ascii="仿宋_GB2312" w:hAnsi="宋体" w:eastAsia="仿宋_GB2312" w:cs="仿宋_GB2312"/>
          <w:i w:val="0"/>
          <w:iCs w:val="0"/>
          <w:caps w:val="0"/>
          <w:color w:val="000000"/>
          <w:spacing w:val="0"/>
          <w:sz w:val="32"/>
          <w:szCs w:val="32"/>
          <w:shd w:val="clear" w:fill="FFFFFF"/>
        </w:rPr>
        <w:t>；二是政府信息公开部分信息公开</w:t>
      </w:r>
      <w:r>
        <w:rPr>
          <w:rFonts w:hint="eastAsia" w:ascii="仿宋_GB2312" w:hAnsi="宋体" w:eastAsia="仿宋_GB2312" w:cs="仿宋_GB2312"/>
          <w:i w:val="0"/>
          <w:iCs w:val="0"/>
          <w:caps w:val="0"/>
          <w:color w:val="000000"/>
          <w:spacing w:val="0"/>
          <w:sz w:val="32"/>
          <w:szCs w:val="32"/>
          <w:shd w:val="clear" w:fill="FFFFFF"/>
          <w:lang w:val="en-US" w:eastAsia="zh-CN"/>
        </w:rPr>
        <w:t>时间把握不准</w:t>
      </w:r>
      <w:r>
        <w:rPr>
          <w:rFonts w:ascii="仿宋_GB2312" w:hAnsi="宋体"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rPr>
        <w:t>将重点做好以下几个方面。</w:t>
      </w:r>
      <w:r>
        <w:rPr>
          <w:rFonts w:hint="eastAsia" w:ascii="仿宋_GB2312" w:hAnsi="仿宋_GB2312" w:eastAsia="仿宋_GB2312" w:cs="仿宋_GB2312"/>
          <w:sz w:val="32"/>
          <w:szCs w:val="32"/>
          <w:lang w:val="en-US" w:eastAsia="zh-CN"/>
        </w:rPr>
        <w:t>一是加强依申请公开业务指导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二是按照政府信息公开主动公开基本目录的公开时限要求</w:t>
      </w:r>
      <w:r>
        <w:rPr>
          <w:rFonts w:hint="eastAsia" w:ascii="仿宋_GB2312" w:hAnsi="仿宋_GB2312" w:eastAsia="仿宋_GB2312" w:cs="仿宋_GB2312"/>
          <w:sz w:val="32"/>
          <w:szCs w:val="32"/>
        </w:rPr>
        <w:t>，</w:t>
      </w:r>
      <w:r>
        <w:rPr>
          <w:rFonts w:ascii="仿宋_GB2312" w:hAnsi="宋体" w:eastAsia="仿宋_GB2312" w:cs="仿宋_GB2312"/>
          <w:i w:val="0"/>
          <w:iCs w:val="0"/>
          <w:caps w:val="0"/>
          <w:color w:val="000000"/>
          <w:spacing w:val="0"/>
          <w:sz w:val="32"/>
          <w:szCs w:val="32"/>
          <w:shd w:val="clear" w:fill="FFFFFF"/>
        </w:rPr>
        <w:t>及时、准确、规范的公开政府信息。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sz w:val="32"/>
          <w:szCs w:val="32"/>
        </w:rPr>
        <w:t>1.</w:t>
      </w:r>
      <w:r>
        <w:rPr>
          <w:rFonts w:ascii="仿宋_GB2312" w:hAnsi="宋体" w:eastAsia="仿宋_GB2312" w:cs="仿宋_GB2312"/>
          <w:i w:val="0"/>
          <w:iCs w:val="0"/>
          <w:caps w:val="0"/>
          <w:color w:val="000000"/>
          <w:spacing w:val="0"/>
          <w:sz w:val="32"/>
          <w:szCs w:val="32"/>
        </w:rPr>
        <w:t>收取信息处理费情况方面。</w:t>
      </w:r>
      <w:r>
        <w:rPr>
          <w:rFonts w:hint="eastAsia" w:ascii="仿宋_GB2312" w:hAnsi="宋体" w:eastAsia="仿宋_GB2312" w:cs="仿宋_GB2312"/>
          <w:i w:val="0"/>
          <w:iCs w:val="0"/>
          <w:caps w:val="0"/>
          <w:color w:val="000000"/>
          <w:spacing w:val="0"/>
          <w:sz w:val="32"/>
          <w:szCs w:val="32"/>
        </w:rPr>
        <w:t>202</w:t>
      </w:r>
      <w:r>
        <w:rPr>
          <w:rFonts w:hint="eastAsia" w:ascii="仿宋_GB2312" w:hAnsi="宋体" w:eastAsia="仿宋_GB2312" w:cs="仿宋_GB2312"/>
          <w:i w:val="0"/>
          <w:iCs w:val="0"/>
          <w:caps w:val="0"/>
          <w:color w:val="000000"/>
          <w:spacing w:val="0"/>
          <w:sz w:val="32"/>
          <w:szCs w:val="32"/>
          <w:lang w:val="en-US" w:eastAsia="zh-CN"/>
        </w:rPr>
        <w:t>3</w:t>
      </w:r>
      <w:r>
        <w:rPr>
          <w:rFonts w:hint="eastAsia" w:ascii="仿宋_GB2312" w:hAnsi="宋体" w:eastAsia="仿宋_GB2312" w:cs="仿宋_GB2312"/>
          <w:i w:val="0"/>
          <w:iCs w:val="0"/>
          <w:caps w:val="0"/>
          <w:color w:val="000000"/>
          <w:spacing w:val="0"/>
          <w:sz w:val="32"/>
          <w:szCs w:val="32"/>
        </w:rPr>
        <w:t>年度，本单位未收取信息处理费。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sz w:val="32"/>
          <w:szCs w:val="32"/>
        </w:rPr>
        <w:t>2.</w:t>
      </w:r>
      <w:r>
        <w:rPr>
          <w:rFonts w:ascii="仿宋_GB2312" w:hAnsi="宋体" w:eastAsia="仿宋_GB2312" w:cs="仿宋_GB2312"/>
          <w:i w:val="0"/>
          <w:iCs w:val="0"/>
          <w:caps w:val="0"/>
          <w:color w:val="000000"/>
          <w:spacing w:val="0"/>
          <w:sz w:val="32"/>
          <w:szCs w:val="32"/>
        </w:rPr>
        <w:t>落实上级年度政务公开工作要点情况。</w:t>
      </w:r>
      <w:r>
        <w:rPr>
          <w:rFonts w:hint="eastAsia" w:ascii="仿宋_GB2312" w:hAnsi="宋体" w:eastAsia="仿宋_GB2312" w:cs="仿宋_GB2312"/>
          <w:i w:val="0"/>
          <w:iCs w:val="0"/>
          <w:caps w:val="0"/>
          <w:color w:val="000000"/>
          <w:spacing w:val="0"/>
          <w:sz w:val="32"/>
          <w:szCs w:val="32"/>
          <w:lang w:val="en-US" w:eastAsia="zh-CN"/>
        </w:rPr>
        <w:t>对照</w:t>
      </w:r>
      <w:r>
        <w:rPr>
          <w:rFonts w:ascii="仿宋_GB2312" w:hAnsi="宋体" w:eastAsia="仿宋_GB2312" w:cs="仿宋_GB2312"/>
          <w:i w:val="0"/>
          <w:iCs w:val="0"/>
          <w:caps w:val="0"/>
          <w:color w:val="000000"/>
          <w:spacing w:val="0"/>
          <w:sz w:val="32"/>
          <w:szCs w:val="32"/>
          <w:shd w:val="clear" w:fill="FFFFFF"/>
        </w:rPr>
        <w:t>《滕州市202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ascii="仿宋_GB2312" w:hAnsi="宋体" w:eastAsia="仿宋_GB2312" w:cs="仿宋_GB2312"/>
          <w:i w:val="0"/>
          <w:iCs w:val="0"/>
          <w:caps w:val="0"/>
          <w:color w:val="000000"/>
          <w:spacing w:val="0"/>
          <w:sz w:val="32"/>
          <w:szCs w:val="32"/>
          <w:shd w:val="clear" w:fill="FFFFFF"/>
        </w:rPr>
        <w:t>年政务公开工作要点》</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rPr>
        <w:t>围绕重点领域信息公开、政务公开标准化规范化建设明确责任主体和完成时限</w:t>
      </w:r>
      <w:r>
        <w:rPr>
          <w:rFonts w:hint="eastAsia" w:ascii="仿宋_GB2312" w:hAnsi="宋体" w:eastAsia="仿宋_GB2312" w:cs="仿宋_GB2312"/>
          <w:i w:val="0"/>
          <w:iCs w:val="0"/>
          <w:caps w:val="0"/>
          <w:color w:val="000000"/>
          <w:spacing w:val="0"/>
          <w:sz w:val="32"/>
          <w:szCs w:val="32"/>
          <w:lang w:val="en-US" w:eastAsia="zh-CN"/>
        </w:rPr>
        <w:t>开展政务公开工作。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年共办理人大代表建议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条，办理政协提案</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条，均已办理完成。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rPr>
        <w:t>开展政务公开创新方面</w:t>
      </w:r>
      <w:r>
        <w:rPr>
          <w:rFonts w:hint="eastAsia" w:ascii="仿宋_GB2312" w:hAnsi="宋体" w:eastAsia="仿宋_GB2312" w:cs="仿宋_GB2312"/>
          <w:i w:val="0"/>
          <w:iCs w:val="0"/>
          <w:caps w:val="0"/>
          <w:color w:val="000000"/>
          <w:spacing w:val="0"/>
          <w:sz w:val="32"/>
          <w:szCs w:val="32"/>
        </w:rPr>
        <w:t>：无。</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没有针对政府信息公开工作年度报告数据统计需要说明的事项。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没有需要报告的其他事项。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800" w:firstLineChars="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如对本报告有任何疑问，请与</w:t>
      </w:r>
      <w:r>
        <w:rPr>
          <w:rFonts w:ascii="仿宋_GB2312" w:hAnsi="仿宋_GB2312" w:eastAsia="仿宋_GB2312" w:cs="仿宋_GB2312"/>
          <w:sz w:val="32"/>
          <w:szCs w:val="32"/>
        </w:rPr>
        <w:t>滕州市财政局办公室</w:t>
      </w:r>
      <w:r>
        <w:rPr>
          <w:rFonts w:hint="eastAsia" w:ascii="仿宋_GB2312" w:hAnsi="仿宋_GB2312" w:eastAsia="仿宋_GB2312" w:cs="仿宋_GB2312"/>
          <w:sz w:val="32"/>
          <w:szCs w:val="32"/>
        </w:rPr>
        <w:t>联系。</w:t>
      </w:r>
      <w:r>
        <w:rPr>
          <w:rFonts w:ascii="仿宋_GB2312" w:hAnsi="仿宋_GB2312" w:eastAsia="仿宋_GB2312" w:cs="仿宋_GB2312"/>
          <w:sz w:val="32"/>
          <w:szCs w:val="32"/>
        </w:rPr>
        <w:t>地址：滕州市善国南路86号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联系电话：0632-5583592</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5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p>
    <w:sectPr>
      <w:pgSz w:w="11906" w:h="16838"/>
      <w:pgMar w:top="1157" w:right="1406" w:bottom="115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58B1D"/>
    <w:multiLevelType w:val="singleLevel"/>
    <w:tmpl w:val="AAF58B1D"/>
    <w:lvl w:ilvl="0" w:tentative="0">
      <w:start w:val="2"/>
      <w:numFmt w:val="chineseCounting"/>
      <w:suff w:val="nothing"/>
      <w:lvlText w:val="%1、"/>
      <w:lvlJc w:val="left"/>
      <w:rPr>
        <w:rFonts w:hint="eastAsia"/>
      </w:rPr>
    </w:lvl>
  </w:abstractNum>
  <w:abstractNum w:abstractNumId="1">
    <w:nsid w:val="240721EE"/>
    <w:multiLevelType w:val="singleLevel"/>
    <w:tmpl w:val="240721EE"/>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MzUxMWE1YzllNmFlYmU1ZTEzMzU0OTRhYTVjNGQifQ=="/>
  </w:docVars>
  <w:rsids>
    <w:rsidRoot w:val="678B13FD"/>
    <w:rsid w:val="000F7DC7"/>
    <w:rsid w:val="001008BE"/>
    <w:rsid w:val="001600C5"/>
    <w:rsid w:val="005D7667"/>
    <w:rsid w:val="006971BF"/>
    <w:rsid w:val="007827C5"/>
    <w:rsid w:val="00883ED9"/>
    <w:rsid w:val="009F49CC"/>
    <w:rsid w:val="00AB6BB4"/>
    <w:rsid w:val="00B970F7"/>
    <w:rsid w:val="00C73588"/>
    <w:rsid w:val="00D1449B"/>
    <w:rsid w:val="00D84190"/>
    <w:rsid w:val="00E34B1D"/>
    <w:rsid w:val="00FC65F1"/>
    <w:rsid w:val="02487AB4"/>
    <w:rsid w:val="05DA02F8"/>
    <w:rsid w:val="073E518E"/>
    <w:rsid w:val="08E32BBB"/>
    <w:rsid w:val="0AFD6A2F"/>
    <w:rsid w:val="0CC710AB"/>
    <w:rsid w:val="0CC7358B"/>
    <w:rsid w:val="0DEB0BBD"/>
    <w:rsid w:val="100B7B64"/>
    <w:rsid w:val="164F17E0"/>
    <w:rsid w:val="1A944BF5"/>
    <w:rsid w:val="1B855497"/>
    <w:rsid w:val="1B966EEF"/>
    <w:rsid w:val="1CAE503A"/>
    <w:rsid w:val="1FF20DFB"/>
    <w:rsid w:val="20AB7ECD"/>
    <w:rsid w:val="20C932CD"/>
    <w:rsid w:val="24287EDB"/>
    <w:rsid w:val="25137802"/>
    <w:rsid w:val="25981AB5"/>
    <w:rsid w:val="26FC034A"/>
    <w:rsid w:val="274A4557"/>
    <w:rsid w:val="28CB2BA5"/>
    <w:rsid w:val="2931789B"/>
    <w:rsid w:val="2932200E"/>
    <w:rsid w:val="2A4B40AE"/>
    <w:rsid w:val="2ACF55E4"/>
    <w:rsid w:val="2C142823"/>
    <w:rsid w:val="2E0777D8"/>
    <w:rsid w:val="30F81EA6"/>
    <w:rsid w:val="32613669"/>
    <w:rsid w:val="32BB215C"/>
    <w:rsid w:val="35A53371"/>
    <w:rsid w:val="3683376A"/>
    <w:rsid w:val="373C33F6"/>
    <w:rsid w:val="383E4AD7"/>
    <w:rsid w:val="3C135571"/>
    <w:rsid w:val="3C763BDF"/>
    <w:rsid w:val="3CA332BD"/>
    <w:rsid w:val="3CA84554"/>
    <w:rsid w:val="3CC53ECB"/>
    <w:rsid w:val="3DE43543"/>
    <w:rsid w:val="40730CFD"/>
    <w:rsid w:val="43DC3D25"/>
    <w:rsid w:val="44177C0F"/>
    <w:rsid w:val="45DE5870"/>
    <w:rsid w:val="4652735B"/>
    <w:rsid w:val="47536CF9"/>
    <w:rsid w:val="476E55D0"/>
    <w:rsid w:val="47AD13CF"/>
    <w:rsid w:val="4B420C7A"/>
    <w:rsid w:val="4DBC7167"/>
    <w:rsid w:val="50D81F61"/>
    <w:rsid w:val="51E70B3A"/>
    <w:rsid w:val="52F46F3B"/>
    <w:rsid w:val="56692707"/>
    <w:rsid w:val="57530294"/>
    <w:rsid w:val="58C633EA"/>
    <w:rsid w:val="58CD02B9"/>
    <w:rsid w:val="58DC4756"/>
    <w:rsid w:val="59D6437F"/>
    <w:rsid w:val="5A000461"/>
    <w:rsid w:val="5AF41016"/>
    <w:rsid w:val="5C394FAE"/>
    <w:rsid w:val="5EA54309"/>
    <w:rsid w:val="5F533996"/>
    <w:rsid w:val="5FFC63AF"/>
    <w:rsid w:val="60694ACA"/>
    <w:rsid w:val="609C184C"/>
    <w:rsid w:val="614554EA"/>
    <w:rsid w:val="62AE7F66"/>
    <w:rsid w:val="6549565F"/>
    <w:rsid w:val="661172C1"/>
    <w:rsid w:val="66B46942"/>
    <w:rsid w:val="678B13FD"/>
    <w:rsid w:val="69C36A75"/>
    <w:rsid w:val="6A993671"/>
    <w:rsid w:val="6ABD052C"/>
    <w:rsid w:val="6B517D09"/>
    <w:rsid w:val="6C38636B"/>
    <w:rsid w:val="6DCE3893"/>
    <w:rsid w:val="6F397B08"/>
    <w:rsid w:val="6F79782E"/>
    <w:rsid w:val="71054B0E"/>
    <w:rsid w:val="71DA7865"/>
    <w:rsid w:val="73564087"/>
    <w:rsid w:val="73F710CD"/>
    <w:rsid w:val="7578789B"/>
    <w:rsid w:val="763B293A"/>
    <w:rsid w:val="78CC0FF1"/>
    <w:rsid w:val="79477948"/>
    <w:rsid w:val="7ADE0E8D"/>
    <w:rsid w:val="7D2C4E96"/>
    <w:rsid w:val="7DDE64AF"/>
    <w:rsid w:val="DB67F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15"/>
    <w:autoRedefine/>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rgbClr val="FF9999"/>
                </a:solidFill>
                <a:latin typeface="微软雅黑" panose="020B0503020204020204" charset="-122"/>
                <a:ea typeface="微软雅黑" panose="020B0503020204020204" charset="-122"/>
                <a:cs typeface="+mn-cs"/>
              </a:defRPr>
            </a:pPr>
            <a:r>
              <a:t>依申请公开数量变化图</a:t>
            </a:r>
          </a:p>
        </c:rich>
      </c:tx>
      <c:layout/>
      <c:overlay val="0"/>
      <c:spPr>
        <a:noFill/>
        <a:ln>
          <a:noFill/>
        </a:ln>
        <a:effectLst/>
      </c:spPr>
    </c:title>
    <c:autoTitleDeleted val="0"/>
    <c:plotArea>
      <c:layout/>
      <c:lineChart>
        <c:grouping val="standard"/>
        <c:varyColors val="0"/>
        <c:ser>
          <c:idx val="0"/>
          <c:order val="0"/>
          <c:tx>
            <c:strRef>
              <c:f>Sheet1!$B$1</c:f>
              <c:strCache>
                <c:ptCount val="1"/>
                <c:pt idx="0">
                  <c:v>系列 1</c:v>
                </c:pt>
              </c:strCache>
            </c:strRef>
          </c:tx>
          <c:spPr>
            <a:ln w="101600" cap="rnd" cmpd="sng" algn="ctr">
              <a:gradFill flip="none" rotWithShape="1">
                <a:gsLst>
                  <a:gs pos="0">
                    <a:srgbClr val="FF9999"/>
                  </a:gs>
                  <a:gs pos="100000">
                    <a:schemeClr val="tx2">
                      <a:lumMod val="50000"/>
                      <a:alpha val="0"/>
                    </a:schemeClr>
                  </a:gs>
                </a:gsLst>
                <a:lin ang="7800000" scaled="0"/>
                <a:tileRect/>
              </a:gradFill>
              <a:prstDash val="sysDot"/>
              <a:round/>
            </a:ln>
            <a:effectLst/>
          </c:spPr>
          <c:marker>
            <c:symbol val="picture"/>
          </c:marker>
          <c:dLbls>
            <c:delete val="1"/>
          </c:dLbls>
          <c:cat>
            <c:strRef>
              <c:f>Sheet1!$A$2:$A$5</c:f>
              <c:strCache>
                <c:ptCount val="4"/>
                <c:pt idx="0">
                  <c:v>2020年</c:v>
                </c:pt>
                <c:pt idx="1">
                  <c:v>2021年</c:v>
                </c:pt>
                <c:pt idx="2">
                  <c:v>2022年</c:v>
                </c:pt>
                <c:pt idx="3">
                  <c:v>2023年</c:v>
                </c:pt>
              </c:strCache>
            </c:strRef>
          </c:cat>
          <c:val>
            <c:numRef>
              <c:f>Sheet1!$B$2:$B$5</c:f>
              <c:numCache>
                <c:formatCode>General</c:formatCode>
                <c:ptCount val="4"/>
                <c:pt idx="0">
                  <c:v>2</c:v>
                </c:pt>
                <c:pt idx="1">
                  <c:v>4</c:v>
                </c:pt>
                <c:pt idx="2">
                  <c:v>1</c:v>
                </c:pt>
                <c:pt idx="3">
                  <c:v>4</c:v>
                </c:pt>
              </c:numCache>
            </c:numRef>
          </c:val>
          <c:smooth val="1"/>
        </c:ser>
        <c:ser>
          <c:idx val="1"/>
          <c:order val="1"/>
          <c:tx>
            <c:strRef>
              <c:f>Sheet1!#REF!</c:f>
              <c:strCache>
                <c:ptCount val="1"/>
                <c:pt idx="0">
                  <c:v/>
                </c:pt>
              </c:strCache>
            </c:strRef>
          </c:tx>
          <c:spPr>
            <a:ln w="101600" cap="rnd" cmpd="sng" algn="ctr">
              <a:gradFill flip="none" rotWithShape="1">
                <a:gsLst>
                  <a:gs pos="0">
                    <a:srgbClr val="FF9999"/>
                  </a:gs>
                  <a:gs pos="100000">
                    <a:schemeClr val="tx2">
                      <a:lumMod val="50000"/>
                      <a:alpha val="0"/>
                    </a:schemeClr>
                  </a:gs>
                </a:gsLst>
                <a:lin ang="7800000" scaled="0"/>
                <a:tileRect/>
              </a:gradFill>
              <a:prstDash val="sysDot"/>
              <a:round/>
            </a:ln>
            <a:effectLst/>
          </c:spPr>
          <c:marker>
            <c:symbol val="picture"/>
          </c:marker>
          <c:dLbls>
            <c:delete val="1"/>
          </c:dLbls>
          <c:cat>
            <c:strRef>
              <c:f>Sheet1!$A$2:$A$5</c:f>
              <c:strCache>
                <c:ptCount val="4"/>
                <c:pt idx="0">
                  <c:v>2020年</c:v>
                </c:pt>
                <c:pt idx="1">
                  <c:v>2021年</c:v>
                </c:pt>
                <c:pt idx="2">
                  <c:v>2022年</c:v>
                </c:pt>
                <c:pt idx="3">
                  <c:v>2023年</c:v>
                </c:pt>
              </c:strCache>
            </c:strRef>
          </c:cat>
          <c:val>
            <c:numRef>
              <c:f>Sheet1!#REF!</c:f>
              <c:numCache>
                <c:formatCode>General</c:formatCode>
                <c:ptCount val="1"/>
                <c:pt idx="0">
                  <c:v>1</c:v>
                </c:pt>
              </c:numCache>
            </c:numRef>
          </c:val>
          <c:smooth val="1"/>
        </c:ser>
        <c:ser>
          <c:idx val="2"/>
          <c:order val="2"/>
          <c:tx>
            <c:strRef>
              <c:f>Sheet1!#REF!</c:f>
              <c:strCache>
                <c:ptCount val="1"/>
                <c:pt idx="0">
                  <c:v/>
                </c:pt>
              </c:strCache>
            </c:strRef>
          </c:tx>
          <c:spPr>
            <a:ln w="101600" cap="rnd" cmpd="sng" algn="ctr">
              <a:gradFill flip="none" rotWithShape="1">
                <a:gsLst>
                  <a:gs pos="0">
                    <a:srgbClr val="FF9999"/>
                  </a:gs>
                  <a:gs pos="100000">
                    <a:schemeClr val="tx2">
                      <a:lumMod val="50000"/>
                      <a:alpha val="0"/>
                    </a:schemeClr>
                  </a:gs>
                </a:gsLst>
                <a:lin ang="7800000" scaled="0"/>
                <a:tileRect/>
              </a:gradFill>
              <a:prstDash val="sysDot"/>
              <a:round/>
            </a:ln>
            <a:effectLst/>
          </c:spPr>
          <c:marker>
            <c:symbol val="picture"/>
          </c:marker>
          <c:dLbls>
            <c:delete val="1"/>
          </c:dLbls>
          <c:cat>
            <c:strRef>
              <c:f>Sheet1!$A$2:$A$5</c:f>
              <c:strCache>
                <c:ptCount val="4"/>
                <c:pt idx="0">
                  <c:v>2020年</c:v>
                </c:pt>
                <c:pt idx="1">
                  <c:v>2021年</c:v>
                </c:pt>
                <c:pt idx="2">
                  <c:v>2022年</c:v>
                </c:pt>
                <c:pt idx="3">
                  <c:v>2023年</c:v>
                </c:pt>
              </c:strCache>
            </c:strRef>
          </c:cat>
          <c:val>
            <c:numRef>
              <c:f>Sheet1!#REF!</c:f>
              <c:numCache>
                <c:formatCode>General</c:formatCode>
                <c:ptCount val="1"/>
                <c:pt idx="0">
                  <c:v>1</c:v>
                </c:pt>
              </c:numCache>
            </c:numRef>
          </c:val>
          <c:smooth val="1"/>
        </c:ser>
        <c:dLbls>
          <c:showLegendKey val="0"/>
          <c:showVal val="0"/>
          <c:showCatName val="0"/>
          <c:showSerName val="0"/>
          <c:showPercent val="0"/>
          <c:showBubbleSize val="0"/>
        </c:dLbls>
        <c:marker val="1"/>
        <c:smooth val="1"/>
        <c:axId val="782504061"/>
        <c:axId val="153093917"/>
      </c:lineChart>
      <c:catAx>
        <c:axId val="78250406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rgbClr val="FF9999"/>
                </a:solidFill>
                <a:latin typeface="+mn-lt"/>
                <a:ea typeface="+mn-ea"/>
                <a:cs typeface="+mn-cs"/>
              </a:defRPr>
            </a:pPr>
          </a:p>
        </c:txPr>
        <c:crossAx val="153093917"/>
        <c:crosses val="autoZero"/>
        <c:auto val="1"/>
        <c:lblAlgn val="ctr"/>
        <c:lblOffset val="100"/>
        <c:noMultiLvlLbl val="0"/>
      </c:catAx>
      <c:valAx>
        <c:axId val="153093917"/>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rgbClr val="FF9999"/>
                </a:solidFill>
                <a:latin typeface="+mn-lt"/>
                <a:ea typeface="+mn-ea"/>
                <a:cs typeface="+mn-cs"/>
              </a:defRPr>
            </a:pPr>
          </a:p>
        </c:txPr>
        <c:crossAx val="782504061"/>
        <c:crosses val="autoZero"/>
        <c:crossBetween val="between"/>
      </c:valAx>
      <c:spPr>
        <a:noFill/>
        <a:ln w="25400">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prstDash val="solid"/>
      <a:round/>
    </a:ln>
    <a:effectLst/>
  </c:spPr>
  <c:txPr>
    <a:bodyPr/>
    <a:lstStyle/>
    <a:p>
      <a:pPr>
        <a:defRPr lang="zh-CN">
          <a:solidFill>
            <a:srgbClr val="FF9999"/>
          </a:solidFill>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微软中国</Company>
  <Pages>9</Pages>
  <Words>2569</Words>
  <Characters>2712</Characters>
  <Lines>5</Lines>
  <Paragraphs>5</Paragraphs>
  <TotalTime>22</TotalTime>
  <ScaleCrop>false</ScaleCrop>
  <LinksUpToDate>false</LinksUpToDate>
  <CharactersWithSpaces>2746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2021-01-25T09:43:00Z</dcterms:created>
  <dc:creator>Administrator</dc:creator>
  <cp:lastModifiedBy>百事可乐</cp:lastModifiedBy>
  <cp:lastPrinted>2023-01-16T10:54:00Z</cp:lastPrinted>
  <dcterms:modified xsi:type="dcterms:W3CDTF">2024-01-22T02:35:54Z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E821F0A5D68C4ADE854B8AF91EC08EF5_13</vt:lpwstr>
  </property>
</Properties>
</file>