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方正小标宋简体" w:hAnsi="宋体" w:eastAsia="方正小标宋简体" w:cs="宋体"/>
          <w:color w:val="000000"/>
          <w:kern w:val="0"/>
          <w:sz w:val="44"/>
          <w:szCs w:val="44"/>
          <w:lang w:val="en-US" w:eastAsia="zh-CN"/>
        </w:rPr>
      </w:pPr>
      <w:r>
        <w:rPr>
          <w:rFonts w:hint="eastAsia" w:ascii="方正小标宋简体" w:hAnsi="宋体" w:eastAsia="方正小标宋简体" w:cs="宋体"/>
          <w:color w:val="000000"/>
          <w:kern w:val="0"/>
          <w:sz w:val="44"/>
          <w:szCs w:val="44"/>
          <w:lang w:val="en-US" w:eastAsia="zh-CN"/>
        </w:rPr>
        <w:t>滕州市行政审批服务局</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20</w:t>
      </w:r>
      <w:r>
        <w:rPr>
          <w:rFonts w:hint="eastAsia" w:ascii="方正小标宋简体" w:hAnsi="宋体" w:eastAsia="方正小标宋简体" w:cs="宋体"/>
          <w:color w:val="000000"/>
          <w:kern w:val="0"/>
          <w:sz w:val="44"/>
          <w:szCs w:val="44"/>
          <w:lang w:val="en-US" w:eastAsia="zh-CN"/>
        </w:rPr>
        <w:t>22</w:t>
      </w:r>
      <w:r>
        <w:rPr>
          <w:rFonts w:hint="eastAsia" w:ascii="方正小标宋简体" w:hAnsi="宋体" w:eastAsia="方正小标宋简体" w:cs="宋体"/>
          <w:color w:val="000000"/>
          <w:kern w:val="0"/>
          <w:sz w:val="44"/>
          <w:szCs w:val="44"/>
        </w:rPr>
        <w:t>年政府信息公开年度报告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本报告依据《中华人民共和国政府信息公开条例》要求及2022年度滕州市行政审批服务局及所属事业单位政府信息和政务公开工作情况编制。本报告中所列数据的统计期限自2022年1月1日至2022年12月31日。</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rPr>
        <w:t>一、总体情况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市行政审批服务局高度重视信息公开工作，认真学习、贯彻、落实《中华人民共和国政府信息公开条例》(以下简称《条例》)规定和有关文件要求，结合工作实际，坚持公开为常态、不公开为例外，全面推进决策、执行、管理、服务、结果公开，以公开稳预期、强监督、促落实、优服务，不断加强公开力度，扩大公众参与，以公开促落实，以公开促规范，以公开促服务，助力保障和提升行政审批服务质量。</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（一）政府信息主动公开情况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不同载体主动公开信息986条，其中政府网站公开政府信息925条，微信、微博公众平台公开政府信息61条。涵盖机构设置、政策法规、通知公告、公文法规、规划计划信息、建议和提案办理结果、行政许可等内容，不断加强公开力度，扩大公众参与，以公开促落实，以公开促规范，以公开促服务。</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（二）政府信息依申请公开情况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府信息依申请公开渠道畅通，依法保障公民、法人和其他组织获取政府信息的权利。2022年，市行政审批服务局受理依申请公开10件次，全部按时限要求办结，其中非政府信息0件次，撤销0件次，补正通知0件次，予以公开5件次，部分公开答复0件次，不予公开0件次，无法提供5件次，不予处理0件次，转结下年度继续办理0件次。本年度无因政府信息公开申请提起行政复议、行政诉讼情况。</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（三）政府信息管理情况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形成“主要领导亲自抓、分管领导具体抓、机关处室合力抓、专人负责抓落实”的工作机制，依据局机构人员变化，动态调整滕州市行政审批服务局政务公开工作领导小组职责和组成人员。认真落实“决策、执行、管理、服务、结果公开”，将“五公开”纳入办文、办事和办会程序。动态扩展公开内容，结合群众关注的重点热点问题，定期对公开内容进行梳理。严格把关政府信息公开内容审查，市行政审批服务局2022年度无违反规定和失泄密情况。</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（四）政府信息平台建设情况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结合政务公开工作要点和《2022年政务公开考核评估指标体系信息保障标准》，加强网站内容建设，规范栏目设置，健全用户信息保护制度，强化信息搜索、办理服务功能，做好滕州市行政审批服务局网站、滕州市行政审批服务局微信公众号与滕州政务公开网联动推荐关系，做到多平台、多栏目、多渠道同步更新。</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（五）监督保障情况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做好网络建设工作，严格按照信息发布流程开展工作，研究制定公开考核、评议、责任追究和监督检查办法，参加市级信息公开培训，推进和规范政府信息公开工作。</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楷体" w:hAnsi="楷体" w:eastAsia="楷体" w:cs="楷体"/>
          <w:b/>
          <w:bCs/>
          <w:sz w:val="32"/>
          <w:szCs w:val="32"/>
        </w:rPr>
      </w:pPr>
      <w:r>
        <w:rPr>
          <w:rFonts w:hint="default" w:ascii="楷体" w:hAnsi="楷体" w:eastAsia="楷体" w:cs="楷体"/>
          <w:b/>
          <w:bCs/>
          <w:sz w:val="32"/>
          <w:szCs w:val="32"/>
          <w:lang w:val="en-US" w:eastAsia="zh-CN"/>
        </w:rPr>
        <w:t>（</w:t>
      </w:r>
      <w:r>
        <w:rPr>
          <w:rFonts w:hint="eastAsia" w:ascii="楷体" w:hAnsi="楷体" w:eastAsia="楷体" w:cs="楷体"/>
          <w:b/>
          <w:bCs/>
          <w:sz w:val="32"/>
          <w:szCs w:val="32"/>
          <w:lang w:val="en-US" w:eastAsia="zh-CN"/>
        </w:rPr>
        <w:t>六</w:t>
      </w:r>
      <w:r>
        <w:rPr>
          <w:rFonts w:hint="default" w:ascii="楷体" w:hAnsi="楷体" w:eastAsia="楷体" w:cs="楷体"/>
          <w:b/>
          <w:bCs/>
          <w:sz w:val="32"/>
          <w:szCs w:val="32"/>
          <w:lang w:val="en-US" w:eastAsia="zh-CN"/>
        </w:rPr>
        <w:t>）其他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宋体"/>
          <w:color w:val="000000"/>
          <w:kern w:val="0"/>
          <w:sz w:val="32"/>
          <w:szCs w:val="32"/>
        </w:rPr>
      </w:pPr>
      <w:r>
        <w:rPr>
          <w:rFonts w:hint="default" w:ascii="仿宋_GB2312" w:hAnsi="仿宋_GB2312" w:eastAsia="仿宋_GB2312" w:cs="仿宋_GB2312"/>
          <w:sz w:val="32"/>
          <w:szCs w:val="32"/>
          <w:lang w:val="en-US" w:eastAsia="zh-CN"/>
        </w:rPr>
        <w:t>纳入滕州市部门绩效考核，未进行社会评议，未发生责任追究情况。</w:t>
      </w:r>
    </w:p>
    <w:p>
      <w:pPr>
        <w:keepNext w:val="0"/>
        <w:keepLines w:val="0"/>
        <w:pageBreakBefore w:val="0"/>
        <w:widowControl/>
        <w:numPr>
          <w:ilvl w:val="0"/>
          <w:numId w:val="1"/>
        </w:numPr>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主动公开政府信息情况</w:t>
      </w:r>
    </w:p>
    <w:tbl>
      <w:tblPr>
        <w:tblStyle w:val="8"/>
        <w:tblW w:w="8824" w:type="dxa"/>
        <w:jc w:val="center"/>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jc w:val="center"/>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keepNext w:val="0"/>
              <w:keepLines w:val="0"/>
              <w:pageBreakBefore w:val="0"/>
              <w:widowControl/>
              <w:kinsoku/>
              <w:overflowPunct/>
              <w:topLinePunct w:val="0"/>
              <w:autoSpaceDE/>
              <w:autoSpaceDN/>
              <w:bidi w:val="0"/>
              <w:adjustRightInd/>
              <w:snapToGrid/>
              <w:spacing w:line="520" w:lineRule="exact"/>
              <w:jc w:val="center"/>
              <w:textAlignment w:val="auto"/>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52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52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52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52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520" w:lineRule="exact"/>
              <w:jc w:val="left"/>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520" w:lineRule="exact"/>
              <w:jc w:val="left"/>
              <w:textAlignment w:val="auto"/>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520" w:lineRule="exact"/>
              <w:jc w:val="left"/>
              <w:textAlignment w:val="auto"/>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520" w:lineRule="exact"/>
              <w:jc w:val="left"/>
              <w:textAlignment w:val="auto"/>
              <w:rPr>
                <w:rFonts w:hint="eastAsia" w:ascii="仿宋_GB2312" w:hAnsi="Calibri" w:eastAsia="仿宋_GB2312" w:cs="Calibri"/>
                <w:color w:val="000000"/>
                <w:kern w:val="0"/>
                <w:sz w:val="21"/>
                <w:szCs w:val="21"/>
                <w:lang w:val="en-US" w:eastAsia="zh-CN" w:bidi="ar-SA"/>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520" w:lineRule="exact"/>
              <w:jc w:val="left"/>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520" w:lineRule="exact"/>
              <w:jc w:val="left"/>
              <w:textAlignment w:val="auto"/>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520" w:lineRule="exact"/>
              <w:jc w:val="left"/>
              <w:textAlignment w:val="auto"/>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520" w:lineRule="exact"/>
              <w:jc w:val="left"/>
              <w:textAlignment w:val="auto"/>
              <w:rPr>
                <w:rFonts w:hint="eastAsia" w:ascii="仿宋_GB2312" w:hAnsi="Calibri" w:eastAsia="仿宋_GB2312" w:cs="Calibri"/>
                <w:color w:val="000000"/>
                <w:kern w:val="0"/>
                <w:sz w:val="21"/>
                <w:szCs w:val="21"/>
                <w:lang w:val="en-US" w:eastAsia="zh-CN" w:bidi="ar-SA"/>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keepNext w:val="0"/>
              <w:keepLines w:val="0"/>
              <w:pageBreakBefore w:val="0"/>
              <w:widowControl/>
              <w:kinsoku/>
              <w:overflowPunct/>
              <w:topLinePunct w:val="0"/>
              <w:autoSpaceDE/>
              <w:autoSpaceDN/>
              <w:bidi w:val="0"/>
              <w:adjustRightInd/>
              <w:snapToGrid/>
              <w:spacing w:line="520" w:lineRule="exact"/>
              <w:jc w:val="center"/>
              <w:textAlignment w:val="auto"/>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52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2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520" w:lineRule="exact"/>
              <w:jc w:val="left"/>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20" w:lineRule="exact"/>
              <w:jc w:val="center"/>
              <w:textAlignment w:val="auto"/>
              <w:rPr>
                <w:rFonts w:hint="default"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53960</w:t>
            </w:r>
          </w:p>
        </w:tc>
      </w:tr>
      <w:tr>
        <w:tblPrEx>
          <w:tblCellMar>
            <w:top w:w="0" w:type="dxa"/>
            <w:left w:w="108" w:type="dxa"/>
            <w:bottom w:w="0" w:type="dxa"/>
            <w:right w:w="108" w:type="dxa"/>
          </w:tblCellMar>
        </w:tblPrEx>
        <w:trPr>
          <w:trHeight w:val="567" w:hRule="atLeast"/>
          <w:jc w:val="center"/>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keepNext w:val="0"/>
              <w:keepLines w:val="0"/>
              <w:pageBreakBefore w:val="0"/>
              <w:widowControl/>
              <w:kinsoku/>
              <w:overflowPunct/>
              <w:topLinePunct w:val="0"/>
              <w:autoSpaceDE/>
              <w:autoSpaceDN/>
              <w:bidi w:val="0"/>
              <w:adjustRightInd/>
              <w:snapToGrid/>
              <w:spacing w:line="520" w:lineRule="exact"/>
              <w:jc w:val="center"/>
              <w:textAlignment w:val="auto"/>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52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2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520" w:lineRule="exact"/>
              <w:jc w:val="left"/>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20" w:lineRule="exact"/>
              <w:jc w:val="center"/>
              <w:textAlignment w:val="auto"/>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520" w:lineRule="exact"/>
              <w:jc w:val="left"/>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20" w:lineRule="exact"/>
              <w:jc w:val="center"/>
              <w:textAlignment w:val="auto"/>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keepNext w:val="0"/>
              <w:keepLines w:val="0"/>
              <w:pageBreakBefore w:val="0"/>
              <w:widowControl/>
              <w:kinsoku/>
              <w:overflowPunct/>
              <w:topLinePunct w:val="0"/>
              <w:autoSpaceDE/>
              <w:autoSpaceDN/>
              <w:bidi w:val="0"/>
              <w:adjustRightInd/>
              <w:snapToGrid/>
              <w:spacing w:line="520" w:lineRule="exact"/>
              <w:jc w:val="center"/>
              <w:textAlignment w:val="auto"/>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52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2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520" w:lineRule="exact"/>
              <w:jc w:val="left"/>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20" w:lineRule="exact"/>
              <w:jc w:val="center"/>
              <w:textAlignment w:val="auto"/>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bl>
    <w:p>
      <w:pPr>
        <w:pStyle w:val="2"/>
        <w:keepNext w:val="0"/>
        <w:keepLines w:val="0"/>
        <w:pageBreakBefore w:val="0"/>
        <w:numPr>
          <w:ilvl w:val="0"/>
          <w:numId w:val="0"/>
        </w:numPr>
        <w:kinsoku/>
        <w:overflowPunct/>
        <w:topLinePunct w:val="0"/>
        <w:autoSpaceDE/>
        <w:autoSpaceDN/>
        <w:bidi w:val="0"/>
        <w:adjustRightInd/>
        <w:snapToGrid/>
        <w:spacing w:line="520" w:lineRule="exact"/>
        <w:textAlignment w:val="auto"/>
      </w:pPr>
    </w:p>
    <w:p>
      <w:pPr>
        <w:keepNext w:val="0"/>
        <w:keepLines w:val="0"/>
        <w:pageBreakBefore w:val="0"/>
        <w:widowControl/>
        <w:kinsoku/>
        <w:overflowPunct/>
        <w:topLinePunct w:val="0"/>
        <w:autoSpaceDE/>
        <w:autoSpaceDN/>
        <w:bidi w:val="0"/>
        <w:adjustRightInd/>
        <w:snapToGrid/>
        <w:spacing w:line="520" w:lineRule="exact"/>
        <w:jc w:val="left"/>
        <w:textAlignment w:val="auto"/>
        <w:rPr>
          <w:rFonts w:ascii="宋体" w:hAnsi="宋体" w:eastAsia="宋体" w:cs="宋体"/>
          <w:color w:val="000000"/>
          <w:kern w:val="0"/>
          <w:sz w:val="20"/>
          <w:szCs w:val="20"/>
        </w:rPr>
      </w:pPr>
    </w:p>
    <w:p>
      <w:pPr>
        <w:keepNext w:val="0"/>
        <w:keepLines w:val="0"/>
        <w:pageBreakBefore w:val="0"/>
        <w:widowControl/>
        <w:numPr>
          <w:ilvl w:val="0"/>
          <w:numId w:val="1"/>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收到和处理政府信息公开申请情况</w:t>
      </w:r>
    </w:p>
    <w:tbl>
      <w:tblPr>
        <w:tblStyle w:val="8"/>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20" w:lineRule="exact"/>
              <w:jc w:val="center"/>
              <w:textAlignment w:val="auto"/>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keepNext w:val="0"/>
              <w:keepLines w:val="0"/>
              <w:pageBreakBefore w:val="0"/>
              <w:widowControl/>
              <w:kinsoku/>
              <w:overflowPunct/>
              <w:topLinePunct w:val="0"/>
              <w:autoSpaceDE/>
              <w:autoSpaceDN/>
              <w:bidi w:val="0"/>
              <w:adjustRightInd/>
              <w:snapToGrid/>
              <w:spacing w:line="520" w:lineRule="exact"/>
              <w:jc w:val="center"/>
              <w:textAlignment w:val="auto"/>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820" w:type="dxa"/>
            <w:gridSpan w:val="7"/>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20" w:lineRule="exact"/>
              <w:jc w:val="center"/>
              <w:textAlignment w:val="auto"/>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520" w:lineRule="exact"/>
              <w:jc w:val="center"/>
              <w:textAlignment w:val="auto"/>
              <w:rPr>
                <w:rFonts w:ascii="仿宋_GB2312" w:hAnsi="Times New Roman" w:eastAsia="仿宋_GB2312"/>
                <w:szCs w:val="21"/>
              </w:rPr>
            </w:pPr>
          </w:p>
        </w:tc>
        <w:tc>
          <w:tcPr>
            <w:tcW w:w="829" w:type="dxa"/>
            <w:vMerge w:val="restart"/>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20" w:lineRule="exact"/>
              <w:jc w:val="center"/>
              <w:textAlignment w:val="auto"/>
              <w:rPr>
                <w:rFonts w:ascii="黑体" w:hAnsi="黑体" w:eastAsia="黑体"/>
                <w:szCs w:val="21"/>
              </w:rPr>
            </w:pPr>
            <w:r>
              <w:rPr>
                <w:rFonts w:hint="eastAsia" w:ascii="黑体" w:hAnsi="黑体" w:eastAsia="黑体"/>
                <w:kern w:val="0"/>
                <w:szCs w:val="21"/>
              </w:rPr>
              <w:t>自然人</w:t>
            </w:r>
          </w:p>
        </w:tc>
        <w:tc>
          <w:tcPr>
            <w:tcW w:w="3140" w:type="dxa"/>
            <w:gridSpan w:val="5"/>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20" w:lineRule="exact"/>
              <w:jc w:val="center"/>
              <w:textAlignment w:val="auto"/>
              <w:rPr>
                <w:rFonts w:ascii="黑体" w:hAnsi="黑体" w:eastAsia="黑体"/>
                <w:szCs w:val="21"/>
              </w:rPr>
            </w:pPr>
            <w:r>
              <w:rPr>
                <w:rFonts w:hint="eastAsia" w:ascii="黑体" w:hAnsi="黑体" w:eastAsia="黑体"/>
                <w:kern w:val="0"/>
                <w:szCs w:val="21"/>
              </w:rPr>
              <w:t>法人或其他组织</w:t>
            </w:r>
          </w:p>
        </w:tc>
        <w:tc>
          <w:tcPr>
            <w:tcW w:w="851" w:type="dxa"/>
            <w:vMerge w:val="restart"/>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20" w:lineRule="exact"/>
              <w:jc w:val="center"/>
              <w:textAlignment w:val="auto"/>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520" w:lineRule="exact"/>
              <w:jc w:val="center"/>
              <w:textAlignment w:val="auto"/>
              <w:rPr>
                <w:rFonts w:ascii="仿宋_GB2312" w:hAnsi="Times New Roman" w:eastAsia="仿宋_GB2312"/>
                <w:szCs w:val="21"/>
              </w:rPr>
            </w:pPr>
          </w:p>
        </w:tc>
        <w:tc>
          <w:tcPr>
            <w:tcW w:w="829" w:type="dxa"/>
            <w:vMerge w:val="continue"/>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520" w:lineRule="exact"/>
              <w:jc w:val="center"/>
              <w:textAlignment w:val="auto"/>
              <w:rPr>
                <w:rFonts w:ascii="黑体" w:hAnsi="黑体" w:eastAsia="黑体"/>
                <w:szCs w:val="21"/>
              </w:rPr>
            </w:pP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20" w:lineRule="exact"/>
              <w:ind w:left="-106" w:leftChars="-51" w:right="-107" w:rightChars="-51" w:hanging="1"/>
              <w:jc w:val="center"/>
              <w:textAlignment w:val="auto"/>
              <w:rPr>
                <w:rFonts w:ascii="黑体" w:hAnsi="黑体" w:eastAsia="黑体"/>
                <w:szCs w:val="21"/>
              </w:rPr>
            </w:pPr>
            <w:r>
              <w:rPr>
                <w:rFonts w:hint="eastAsia" w:ascii="黑体" w:hAnsi="黑体" w:eastAsia="黑体"/>
                <w:kern w:val="0"/>
                <w:szCs w:val="21"/>
              </w:rPr>
              <w:t>商业企业</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20" w:lineRule="exact"/>
              <w:ind w:left="-107" w:leftChars="-51" w:right="-107" w:rightChars="-51"/>
              <w:jc w:val="center"/>
              <w:textAlignment w:val="auto"/>
              <w:rPr>
                <w:rFonts w:ascii="黑体" w:hAnsi="黑体" w:eastAsia="黑体"/>
                <w:szCs w:val="21"/>
              </w:rPr>
            </w:pPr>
            <w:r>
              <w:rPr>
                <w:rFonts w:hint="eastAsia" w:ascii="黑体" w:hAnsi="黑体" w:eastAsia="黑体"/>
                <w:kern w:val="0"/>
                <w:szCs w:val="21"/>
              </w:rPr>
              <w:t>科研机构</w:t>
            </w:r>
          </w:p>
        </w:tc>
        <w:tc>
          <w:tcPr>
            <w:tcW w:w="731"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20" w:lineRule="exact"/>
              <w:ind w:left="-107" w:leftChars="-51" w:right="-107" w:rightChars="-51"/>
              <w:jc w:val="center"/>
              <w:textAlignment w:val="auto"/>
              <w:rPr>
                <w:rFonts w:ascii="黑体" w:hAnsi="黑体" w:eastAsia="黑体"/>
                <w:szCs w:val="21"/>
              </w:rPr>
            </w:pPr>
            <w:r>
              <w:rPr>
                <w:rFonts w:hint="eastAsia" w:ascii="黑体" w:hAnsi="黑体" w:eastAsia="黑体"/>
                <w:kern w:val="0"/>
                <w:szCs w:val="21"/>
              </w:rPr>
              <w:t>社会公益组织</w:t>
            </w:r>
          </w:p>
        </w:tc>
        <w:tc>
          <w:tcPr>
            <w:tcW w:w="708"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20" w:lineRule="exact"/>
              <w:ind w:left="-106" w:leftChars="-51" w:right="-107" w:rightChars="-51" w:hanging="1"/>
              <w:jc w:val="center"/>
              <w:textAlignment w:val="auto"/>
              <w:rPr>
                <w:rFonts w:ascii="黑体" w:hAnsi="黑体" w:eastAsia="黑体"/>
                <w:szCs w:val="21"/>
              </w:rPr>
            </w:pPr>
            <w:r>
              <w:rPr>
                <w:rFonts w:hint="eastAsia" w:ascii="黑体" w:hAnsi="黑体" w:eastAsia="黑体"/>
                <w:kern w:val="0"/>
                <w:szCs w:val="21"/>
              </w:rPr>
              <w:t>法律服务机构</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20" w:lineRule="exact"/>
              <w:ind w:left="-63" w:leftChars="-30" w:right="-134" w:rightChars="-64"/>
              <w:jc w:val="center"/>
              <w:textAlignment w:val="auto"/>
              <w:rPr>
                <w:rFonts w:ascii="黑体" w:hAnsi="黑体" w:eastAsia="黑体"/>
                <w:szCs w:val="21"/>
              </w:rPr>
            </w:pPr>
            <w:r>
              <w:rPr>
                <w:rFonts w:hint="eastAsia" w:ascii="黑体" w:hAnsi="黑体" w:eastAsia="黑体"/>
                <w:kern w:val="0"/>
                <w:szCs w:val="21"/>
              </w:rPr>
              <w:t>其他</w:t>
            </w:r>
          </w:p>
        </w:tc>
        <w:tc>
          <w:tcPr>
            <w:tcW w:w="851" w:type="dxa"/>
            <w:vMerge w:val="continue"/>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520" w:lineRule="exact"/>
              <w:jc w:val="center"/>
              <w:textAlignment w:val="auto"/>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20" w:lineRule="exact"/>
              <w:textAlignment w:val="auto"/>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829"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8</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2</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20" w:lineRule="exact"/>
              <w:textAlignment w:val="auto"/>
              <w:rPr>
                <w:rFonts w:ascii="黑体" w:hAnsi="黑体" w:eastAsia="黑体"/>
                <w:szCs w:val="21"/>
              </w:rPr>
            </w:pPr>
            <w:r>
              <w:rPr>
                <w:rFonts w:hint="eastAsia" w:ascii="黑体" w:hAnsi="黑体" w:eastAsia="黑体"/>
                <w:kern w:val="0"/>
                <w:szCs w:val="21"/>
              </w:rPr>
              <w:t>二、上年结转政府信息公开申请数量</w:t>
            </w:r>
          </w:p>
        </w:tc>
        <w:tc>
          <w:tcPr>
            <w:tcW w:w="829"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hint="default" w:ascii="仿宋_GB2312" w:hAnsi="Times New Roman" w:eastAsia="仿宋_GB2312"/>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textAlignment w:val="auto"/>
              <w:rPr>
                <w:rFonts w:ascii="黑体" w:hAnsi="黑体" w:eastAsia="黑体"/>
                <w:szCs w:val="21"/>
              </w:rPr>
            </w:pPr>
            <w:r>
              <w:rPr>
                <w:rFonts w:hint="eastAsia" w:ascii="黑体" w:hAnsi="黑体" w:eastAsia="黑体"/>
                <w:kern w:val="0"/>
                <w:szCs w:val="21"/>
              </w:rPr>
              <w:t>三、本年度办理结果</w:t>
            </w:r>
          </w:p>
        </w:tc>
        <w:tc>
          <w:tcPr>
            <w:tcW w:w="4677" w:type="dxa"/>
            <w:gridSpan w:val="2"/>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20" w:lineRule="exact"/>
              <w:textAlignment w:val="auto"/>
              <w:rPr>
                <w:rFonts w:ascii="黑体" w:hAnsi="黑体" w:eastAsia="黑体"/>
                <w:szCs w:val="21"/>
              </w:rPr>
            </w:pPr>
            <w:r>
              <w:rPr>
                <w:rFonts w:hint="eastAsia" w:ascii="黑体" w:hAnsi="黑体" w:eastAsia="黑体"/>
                <w:kern w:val="0"/>
                <w:szCs w:val="21"/>
              </w:rPr>
              <w:t>（一）予以公开</w:t>
            </w:r>
          </w:p>
        </w:tc>
        <w:tc>
          <w:tcPr>
            <w:tcW w:w="829"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5</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520" w:lineRule="exact"/>
              <w:textAlignment w:val="auto"/>
              <w:rPr>
                <w:rFonts w:ascii="黑体" w:hAnsi="黑体" w:eastAsia="黑体"/>
                <w:szCs w:val="21"/>
              </w:rPr>
            </w:pPr>
          </w:p>
        </w:tc>
        <w:tc>
          <w:tcPr>
            <w:tcW w:w="4677" w:type="dxa"/>
            <w:gridSpan w:val="2"/>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20" w:lineRule="exact"/>
              <w:textAlignment w:val="auto"/>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829"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520" w:lineRule="exact"/>
              <w:textAlignment w:val="auto"/>
              <w:rPr>
                <w:rFonts w:ascii="黑体" w:hAnsi="黑体" w:eastAsia="黑体"/>
                <w:szCs w:val="21"/>
              </w:rPr>
            </w:pPr>
          </w:p>
        </w:tc>
        <w:tc>
          <w:tcPr>
            <w:tcW w:w="1701" w:type="dxa"/>
            <w:vMerge w:val="restart"/>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20" w:lineRule="exact"/>
              <w:ind w:left="-107" w:leftChars="-51"/>
              <w:textAlignment w:val="auto"/>
              <w:rPr>
                <w:rFonts w:ascii="黑体" w:hAnsi="黑体" w:eastAsia="黑体"/>
                <w:szCs w:val="21"/>
              </w:rPr>
            </w:pPr>
            <w:r>
              <w:rPr>
                <w:rFonts w:hint="eastAsia" w:ascii="黑体" w:hAnsi="黑体" w:eastAsia="黑体"/>
                <w:kern w:val="0"/>
                <w:szCs w:val="21"/>
              </w:rPr>
              <w:t>（三）不予公开</w:t>
            </w:r>
          </w:p>
        </w:tc>
        <w:tc>
          <w:tcPr>
            <w:tcW w:w="2976"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20" w:lineRule="exact"/>
              <w:textAlignment w:val="auto"/>
              <w:rPr>
                <w:rFonts w:ascii="仿宋_GB2312" w:hAnsi="黑体" w:eastAsia="仿宋_GB2312"/>
                <w:kern w:val="0"/>
                <w:szCs w:val="21"/>
              </w:rPr>
            </w:pPr>
            <w:r>
              <w:rPr>
                <w:rFonts w:hint="eastAsia" w:ascii="仿宋_GB2312" w:hAnsi="黑体" w:eastAsia="仿宋_GB2312"/>
                <w:kern w:val="0"/>
                <w:szCs w:val="21"/>
              </w:rPr>
              <w:t>1.属于国家秘密</w:t>
            </w:r>
          </w:p>
        </w:tc>
        <w:tc>
          <w:tcPr>
            <w:tcW w:w="829"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520" w:lineRule="exact"/>
              <w:textAlignment w:val="auto"/>
              <w:rPr>
                <w:rFonts w:ascii="黑体" w:hAnsi="黑体" w:eastAsia="黑体"/>
                <w:szCs w:val="21"/>
              </w:rPr>
            </w:pPr>
          </w:p>
        </w:tc>
        <w:tc>
          <w:tcPr>
            <w:tcW w:w="1701" w:type="dxa"/>
            <w:vMerge w:val="continue"/>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520" w:lineRule="exact"/>
              <w:textAlignment w:val="auto"/>
              <w:rPr>
                <w:rFonts w:ascii="黑体" w:hAnsi="黑体" w:eastAsia="黑体"/>
                <w:szCs w:val="21"/>
              </w:rPr>
            </w:pPr>
          </w:p>
        </w:tc>
        <w:tc>
          <w:tcPr>
            <w:tcW w:w="2976"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20" w:lineRule="exact"/>
              <w:textAlignment w:val="auto"/>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829"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520" w:lineRule="exact"/>
              <w:textAlignment w:val="auto"/>
              <w:rPr>
                <w:rFonts w:ascii="黑体" w:hAnsi="黑体" w:eastAsia="黑体"/>
                <w:szCs w:val="21"/>
              </w:rPr>
            </w:pPr>
          </w:p>
        </w:tc>
        <w:tc>
          <w:tcPr>
            <w:tcW w:w="1701" w:type="dxa"/>
            <w:vMerge w:val="continue"/>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520" w:lineRule="exact"/>
              <w:textAlignment w:val="auto"/>
              <w:rPr>
                <w:rFonts w:ascii="黑体" w:hAnsi="黑体" w:eastAsia="黑体"/>
                <w:szCs w:val="21"/>
              </w:rPr>
            </w:pPr>
          </w:p>
        </w:tc>
        <w:tc>
          <w:tcPr>
            <w:tcW w:w="2976"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20" w:lineRule="exact"/>
              <w:textAlignment w:val="auto"/>
              <w:rPr>
                <w:rFonts w:ascii="仿宋_GB2312" w:hAnsi="黑体" w:eastAsia="仿宋_GB2312"/>
                <w:kern w:val="0"/>
                <w:szCs w:val="21"/>
              </w:rPr>
            </w:pPr>
            <w:r>
              <w:rPr>
                <w:rFonts w:hint="eastAsia" w:ascii="仿宋_GB2312" w:hAnsi="黑体" w:eastAsia="仿宋_GB2312"/>
                <w:kern w:val="0"/>
                <w:szCs w:val="21"/>
              </w:rPr>
              <w:t>3.危及“三安全一稳定”</w:t>
            </w:r>
          </w:p>
        </w:tc>
        <w:tc>
          <w:tcPr>
            <w:tcW w:w="829"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520" w:lineRule="exact"/>
              <w:textAlignment w:val="auto"/>
              <w:rPr>
                <w:rFonts w:ascii="黑体" w:hAnsi="黑体" w:eastAsia="黑体"/>
                <w:szCs w:val="21"/>
              </w:rPr>
            </w:pPr>
          </w:p>
        </w:tc>
        <w:tc>
          <w:tcPr>
            <w:tcW w:w="1701" w:type="dxa"/>
            <w:vMerge w:val="continue"/>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520" w:lineRule="exact"/>
              <w:textAlignment w:val="auto"/>
              <w:rPr>
                <w:rFonts w:ascii="黑体" w:hAnsi="黑体" w:eastAsia="黑体"/>
                <w:szCs w:val="21"/>
              </w:rPr>
            </w:pPr>
          </w:p>
        </w:tc>
        <w:tc>
          <w:tcPr>
            <w:tcW w:w="2976"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20" w:lineRule="exact"/>
              <w:textAlignment w:val="auto"/>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829"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520" w:lineRule="exact"/>
              <w:textAlignment w:val="auto"/>
              <w:rPr>
                <w:rFonts w:ascii="黑体" w:hAnsi="黑体" w:eastAsia="黑体"/>
                <w:szCs w:val="21"/>
              </w:rPr>
            </w:pPr>
          </w:p>
        </w:tc>
        <w:tc>
          <w:tcPr>
            <w:tcW w:w="1701" w:type="dxa"/>
            <w:vMerge w:val="continue"/>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520" w:lineRule="exact"/>
              <w:textAlignment w:val="auto"/>
              <w:rPr>
                <w:rFonts w:ascii="黑体" w:hAnsi="黑体" w:eastAsia="黑体"/>
                <w:szCs w:val="21"/>
              </w:rPr>
            </w:pPr>
          </w:p>
        </w:tc>
        <w:tc>
          <w:tcPr>
            <w:tcW w:w="2976"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20" w:lineRule="exact"/>
              <w:textAlignment w:val="auto"/>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29"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hint="default"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520" w:lineRule="exact"/>
              <w:textAlignment w:val="auto"/>
              <w:rPr>
                <w:rFonts w:ascii="黑体" w:hAnsi="黑体" w:eastAsia="黑体"/>
                <w:szCs w:val="21"/>
              </w:rPr>
            </w:pPr>
          </w:p>
        </w:tc>
        <w:tc>
          <w:tcPr>
            <w:tcW w:w="1701" w:type="dxa"/>
            <w:vMerge w:val="continue"/>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520" w:lineRule="exact"/>
              <w:textAlignment w:val="auto"/>
              <w:rPr>
                <w:rFonts w:ascii="黑体" w:hAnsi="黑体" w:eastAsia="黑体"/>
                <w:szCs w:val="21"/>
              </w:rPr>
            </w:pPr>
          </w:p>
        </w:tc>
        <w:tc>
          <w:tcPr>
            <w:tcW w:w="2976"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20" w:lineRule="exact"/>
              <w:textAlignment w:val="auto"/>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829"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520" w:lineRule="exact"/>
              <w:textAlignment w:val="auto"/>
              <w:rPr>
                <w:rFonts w:ascii="黑体" w:hAnsi="黑体" w:eastAsia="黑体"/>
                <w:szCs w:val="21"/>
              </w:rPr>
            </w:pPr>
          </w:p>
        </w:tc>
        <w:tc>
          <w:tcPr>
            <w:tcW w:w="1701" w:type="dxa"/>
            <w:vMerge w:val="continue"/>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520" w:lineRule="exact"/>
              <w:textAlignment w:val="auto"/>
              <w:rPr>
                <w:rFonts w:ascii="黑体" w:hAnsi="黑体" w:eastAsia="黑体"/>
                <w:szCs w:val="21"/>
              </w:rPr>
            </w:pPr>
          </w:p>
        </w:tc>
        <w:tc>
          <w:tcPr>
            <w:tcW w:w="2976"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20" w:lineRule="exact"/>
              <w:textAlignment w:val="auto"/>
              <w:rPr>
                <w:rFonts w:ascii="仿宋_GB2312" w:hAnsi="黑体" w:eastAsia="仿宋_GB2312"/>
                <w:kern w:val="0"/>
                <w:szCs w:val="21"/>
              </w:rPr>
            </w:pPr>
            <w:r>
              <w:rPr>
                <w:rFonts w:hint="eastAsia" w:ascii="仿宋_GB2312" w:hAnsi="黑体" w:eastAsia="仿宋_GB2312"/>
                <w:kern w:val="0"/>
                <w:szCs w:val="21"/>
              </w:rPr>
              <w:t>7.属于行政执法案卷</w:t>
            </w:r>
          </w:p>
        </w:tc>
        <w:tc>
          <w:tcPr>
            <w:tcW w:w="829"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520" w:lineRule="exact"/>
              <w:textAlignment w:val="auto"/>
              <w:rPr>
                <w:rFonts w:ascii="黑体" w:hAnsi="黑体" w:eastAsia="黑体"/>
                <w:szCs w:val="21"/>
              </w:rPr>
            </w:pPr>
          </w:p>
        </w:tc>
        <w:tc>
          <w:tcPr>
            <w:tcW w:w="1701" w:type="dxa"/>
            <w:vMerge w:val="continue"/>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520" w:lineRule="exact"/>
              <w:textAlignment w:val="auto"/>
              <w:rPr>
                <w:rFonts w:ascii="黑体" w:hAnsi="黑体" w:eastAsia="黑体"/>
                <w:szCs w:val="21"/>
              </w:rPr>
            </w:pPr>
          </w:p>
        </w:tc>
        <w:tc>
          <w:tcPr>
            <w:tcW w:w="2976"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20" w:lineRule="exact"/>
              <w:textAlignment w:val="auto"/>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829"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520" w:lineRule="exact"/>
              <w:textAlignment w:val="auto"/>
              <w:rPr>
                <w:rFonts w:ascii="黑体" w:hAnsi="黑体" w:eastAsia="黑体"/>
                <w:szCs w:val="21"/>
              </w:rPr>
            </w:pPr>
          </w:p>
        </w:tc>
        <w:tc>
          <w:tcPr>
            <w:tcW w:w="1701" w:type="dxa"/>
            <w:vMerge w:val="restart"/>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20" w:lineRule="exact"/>
              <w:ind w:left="-107" w:leftChars="-51"/>
              <w:textAlignment w:val="auto"/>
              <w:rPr>
                <w:rFonts w:ascii="黑体" w:hAnsi="黑体" w:eastAsia="黑体"/>
                <w:szCs w:val="21"/>
              </w:rPr>
            </w:pPr>
            <w:r>
              <w:rPr>
                <w:rFonts w:hint="eastAsia" w:ascii="黑体" w:hAnsi="黑体" w:eastAsia="黑体"/>
                <w:kern w:val="0"/>
                <w:szCs w:val="21"/>
              </w:rPr>
              <w:t>（四）无法提供</w:t>
            </w:r>
          </w:p>
        </w:tc>
        <w:tc>
          <w:tcPr>
            <w:tcW w:w="2976"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20" w:lineRule="exact"/>
              <w:textAlignment w:val="auto"/>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29"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3</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2</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520" w:lineRule="exact"/>
              <w:textAlignment w:val="auto"/>
              <w:rPr>
                <w:rFonts w:ascii="黑体" w:hAnsi="黑体" w:eastAsia="黑体"/>
                <w:szCs w:val="21"/>
              </w:rPr>
            </w:pPr>
          </w:p>
        </w:tc>
        <w:tc>
          <w:tcPr>
            <w:tcW w:w="1701" w:type="dxa"/>
            <w:vMerge w:val="continue"/>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520" w:lineRule="exact"/>
              <w:ind w:left="-107" w:leftChars="-51"/>
              <w:textAlignment w:val="auto"/>
              <w:rPr>
                <w:rFonts w:ascii="黑体" w:hAnsi="黑体" w:eastAsia="黑体"/>
                <w:szCs w:val="21"/>
              </w:rPr>
            </w:pPr>
          </w:p>
        </w:tc>
        <w:tc>
          <w:tcPr>
            <w:tcW w:w="2976"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20" w:lineRule="exact"/>
              <w:textAlignment w:val="auto"/>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829"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520" w:lineRule="exact"/>
              <w:textAlignment w:val="auto"/>
              <w:rPr>
                <w:rFonts w:ascii="黑体" w:hAnsi="黑体" w:eastAsia="黑体"/>
                <w:szCs w:val="21"/>
              </w:rPr>
            </w:pPr>
          </w:p>
        </w:tc>
        <w:tc>
          <w:tcPr>
            <w:tcW w:w="1701" w:type="dxa"/>
            <w:vMerge w:val="continue"/>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520" w:lineRule="exact"/>
              <w:ind w:left="-107" w:leftChars="-51"/>
              <w:textAlignment w:val="auto"/>
              <w:rPr>
                <w:rFonts w:ascii="黑体" w:hAnsi="黑体" w:eastAsia="黑体"/>
                <w:szCs w:val="21"/>
              </w:rPr>
            </w:pPr>
          </w:p>
        </w:tc>
        <w:tc>
          <w:tcPr>
            <w:tcW w:w="2976"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20" w:lineRule="exact"/>
              <w:textAlignment w:val="auto"/>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829"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520" w:lineRule="exact"/>
              <w:textAlignment w:val="auto"/>
              <w:rPr>
                <w:rFonts w:ascii="黑体" w:hAnsi="黑体" w:eastAsia="黑体"/>
                <w:szCs w:val="21"/>
              </w:rPr>
            </w:pPr>
          </w:p>
        </w:tc>
        <w:tc>
          <w:tcPr>
            <w:tcW w:w="1701" w:type="dxa"/>
            <w:vMerge w:val="restart"/>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20" w:lineRule="exact"/>
              <w:ind w:left="-107" w:leftChars="-51"/>
              <w:textAlignment w:val="auto"/>
              <w:rPr>
                <w:rFonts w:ascii="黑体" w:hAnsi="黑体" w:eastAsia="黑体"/>
                <w:szCs w:val="21"/>
              </w:rPr>
            </w:pPr>
            <w:r>
              <w:rPr>
                <w:rFonts w:hint="eastAsia" w:ascii="黑体" w:hAnsi="黑体" w:eastAsia="黑体"/>
                <w:kern w:val="0"/>
                <w:szCs w:val="21"/>
              </w:rPr>
              <w:t>（五）不予处理</w:t>
            </w:r>
          </w:p>
        </w:tc>
        <w:tc>
          <w:tcPr>
            <w:tcW w:w="2976"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20" w:lineRule="exact"/>
              <w:textAlignment w:val="auto"/>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829"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520" w:lineRule="exact"/>
              <w:textAlignment w:val="auto"/>
              <w:rPr>
                <w:rFonts w:ascii="黑体" w:hAnsi="黑体" w:eastAsia="黑体"/>
                <w:szCs w:val="21"/>
              </w:rPr>
            </w:pPr>
          </w:p>
        </w:tc>
        <w:tc>
          <w:tcPr>
            <w:tcW w:w="1701" w:type="dxa"/>
            <w:vMerge w:val="continue"/>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520" w:lineRule="exact"/>
              <w:textAlignment w:val="auto"/>
              <w:rPr>
                <w:rFonts w:ascii="黑体" w:hAnsi="黑体" w:eastAsia="黑体"/>
                <w:szCs w:val="21"/>
              </w:rPr>
            </w:pPr>
          </w:p>
        </w:tc>
        <w:tc>
          <w:tcPr>
            <w:tcW w:w="2976"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20" w:lineRule="exact"/>
              <w:textAlignment w:val="auto"/>
              <w:rPr>
                <w:rFonts w:ascii="仿宋_GB2312" w:hAnsi="黑体" w:eastAsia="仿宋_GB2312"/>
                <w:kern w:val="0"/>
                <w:szCs w:val="21"/>
              </w:rPr>
            </w:pPr>
            <w:r>
              <w:rPr>
                <w:rFonts w:hint="eastAsia" w:ascii="仿宋_GB2312" w:hAnsi="黑体" w:eastAsia="仿宋_GB2312"/>
                <w:kern w:val="0"/>
                <w:szCs w:val="21"/>
              </w:rPr>
              <w:t>2.重复申请</w:t>
            </w:r>
          </w:p>
        </w:tc>
        <w:tc>
          <w:tcPr>
            <w:tcW w:w="829"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520" w:lineRule="exact"/>
              <w:textAlignment w:val="auto"/>
              <w:rPr>
                <w:rFonts w:ascii="黑体" w:hAnsi="黑体" w:eastAsia="黑体"/>
                <w:szCs w:val="21"/>
              </w:rPr>
            </w:pPr>
          </w:p>
        </w:tc>
        <w:tc>
          <w:tcPr>
            <w:tcW w:w="1701" w:type="dxa"/>
            <w:vMerge w:val="continue"/>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520" w:lineRule="exact"/>
              <w:textAlignment w:val="auto"/>
              <w:rPr>
                <w:rFonts w:ascii="黑体" w:hAnsi="黑体" w:eastAsia="黑体"/>
                <w:szCs w:val="21"/>
              </w:rPr>
            </w:pPr>
          </w:p>
        </w:tc>
        <w:tc>
          <w:tcPr>
            <w:tcW w:w="2976"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20" w:lineRule="exact"/>
              <w:textAlignment w:val="auto"/>
              <w:rPr>
                <w:rFonts w:ascii="仿宋_GB2312" w:hAnsi="黑体" w:eastAsia="仿宋_GB2312"/>
                <w:szCs w:val="21"/>
              </w:rPr>
            </w:pPr>
            <w:r>
              <w:rPr>
                <w:rFonts w:hint="eastAsia" w:ascii="仿宋_GB2312" w:hAnsi="黑体" w:eastAsia="仿宋_GB2312"/>
                <w:kern w:val="0"/>
                <w:szCs w:val="21"/>
              </w:rPr>
              <w:t>3.要求提供公开出版物</w:t>
            </w:r>
          </w:p>
        </w:tc>
        <w:tc>
          <w:tcPr>
            <w:tcW w:w="829"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520" w:lineRule="exact"/>
              <w:textAlignment w:val="auto"/>
              <w:rPr>
                <w:rFonts w:ascii="黑体" w:hAnsi="黑体" w:eastAsia="黑体"/>
                <w:szCs w:val="21"/>
              </w:rPr>
            </w:pPr>
          </w:p>
        </w:tc>
        <w:tc>
          <w:tcPr>
            <w:tcW w:w="1701" w:type="dxa"/>
            <w:vMerge w:val="continue"/>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520" w:lineRule="exact"/>
              <w:textAlignment w:val="auto"/>
              <w:rPr>
                <w:rFonts w:ascii="黑体" w:hAnsi="黑体" w:eastAsia="黑体"/>
                <w:szCs w:val="21"/>
              </w:rPr>
            </w:pPr>
          </w:p>
        </w:tc>
        <w:tc>
          <w:tcPr>
            <w:tcW w:w="2976"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20" w:lineRule="exact"/>
              <w:textAlignment w:val="auto"/>
              <w:rPr>
                <w:rFonts w:ascii="仿宋_GB2312" w:hAnsi="黑体" w:eastAsia="仿宋_GB2312"/>
                <w:szCs w:val="21"/>
              </w:rPr>
            </w:pPr>
            <w:r>
              <w:rPr>
                <w:rFonts w:hint="eastAsia" w:ascii="仿宋_GB2312" w:hAnsi="黑体" w:eastAsia="仿宋_GB2312"/>
                <w:kern w:val="0"/>
                <w:szCs w:val="21"/>
              </w:rPr>
              <w:t>4.无正当理由大量反复申请</w:t>
            </w:r>
          </w:p>
        </w:tc>
        <w:tc>
          <w:tcPr>
            <w:tcW w:w="829"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520" w:lineRule="exact"/>
              <w:textAlignment w:val="auto"/>
              <w:rPr>
                <w:rFonts w:ascii="黑体" w:hAnsi="黑体" w:eastAsia="黑体"/>
                <w:szCs w:val="21"/>
              </w:rPr>
            </w:pPr>
          </w:p>
        </w:tc>
        <w:tc>
          <w:tcPr>
            <w:tcW w:w="1701" w:type="dxa"/>
            <w:vMerge w:val="continue"/>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520" w:lineRule="exact"/>
              <w:textAlignment w:val="auto"/>
              <w:rPr>
                <w:rFonts w:ascii="黑体" w:hAnsi="黑体" w:eastAsia="黑体"/>
                <w:szCs w:val="21"/>
              </w:rPr>
            </w:pPr>
          </w:p>
        </w:tc>
        <w:tc>
          <w:tcPr>
            <w:tcW w:w="2976"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20" w:lineRule="exact"/>
              <w:textAlignment w:val="auto"/>
              <w:rPr>
                <w:rFonts w:ascii="仿宋_GB2312" w:hAnsi="黑体" w:eastAsia="仿宋_GB2312"/>
                <w:kern w:val="0"/>
                <w:szCs w:val="21"/>
              </w:rPr>
            </w:pPr>
            <w:r>
              <w:rPr>
                <w:rFonts w:hint="eastAsia" w:ascii="仿宋_GB2312" w:hAnsi="黑体" w:eastAsia="仿宋_GB2312"/>
                <w:kern w:val="0"/>
                <w:szCs w:val="21"/>
              </w:rPr>
              <w:t>5.要求行政机关确认或重新</w:t>
            </w:r>
          </w:p>
          <w:p>
            <w:pPr>
              <w:keepNext w:val="0"/>
              <w:keepLines w:val="0"/>
              <w:pageBreakBefore w:val="0"/>
              <w:widowControl/>
              <w:kinsoku/>
              <w:overflowPunct/>
              <w:topLinePunct w:val="0"/>
              <w:autoSpaceDE/>
              <w:autoSpaceDN/>
              <w:bidi w:val="0"/>
              <w:adjustRightInd/>
              <w:snapToGrid/>
              <w:spacing w:line="520" w:lineRule="exact"/>
              <w:ind w:firstLine="210" w:firstLineChars="100"/>
              <w:textAlignment w:val="auto"/>
              <w:rPr>
                <w:rFonts w:ascii="仿宋_GB2312" w:hAnsi="黑体" w:eastAsia="仿宋_GB2312"/>
                <w:szCs w:val="21"/>
              </w:rPr>
            </w:pPr>
            <w:r>
              <w:rPr>
                <w:rFonts w:hint="eastAsia" w:ascii="仿宋_GB2312" w:hAnsi="黑体" w:eastAsia="仿宋_GB2312"/>
                <w:kern w:val="0"/>
                <w:szCs w:val="21"/>
              </w:rPr>
              <w:t>出具已获取信息</w:t>
            </w:r>
          </w:p>
        </w:tc>
        <w:tc>
          <w:tcPr>
            <w:tcW w:w="829"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520" w:lineRule="exact"/>
              <w:textAlignment w:val="auto"/>
              <w:rPr>
                <w:rFonts w:ascii="黑体" w:hAnsi="黑体" w:eastAsia="黑体"/>
                <w:szCs w:val="21"/>
              </w:rPr>
            </w:pPr>
          </w:p>
        </w:tc>
        <w:tc>
          <w:tcPr>
            <w:tcW w:w="1701" w:type="dxa"/>
            <w:vMerge w:val="restart"/>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20" w:lineRule="exact"/>
              <w:textAlignment w:val="auto"/>
              <w:rPr>
                <w:rFonts w:ascii="黑体" w:hAnsi="黑体" w:eastAsia="黑体"/>
                <w:kern w:val="0"/>
                <w:szCs w:val="21"/>
              </w:rPr>
            </w:pPr>
            <w:r>
              <w:rPr>
                <w:rFonts w:hint="eastAsia" w:ascii="黑体" w:hAnsi="黑体" w:eastAsia="黑体"/>
                <w:kern w:val="0"/>
                <w:szCs w:val="21"/>
              </w:rPr>
              <w:t>（六）其他处理</w:t>
            </w:r>
          </w:p>
        </w:tc>
        <w:tc>
          <w:tcPr>
            <w:tcW w:w="2976" w:type="dxa"/>
            <w:noWrap w:val="0"/>
            <w:vAlign w:val="center"/>
          </w:tcPr>
          <w:p>
            <w:pPr>
              <w:keepNext w:val="0"/>
              <w:keepLines w:val="0"/>
              <w:pageBreakBefore w:val="0"/>
              <w:widowControl/>
              <w:kinsoku/>
              <w:overflowPunct/>
              <w:topLinePunct w:val="0"/>
              <w:autoSpaceDE/>
              <w:autoSpaceDN/>
              <w:bidi w:val="0"/>
              <w:adjustRightInd/>
              <w:snapToGrid/>
              <w:spacing w:line="520" w:lineRule="exact"/>
              <w:textAlignment w:val="auto"/>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829"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520" w:lineRule="exact"/>
              <w:textAlignment w:val="auto"/>
              <w:rPr>
                <w:rFonts w:ascii="黑体" w:hAnsi="黑体" w:eastAsia="黑体"/>
                <w:szCs w:val="21"/>
              </w:rPr>
            </w:pPr>
          </w:p>
        </w:tc>
        <w:tc>
          <w:tcPr>
            <w:tcW w:w="1701" w:type="dxa"/>
            <w:vMerge w:val="continue"/>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20" w:lineRule="exact"/>
              <w:textAlignment w:val="auto"/>
              <w:rPr>
                <w:rFonts w:ascii="黑体" w:hAnsi="黑体" w:eastAsia="黑体"/>
                <w:kern w:val="0"/>
                <w:szCs w:val="21"/>
              </w:rPr>
            </w:pPr>
          </w:p>
        </w:tc>
        <w:tc>
          <w:tcPr>
            <w:tcW w:w="2976" w:type="dxa"/>
            <w:noWrap w:val="0"/>
            <w:vAlign w:val="center"/>
          </w:tcPr>
          <w:p>
            <w:pPr>
              <w:keepNext w:val="0"/>
              <w:keepLines w:val="0"/>
              <w:pageBreakBefore w:val="0"/>
              <w:widowControl/>
              <w:kinsoku/>
              <w:overflowPunct/>
              <w:topLinePunct w:val="0"/>
              <w:autoSpaceDE/>
              <w:autoSpaceDN/>
              <w:bidi w:val="0"/>
              <w:adjustRightInd/>
              <w:snapToGrid/>
              <w:spacing w:line="520" w:lineRule="exact"/>
              <w:textAlignment w:val="auto"/>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29"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520" w:lineRule="exact"/>
              <w:textAlignment w:val="auto"/>
              <w:rPr>
                <w:rFonts w:ascii="黑体" w:hAnsi="黑体" w:eastAsia="黑体"/>
                <w:szCs w:val="21"/>
              </w:rPr>
            </w:pPr>
          </w:p>
        </w:tc>
        <w:tc>
          <w:tcPr>
            <w:tcW w:w="1701" w:type="dxa"/>
            <w:vMerge w:val="continue"/>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20" w:lineRule="exact"/>
              <w:textAlignment w:val="auto"/>
              <w:rPr>
                <w:rFonts w:ascii="黑体" w:hAnsi="黑体" w:eastAsia="黑体"/>
                <w:kern w:val="0"/>
                <w:szCs w:val="21"/>
              </w:rPr>
            </w:pPr>
          </w:p>
        </w:tc>
        <w:tc>
          <w:tcPr>
            <w:tcW w:w="2976" w:type="dxa"/>
            <w:noWrap w:val="0"/>
            <w:vAlign w:val="center"/>
          </w:tcPr>
          <w:p>
            <w:pPr>
              <w:keepNext w:val="0"/>
              <w:keepLines w:val="0"/>
              <w:pageBreakBefore w:val="0"/>
              <w:widowControl/>
              <w:kinsoku/>
              <w:overflowPunct/>
              <w:topLinePunct w:val="0"/>
              <w:autoSpaceDE/>
              <w:autoSpaceDN/>
              <w:bidi w:val="0"/>
              <w:adjustRightInd/>
              <w:snapToGrid/>
              <w:spacing w:line="520" w:lineRule="exact"/>
              <w:textAlignment w:val="auto"/>
              <w:rPr>
                <w:rFonts w:ascii="仿宋_GB2312" w:hAnsi="黑体" w:eastAsia="仿宋_GB2312"/>
                <w:kern w:val="0"/>
                <w:szCs w:val="21"/>
              </w:rPr>
            </w:pPr>
            <w:r>
              <w:rPr>
                <w:rFonts w:hint="eastAsia" w:ascii="仿宋_GB2312" w:hAnsi="楷体" w:eastAsia="仿宋_GB2312"/>
              </w:rPr>
              <w:t>3.其他</w:t>
            </w:r>
          </w:p>
        </w:tc>
        <w:tc>
          <w:tcPr>
            <w:tcW w:w="829"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520" w:lineRule="exact"/>
              <w:textAlignment w:val="auto"/>
              <w:rPr>
                <w:rFonts w:ascii="黑体" w:hAnsi="黑体" w:eastAsia="黑体"/>
                <w:szCs w:val="21"/>
              </w:rPr>
            </w:pPr>
          </w:p>
        </w:tc>
        <w:tc>
          <w:tcPr>
            <w:tcW w:w="4677" w:type="dxa"/>
            <w:gridSpan w:val="2"/>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20" w:lineRule="exact"/>
              <w:textAlignment w:val="auto"/>
              <w:rPr>
                <w:rFonts w:ascii="黑体" w:hAnsi="黑体" w:eastAsia="黑体"/>
                <w:kern w:val="0"/>
                <w:szCs w:val="21"/>
              </w:rPr>
            </w:pPr>
            <w:r>
              <w:rPr>
                <w:rFonts w:hint="eastAsia" w:ascii="黑体" w:hAnsi="黑体" w:eastAsia="黑体"/>
                <w:kern w:val="0"/>
                <w:szCs w:val="21"/>
              </w:rPr>
              <w:t>（七）总计</w:t>
            </w:r>
          </w:p>
        </w:tc>
        <w:tc>
          <w:tcPr>
            <w:tcW w:w="829"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8</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2</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20" w:lineRule="exact"/>
              <w:textAlignment w:val="auto"/>
              <w:rPr>
                <w:rFonts w:ascii="黑体" w:hAnsi="黑体" w:eastAsia="黑体"/>
                <w:kern w:val="0"/>
                <w:szCs w:val="21"/>
              </w:rPr>
            </w:pPr>
            <w:r>
              <w:rPr>
                <w:rFonts w:hint="eastAsia" w:ascii="黑体" w:hAnsi="黑体" w:eastAsia="黑体"/>
                <w:kern w:val="0"/>
                <w:szCs w:val="21"/>
              </w:rPr>
              <w:t>四、结转下年度继续办理</w:t>
            </w:r>
          </w:p>
        </w:tc>
        <w:tc>
          <w:tcPr>
            <w:tcW w:w="829"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bl>
    <w:p>
      <w:pPr>
        <w:pStyle w:val="2"/>
        <w:keepNext w:val="0"/>
        <w:keepLines w:val="0"/>
        <w:pageBreakBefore w:val="0"/>
        <w:numPr>
          <w:ilvl w:val="0"/>
          <w:numId w:val="0"/>
        </w:numPr>
        <w:kinsoku/>
        <w:overflowPunct/>
        <w:topLinePunct w:val="0"/>
        <w:autoSpaceDE/>
        <w:autoSpaceDN/>
        <w:bidi w:val="0"/>
        <w:adjustRightInd/>
        <w:snapToGrid/>
        <w:spacing w:line="520" w:lineRule="exact"/>
        <w:ind w:leftChars="200"/>
        <w:jc w:val="center"/>
        <w:textAlignment w:val="auto"/>
      </w:pPr>
    </w:p>
    <w:p>
      <w:pPr>
        <w:keepNext w:val="0"/>
        <w:keepLines w:val="0"/>
        <w:pageBreakBefore w:val="0"/>
        <w:widowControl/>
        <w:numPr>
          <w:ilvl w:val="0"/>
          <w:numId w:val="1"/>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因政府信息公开工作被申请行政复议</w:t>
      </w:r>
      <w:r>
        <w:rPr>
          <w:rFonts w:hint="eastAsia" w:ascii="黑体" w:hAnsi="黑体" w:eastAsia="黑体" w:cs="宋体"/>
          <w:color w:val="000000"/>
          <w:kern w:val="0"/>
          <w:sz w:val="32"/>
          <w:szCs w:val="32"/>
          <w:lang w:eastAsia="zh-CN"/>
        </w:rPr>
        <w:t>、</w:t>
      </w:r>
      <w:r>
        <w:rPr>
          <w:rFonts w:hint="eastAsia" w:ascii="黑体" w:hAnsi="黑体" w:eastAsia="黑体" w:cs="宋体"/>
          <w:color w:val="000000"/>
          <w:kern w:val="0"/>
          <w:sz w:val="32"/>
          <w:szCs w:val="32"/>
        </w:rPr>
        <w:t>提起行政诉讼情况</w:t>
      </w:r>
    </w:p>
    <w:tbl>
      <w:tblPr>
        <w:tblStyle w:val="8"/>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20" w:lineRule="exact"/>
              <w:jc w:val="center"/>
              <w:textAlignment w:val="auto"/>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20" w:lineRule="exact"/>
              <w:jc w:val="center"/>
              <w:textAlignment w:val="auto"/>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20" w:lineRule="exact"/>
              <w:ind w:left="-149" w:leftChars="-71" w:right="-170" w:rightChars="-81"/>
              <w:jc w:val="center"/>
              <w:textAlignment w:val="auto"/>
              <w:rPr>
                <w:rFonts w:ascii="黑体" w:hAnsi="黑体" w:eastAsia="黑体"/>
                <w:kern w:val="0"/>
                <w:sz w:val="20"/>
                <w:szCs w:val="20"/>
              </w:rPr>
            </w:pPr>
            <w:r>
              <w:rPr>
                <w:rFonts w:ascii="黑体" w:hAnsi="黑体" w:eastAsia="黑体"/>
                <w:kern w:val="0"/>
                <w:sz w:val="20"/>
                <w:szCs w:val="20"/>
              </w:rPr>
              <w:t>结果</w:t>
            </w:r>
          </w:p>
          <w:p>
            <w:pPr>
              <w:keepNext w:val="0"/>
              <w:keepLines w:val="0"/>
              <w:pageBreakBefore w:val="0"/>
              <w:widowControl/>
              <w:kinsoku/>
              <w:overflowPunct/>
              <w:topLinePunct w:val="0"/>
              <w:autoSpaceDE/>
              <w:autoSpaceDN/>
              <w:bidi w:val="0"/>
              <w:adjustRightInd/>
              <w:snapToGrid/>
              <w:spacing w:line="520" w:lineRule="exact"/>
              <w:ind w:left="-149" w:leftChars="-71" w:right="-170" w:rightChars="-81"/>
              <w:jc w:val="center"/>
              <w:textAlignment w:val="auto"/>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20" w:lineRule="exact"/>
              <w:ind w:left="-43" w:leftChars="-21" w:right="-132" w:rightChars="-63" w:hanging="1"/>
              <w:jc w:val="center"/>
              <w:textAlignment w:val="auto"/>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20" w:lineRule="exact"/>
              <w:ind w:left="-82" w:leftChars="-39" w:right="-97" w:rightChars="-46"/>
              <w:jc w:val="center"/>
              <w:textAlignment w:val="auto"/>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20" w:lineRule="exact"/>
              <w:ind w:left="-118" w:leftChars="-56" w:right="-118" w:rightChars="-56"/>
              <w:jc w:val="center"/>
              <w:textAlignment w:val="auto"/>
              <w:rPr>
                <w:rFonts w:ascii="黑体" w:hAnsi="黑体" w:eastAsia="黑体"/>
                <w:kern w:val="0"/>
                <w:sz w:val="20"/>
                <w:szCs w:val="20"/>
              </w:rPr>
            </w:pPr>
            <w:r>
              <w:rPr>
                <w:rFonts w:ascii="黑体" w:hAnsi="黑体" w:eastAsia="黑体"/>
                <w:kern w:val="0"/>
                <w:sz w:val="20"/>
                <w:szCs w:val="20"/>
              </w:rPr>
              <w:t>尚未</w:t>
            </w:r>
          </w:p>
          <w:p>
            <w:pPr>
              <w:keepNext w:val="0"/>
              <w:keepLines w:val="0"/>
              <w:pageBreakBefore w:val="0"/>
              <w:widowControl/>
              <w:kinsoku/>
              <w:overflowPunct/>
              <w:topLinePunct w:val="0"/>
              <w:autoSpaceDE/>
              <w:autoSpaceDN/>
              <w:bidi w:val="0"/>
              <w:adjustRightInd/>
              <w:snapToGrid/>
              <w:spacing w:line="520" w:lineRule="exact"/>
              <w:ind w:left="-118" w:leftChars="-56" w:right="-118" w:rightChars="-56"/>
              <w:jc w:val="center"/>
              <w:textAlignment w:val="auto"/>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20" w:lineRule="exact"/>
              <w:jc w:val="center"/>
              <w:textAlignment w:val="auto"/>
              <w:rPr>
                <w:rFonts w:ascii="黑体" w:hAnsi="黑体" w:eastAsia="黑体"/>
                <w:kern w:val="0"/>
                <w:sz w:val="20"/>
                <w:szCs w:val="20"/>
              </w:rPr>
            </w:pPr>
            <w:r>
              <w:rPr>
                <w:rFonts w:ascii="黑体" w:hAnsi="黑体" w:eastAsia="黑体"/>
                <w:kern w:val="0"/>
                <w:sz w:val="20"/>
                <w:szCs w:val="20"/>
              </w:rPr>
              <w:t>总</w:t>
            </w:r>
          </w:p>
          <w:p>
            <w:pPr>
              <w:keepNext w:val="0"/>
              <w:keepLines w:val="0"/>
              <w:pageBreakBefore w:val="0"/>
              <w:widowControl/>
              <w:kinsoku/>
              <w:overflowPunct/>
              <w:topLinePunct w:val="0"/>
              <w:autoSpaceDE/>
              <w:autoSpaceDN/>
              <w:bidi w:val="0"/>
              <w:adjustRightInd/>
              <w:snapToGrid/>
              <w:spacing w:line="520" w:lineRule="exact"/>
              <w:jc w:val="center"/>
              <w:textAlignment w:val="auto"/>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20" w:lineRule="exact"/>
              <w:jc w:val="center"/>
              <w:textAlignment w:val="auto"/>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20" w:lineRule="exact"/>
              <w:jc w:val="center"/>
              <w:textAlignment w:val="auto"/>
              <w:rPr>
                <w:rFonts w:ascii="黑体" w:hAnsi="黑体" w:eastAsia="黑体"/>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520" w:lineRule="exact"/>
              <w:textAlignment w:val="auto"/>
              <w:rPr>
                <w:rFonts w:ascii="黑体" w:hAnsi="黑体" w:eastAsia="黑体"/>
                <w:sz w:val="24"/>
              </w:rPr>
            </w:pPr>
          </w:p>
        </w:tc>
        <w:tc>
          <w:tcPr>
            <w:tcW w:w="60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520" w:lineRule="exact"/>
              <w:textAlignment w:val="auto"/>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520" w:lineRule="exact"/>
              <w:textAlignment w:val="auto"/>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520" w:lineRule="exact"/>
              <w:textAlignment w:val="auto"/>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520" w:lineRule="exact"/>
              <w:textAlignment w:val="auto"/>
              <w:rPr>
                <w:rFonts w:ascii="黑体" w:hAnsi="黑体" w:eastAsia="黑体"/>
                <w:sz w:val="24"/>
              </w:rPr>
            </w:pPr>
          </w:p>
        </w:tc>
        <w:tc>
          <w:tcPr>
            <w:tcW w:w="5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20" w:lineRule="exact"/>
              <w:ind w:left="-105" w:leftChars="-50" w:right="-126" w:rightChars="-60"/>
              <w:jc w:val="center"/>
              <w:textAlignment w:val="auto"/>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20" w:lineRule="exact"/>
              <w:ind w:left="-86" w:leftChars="-41" w:right="-88" w:rightChars="-42"/>
              <w:jc w:val="center"/>
              <w:textAlignment w:val="auto"/>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20" w:lineRule="exact"/>
              <w:ind w:left="-126" w:leftChars="-60" w:right="-136" w:rightChars="-65"/>
              <w:jc w:val="center"/>
              <w:textAlignment w:val="auto"/>
              <w:rPr>
                <w:rFonts w:ascii="黑体" w:hAnsi="黑体" w:eastAsia="黑体"/>
                <w:kern w:val="0"/>
                <w:sz w:val="20"/>
                <w:szCs w:val="20"/>
              </w:rPr>
            </w:pPr>
            <w:r>
              <w:rPr>
                <w:rFonts w:ascii="黑体" w:hAnsi="黑体" w:eastAsia="黑体"/>
                <w:kern w:val="0"/>
                <w:sz w:val="20"/>
                <w:szCs w:val="20"/>
              </w:rPr>
              <w:t>其他</w:t>
            </w:r>
          </w:p>
          <w:p>
            <w:pPr>
              <w:keepNext w:val="0"/>
              <w:keepLines w:val="0"/>
              <w:pageBreakBefore w:val="0"/>
              <w:widowControl/>
              <w:kinsoku/>
              <w:overflowPunct/>
              <w:topLinePunct w:val="0"/>
              <w:autoSpaceDE/>
              <w:autoSpaceDN/>
              <w:bidi w:val="0"/>
              <w:adjustRightInd/>
              <w:snapToGrid/>
              <w:spacing w:line="520" w:lineRule="exact"/>
              <w:ind w:left="-126" w:leftChars="-60" w:right="-136" w:rightChars="-65"/>
              <w:jc w:val="center"/>
              <w:textAlignment w:val="auto"/>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20" w:lineRule="exact"/>
              <w:ind w:left="-164" w:leftChars="-78" w:right="-153" w:rightChars="-73"/>
              <w:jc w:val="center"/>
              <w:textAlignment w:val="auto"/>
              <w:rPr>
                <w:rFonts w:ascii="黑体" w:hAnsi="黑体" w:eastAsia="黑体"/>
                <w:kern w:val="0"/>
                <w:sz w:val="20"/>
                <w:szCs w:val="20"/>
              </w:rPr>
            </w:pPr>
            <w:r>
              <w:rPr>
                <w:rFonts w:ascii="黑体" w:hAnsi="黑体" w:eastAsia="黑体"/>
                <w:kern w:val="0"/>
                <w:sz w:val="20"/>
                <w:szCs w:val="20"/>
              </w:rPr>
              <w:t>尚未</w:t>
            </w:r>
          </w:p>
          <w:p>
            <w:pPr>
              <w:keepNext w:val="0"/>
              <w:keepLines w:val="0"/>
              <w:pageBreakBefore w:val="0"/>
              <w:widowControl/>
              <w:kinsoku/>
              <w:overflowPunct/>
              <w:topLinePunct w:val="0"/>
              <w:autoSpaceDE/>
              <w:autoSpaceDN/>
              <w:bidi w:val="0"/>
              <w:adjustRightInd/>
              <w:snapToGrid/>
              <w:spacing w:line="520" w:lineRule="exact"/>
              <w:ind w:left="-164" w:leftChars="-78" w:right="-153" w:rightChars="-73"/>
              <w:jc w:val="center"/>
              <w:textAlignment w:val="auto"/>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20" w:lineRule="exact"/>
              <w:jc w:val="center"/>
              <w:textAlignment w:val="auto"/>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20" w:lineRule="exact"/>
              <w:ind w:left="-99" w:leftChars="-47" w:right="-78" w:rightChars="-37"/>
              <w:jc w:val="center"/>
              <w:textAlignment w:val="auto"/>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20" w:lineRule="exact"/>
              <w:ind w:left="-136" w:leftChars="-65" w:right="-124" w:rightChars="-59"/>
              <w:jc w:val="center"/>
              <w:textAlignment w:val="auto"/>
              <w:rPr>
                <w:rFonts w:ascii="黑体" w:hAnsi="黑体" w:eastAsia="黑体"/>
                <w:kern w:val="0"/>
                <w:sz w:val="20"/>
                <w:szCs w:val="20"/>
              </w:rPr>
            </w:pPr>
            <w:r>
              <w:rPr>
                <w:rFonts w:ascii="黑体" w:hAnsi="黑体" w:eastAsia="黑体"/>
                <w:kern w:val="0"/>
                <w:sz w:val="20"/>
                <w:szCs w:val="20"/>
              </w:rPr>
              <w:t>结果</w:t>
            </w:r>
          </w:p>
          <w:p>
            <w:pPr>
              <w:keepNext w:val="0"/>
              <w:keepLines w:val="0"/>
              <w:pageBreakBefore w:val="0"/>
              <w:widowControl/>
              <w:kinsoku/>
              <w:overflowPunct/>
              <w:topLinePunct w:val="0"/>
              <w:autoSpaceDE/>
              <w:autoSpaceDN/>
              <w:bidi w:val="0"/>
              <w:adjustRightInd/>
              <w:snapToGrid/>
              <w:spacing w:line="520" w:lineRule="exact"/>
              <w:ind w:left="-136" w:leftChars="-65" w:right="-124" w:rightChars="-59"/>
              <w:jc w:val="center"/>
              <w:textAlignment w:val="auto"/>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20" w:lineRule="exact"/>
              <w:ind w:left="-173" w:leftChars="-83" w:right="-134" w:rightChars="-64" w:hanging="1"/>
              <w:jc w:val="center"/>
              <w:textAlignment w:val="auto"/>
              <w:rPr>
                <w:rFonts w:ascii="黑体" w:hAnsi="黑体" w:eastAsia="黑体"/>
                <w:kern w:val="0"/>
                <w:sz w:val="20"/>
                <w:szCs w:val="20"/>
              </w:rPr>
            </w:pPr>
            <w:r>
              <w:rPr>
                <w:rFonts w:ascii="黑体" w:hAnsi="黑体" w:eastAsia="黑体"/>
                <w:kern w:val="0"/>
                <w:sz w:val="20"/>
                <w:szCs w:val="20"/>
              </w:rPr>
              <w:t>其他</w:t>
            </w:r>
          </w:p>
          <w:p>
            <w:pPr>
              <w:keepNext w:val="0"/>
              <w:keepLines w:val="0"/>
              <w:pageBreakBefore w:val="0"/>
              <w:widowControl/>
              <w:kinsoku/>
              <w:overflowPunct/>
              <w:topLinePunct w:val="0"/>
              <w:autoSpaceDE/>
              <w:autoSpaceDN/>
              <w:bidi w:val="0"/>
              <w:adjustRightInd/>
              <w:snapToGrid/>
              <w:spacing w:line="520" w:lineRule="exact"/>
              <w:ind w:left="-173" w:leftChars="-83" w:right="-134" w:rightChars="-64" w:hanging="1"/>
              <w:jc w:val="center"/>
              <w:textAlignment w:val="auto"/>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20" w:lineRule="exact"/>
              <w:ind w:left="-67" w:leftChars="-33" w:right="-105" w:rightChars="-50" w:hanging="2" w:hangingChars="1"/>
              <w:jc w:val="center"/>
              <w:textAlignment w:val="auto"/>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20" w:lineRule="exact"/>
              <w:jc w:val="center"/>
              <w:textAlignment w:val="auto"/>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hint="eastAsia" w:ascii="Times New Roman" w:hAnsi="Times New Roman" w:eastAsiaTheme="minorEastAsia" w:cstheme="minorBidi"/>
                <w:kern w:val="2"/>
                <w:sz w:val="21"/>
                <w:szCs w:val="22"/>
                <w:lang w:val="en-US" w:eastAsia="zh-CN" w:bidi="ar-SA"/>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hint="eastAsia" w:ascii="Times New Roman" w:hAnsi="Times New Roman" w:eastAsiaTheme="minorEastAsia" w:cstheme="minorBidi"/>
                <w:kern w:val="2"/>
                <w:sz w:val="21"/>
                <w:szCs w:val="22"/>
                <w:lang w:val="en-US" w:eastAsia="zh-CN" w:bidi="ar-SA"/>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hint="eastAsia" w:ascii="Times New Roman" w:hAnsi="Times New Roman" w:eastAsiaTheme="minorEastAsia" w:cstheme="minorBidi"/>
                <w:kern w:val="2"/>
                <w:sz w:val="21"/>
                <w:szCs w:val="22"/>
                <w:lang w:val="en-US" w:eastAsia="zh-CN" w:bidi="ar-SA"/>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hint="eastAsia" w:ascii="Times New Roman" w:hAnsi="Times New Roman" w:eastAsiaTheme="minorEastAsia" w:cstheme="minorBidi"/>
                <w:kern w:val="2"/>
                <w:sz w:val="21"/>
                <w:szCs w:val="22"/>
                <w:lang w:val="en-US" w:eastAsia="zh-CN" w:bidi="ar-SA"/>
              </w:rPr>
            </w:pPr>
            <w:r>
              <w:rPr>
                <w:rFonts w:hint="eastAsia" w:ascii="Times New Roman" w:hAnsi="Times New Roman"/>
                <w:lang w:val="en-US" w:eastAsia="zh-CN"/>
              </w:rPr>
              <w:t>0</w:t>
            </w:r>
          </w:p>
        </w:tc>
        <w:tc>
          <w:tcPr>
            <w:tcW w:w="65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hint="eastAsia" w:ascii="Times New Roman" w:hAnsi="Times New Roman" w:eastAsiaTheme="minorEastAsia" w:cstheme="minorBidi"/>
                <w:kern w:val="2"/>
                <w:sz w:val="21"/>
                <w:szCs w:val="22"/>
                <w:lang w:val="en-US" w:eastAsia="zh-CN" w:bidi="ar-SA"/>
              </w:rPr>
            </w:pPr>
            <w:r>
              <w:rPr>
                <w:rFonts w:hint="eastAsia" w:ascii="Times New Roman" w:hAnsi="Times New Roman"/>
                <w:lang w:val="en-US" w:eastAsia="zh-CN"/>
              </w:rPr>
              <w:t>0</w:t>
            </w:r>
          </w:p>
        </w:tc>
        <w:tc>
          <w:tcPr>
            <w:tcW w:w="5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hint="eastAsia" w:ascii="Times New Roman" w:hAnsi="Times New Roman" w:eastAsiaTheme="minorEastAsia" w:cstheme="minorBidi"/>
                <w:kern w:val="2"/>
                <w:sz w:val="21"/>
                <w:szCs w:val="22"/>
                <w:lang w:val="en-US" w:eastAsia="zh-CN" w:bidi="ar-SA"/>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hint="eastAsia" w:ascii="Times New Roman" w:hAnsi="Times New Roman" w:eastAsiaTheme="minorEastAsia" w:cstheme="minorBidi"/>
                <w:kern w:val="2"/>
                <w:sz w:val="21"/>
                <w:szCs w:val="22"/>
                <w:lang w:val="en-US" w:eastAsia="zh-CN" w:bidi="ar-SA"/>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hint="eastAsia" w:ascii="Times New Roman" w:hAnsi="Times New Roman" w:eastAsiaTheme="minorEastAsia" w:cstheme="minorBidi"/>
                <w:kern w:val="2"/>
                <w:sz w:val="21"/>
                <w:szCs w:val="22"/>
                <w:lang w:val="en-US" w:eastAsia="zh-CN" w:bidi="ar-SA"/>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hint="eastAsia" w:ascii="Times New Roman" w:hAnsi="Times New Roman" w:eastAsiaTheme="minorEastAsia" w:cstheme="minorBidi"/>
                <w:kern w:val="2"/>
                <w:sz w:val="21"/>
                <w:szCs w:val="22"/>
                <w:lang w:val="en-US" w:eastAsia="zh-CN" w:bidi="ar-SA"/>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hint="eastAsia" w:ascii="Times New Roman" w:hAnsi="Times New Roman" w:eastAsiaTheme="minorEastAsia" w:cstheme="minorBidi"/>
                <w:kern w:val="2"/>
                <w:sz w:val="21"/>
                <w:szCs w:val="22"/>
                <w:lang w:val="en-US" w:eastAsia="zh-CN" w:bidi="ar-SA"/>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textAlignment w:val="auto"/>
              <w:rPr>
                <w:rFonts w:hint="default" w:ascii="Times New Roman" w:hAnsi="Times New Roman" w:eastAsiaTheme="minorEastAsia" w:cstheme="minorBidi"/>
                <w:kern w:val="2"/>
                <w:sz w:val="21"/>
                <w:szCs w:val="22"/>
                <w:lang w:val="en-US" w:eastAsia="zh-CN" w:bidi="ar-SA"/>
              </w:rPr>
            </w:pPr>
            <w:r>
              <w:rPr>
                <w:rFonts w:hint="eastAsia" w:ascii="Times New Roman" w:hAnsi="Times New Roman"/>
                <w:lang w:val="en-US" w:eastAsia="zh-CN"/>
              </w:rPr>
              <w:t xml:space="preserve">  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hint="eastAsia" w:ascii="Times New Roman" w:hAnsi="Times New Roman" w:eastAsiaTheme="minorEastAsia" w:cstheme="minorBidi"/>
                <w:kern w:val="2"/>
                <w:sz w:val="21"/>
                <w:szCs w:val="22"/>
                <w:lang w:val="en-US" w:eastAsia="zh-CN" w:bidi="ar-SA"/>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hint="eastAsia" w:ascii="Times New Roman" w:hAnsi="Times New Roman" w:eastAsiaTheme="minorEastAsia" w:cstheme="minorBidi"/>
                <w:kern w:val="2"/>
                <w:sz w:val="21"/>
                <w:szCs w:val="22"/>
                <w:lang w:val="en-US" w:eastAsia="zh-CN" w:bidi="ar-SA"/>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hint="eastAsia" w:ascii="Times New Roman" w:hAnsi="Times New Roman" w:eastAsiaTheme="minorEastAsia" w:cstheme="minorBidi"/>
                <w:kern w:val="2"/>
                <w:sz w:val="21"/>
                <w:szCs w:val="22"/>
                <w:lang w:val="en-US" w:eastAsia="zh-CN" w:bidi="ar-SA"/>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180" w:line="520" w:lineRule="exact"/>
              <w:jc w:val="center"/>
              <w:textAlignment w:val="auto"/>
              <w:rPr>
                <w:rFonts w:hint="eastAsia" w:ascii="Times New Roman" w:hAnsi="Times New Roman" w:eastAsiaTheme="minorEastAsia" w:cstheme="minorBidi"/>
                <w:kern w:val="2"/>
                <w:sz w:val="21"/>
                <w:szCs w:val="22"/>
                <w:lang w:val="en-US" w:eastAsia="zh-CN" w:bidi="ar-SA"/>
              </w:rPr>
            </w:pPr>
            <w:r>
              <w:rPr>
                <w:rFonts w:hint="eastAsia" w:ascii="Times New Roman" w:hAnsi="Times New Roman"/>
                <w:lang w:val="en-US" w:eastAsia="zh-CN"/>
              </w:rPr>
              <w:t>0</w:t>
            </w:r>
          </w:p>
        </w:tc>
      </w:tr>
    </w:tbl>
    <w:p>
      <w:pPr>
        <w:keepNext w:val="0"/>
        <w:keepLines w:val="0"/>
        <w:pageBreakBefore w:val="0"/>
        <w:widowControl/>
        <w:kinsoku/>
        <w:overflowPunct/>
        <w:topLinePunct w:val="0"/>
        <w:autoSpaceDE/>
        <w:autoSpaceDN/>
        <w:bidi w:val="0"/>
        <w:adjustRightInd/>
        <w:snapToGrid/>
        <w:spacing w:line="520" w:lineRule="exact"/>
        <w:jc w:val="left"/>
        <w:textAlignment w:val="auto"/>
        <w:rPr>
          <w:rFonts w:ascii="宋体" w:hAnsi="宋体" w:eastAsia="宋体" w:cs="宋体"/>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rPr>
        <w:t>五、存在的主要问题及改进情况</w:t>
      </w:r>
    </w:p>
    <w:p>
      <w:pPr>
        <w:keepNext w:val="0"/>
        <w:keepLines w:val="0"/>
        <w:pageBreakBefore w:val="0"/>
        <w:widowControl/>
        <w:kinsoku/>
        <w:overflowPunct/>
        <w:topLinePunct w:val="0"/>
        <w:autoSpaceDE/>
        <w:autoSpaceDN/>
        <w:bidi w:val="0"/>
        <w:adjustRightInd/>
        <w:snapToGrid/>
        <w:spacing w:line="520" w:lineRule="exact"/>
        <w:ind w:firstLine="640" w:firstLineChars="200"/>
        <w:jc w:val="left"/>
        <w:textAlignment w:val="auto"/>
        <w:rPr>
          <w:rFonts w:hint="eastAsia" w:ascii="仿宋_GB2312" w:hAnsi="黑体" w:eastAsia="仿宋_GB2312" w:cs="宋体"/>
          <w:color w:val="000000"/>
          <w:kern w:val="0"/>
          <w:sz w:val="32"/>
          <w:szCs w:val="32"/>
        </w:rPr>
      </w:pPr>
      <w:r>
        <w:rPr>
          <w:rFonts w:hint="eastAsia" w:ascii="仿宋_GB2312" w:hAnsi="黑体" w:eastAsia="仿宋_GB2312" w:cs="宋体"/>
          <w:color w:val="000000"/>
          <w:kern w:val="0"/>
          <w:sz w:val="32"/>
          <w:szCs w:val="32"/>
        </w:rPr>
        <w:t>针对</w:t>
      </w:r>
      <w:r>
        <w:rPr>
          <w:rFonts w:hint="eastAsia" w:ascii="仿宋_GB2312" w:hAnsi="黑体" w:eastAsia="仿宋_GB2312" w:cs="宋体"/>
          <w:color w:val="000000"/>
          <w:kern w:val="0"/>
          <w:sz w:val="32"/>
          <w:szCs w:val="32"/>
          <w:lang w:val="en-US" w:eastAsia="zh-CN"/>
        </w:rPr>
        <w:t>政务公开专网部门文件、在建项目等更新不够及时的项目，主动与单位内部科室建立沟通联系机制，确保及时更新</w:t>
      </w:r>
      <w:r>
        <w:rPr>
          <w:rFonts w:hint="eastAsia" w:ascii="仿宋_GB2312" w:hAnsi="黑体" w:eastAsia="仿宋_GB2312" w:cs="宋体"/>
          <w:color w:val="000000"/>
          <w:kern w:val="0"/>
          <w:sz w:val="32"/>
          <w:szCs w:val="32"/>
        </w:rPr>
        <w:t>。</w:t>
      </w:r>
      <w:r>
        <w:rPr>
          <w:rFonts w:hint="eastAsia" w:ascii="仿宋_GB2312" w:hAnsi="黑体" w:eastAsia="仿宋_GB2312" w:cs="宋体"/>
          <w:color w:val="000000"/>
          <w:kern w:val="0"/>
          <w:sz w:val="32"/>
          <w:szCs w:val="32"/>
          <w:lang w:val="en-US" w:eastAsia="zh-CN"/>
        </w:rPr>
        <w:t>同时，进一步增强责任感，定期检查公开内容</w:t>
      </w:r>
      <w:r>
        <w:rPr>
          <w:rFonts w:hint="eastAsia" w:ascii="仿宋_GB2312" w:hAnsi="黑体" w:eastAsia="仿宋_GB2312" w:cs="宋体"/>
          <w:color w:val="000000"/>
          <w:kern w:val="0"/>
          <w:sz w:val="32"/>
          <w:szCs w:val="32"/>
        </w:rPr>
        <w:t>，</w:t>
      </w:r>
      <w:r>
        <w:rPr>
          <w:rFonts w:hint="eastAsia" w:ascii="仿宋_GB2312" w:hAnsi="黑体" w:eastAsia="仿宋_GB2312" w:cs="宋体"/>
          <w:color w:val="000000"/>
          <w:kern w:val="0"/>
          <w:sz w:val="32"/>
          <w:szCs w:val="32"/>
          <w:lang w:val="en-US" w:eastAsia="zh-CN"/>
        </w:rPr>
        <w:t>发现更新不及时的栏目，及时上传更新，</w:t>
      </w:r>
      <w:r>
        <w:rPr>
          <w:rFonts w:hint="eastAsia" w:ascii="仿宋_GB2312" w:hAnsi="黑体" w:eastAsia="仿宋_GB2312" w:cs="宋体"/>
          <w:color w:val="000000"/>
          <w:kern w:val="0"/>
          <w:sz w:val="32"/>
          <w:szCs w:val="32"/>
        </w:rPr>
        <w:t>确保信息公开工作发布及时</w:t>
      </w:r>
      <w:r>
        <w:rPr>
          <w:rFonts w:hint="eastAsia" w:ascii="仿宋_GB2312" w:hAnsi="黑体" w:eastAsia="仿宋_GB2312" w:cs="宋体"/>
          <w:color w:val="000000"/>
          <w:kern w:val="0"/>
          <w:sz w:val="32"/>
          <w:szCs w:val="32"/>
          <w:lang w:eastAsia="zh-CN"/>
        </w:rPr>
        <w:t>、</w:t>
      </w:r>
      <w:r>
        <w:rPr>
          <w:rFonts w:hint="eastAsia" w:ascii="仿宋_GB2312" w:hAnsi="黑体" w:eastAsia="仿宋_GB2312" w:cs="宋体"/>
          <w:color w:val="000000"/>
          <w:kern w:val="0"/>
          <w:sz w:val="32"/>
          <w:szCs w:val="32"/>
          <w:lang w:val="en-US" w:eastAsia="zh-CN"/>
        </w:rPr>
        <w:t>内容准确</w:t>
      </w:r>
      <w:r>
        <w:rPr>
          <w:rFonts w:hint="eastAsia" w:ascii="仿宋_GB2312" w:hAnsi="黑体" w:eastAsia="仿宋_GB2312" w:cs="宋体"/>
          <w:color w:val="000000"/>
          <w:kern w:val="0"/>
          <w:sz w:val="32"/>
          <w:szCs w:val="32"/>
        </w:rPr>
        <w:t>、</w:t>
      </w:r>
      <w:r>
        <w:rPr>
          <w:rFonts w:hint="eastAsia" w:ascii="仿宋_GB2312" w:hAnsi="黑体" w:eastAsia="仿宋_GB2312" w:cs="宋体"/>
          <w:color w:val="000000"/>
          <w:kern w:val="0"/>
          <w:sz w:val="32"/>
          <w:szCs w:val="32"/>
          <w:lang w:val="en-US" w:eastAsia="zh-CN"/>
        </w:rPr>
        <w:t>查看</w:t>
      </w:r>
      <w:r>
        <w:rPr>
          <w:rFonts w:hint="eastAsia" w:ascii="仿宋_GB2312" w:hAnsi="黑体" w:eastAsia="仿宋_GB2312" w:cs="宋体"/>
          <w:color w:val="000000"/>
          <w:kern w:val="0"/>
          <w:sz w:val="32"/>
          <w:szCs w:val="32"/>
        </w:rPr>
        <w:t>方便。</w:t>
      </w:r>
    </w:p>
    <w:p>
      <w:pPr>
        <w:keepNext w:val="0"/>
        <w:keepLines w:val="0"/>
        <w:pageBreakBefore w:val="0"/>
        <w:widowControl/>
        <w:kinsoku/>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lang w:val="en-US" w:eastAsia="zh-CN"/>
        </w:rPr>
        <w:t>六、</w:t>
      </w:r>
      <w:r>
        <w:rPr>
          <w:rFonts w:hint="eastAsia" w:ascii="黑体" w:hAnsi="黑体" w:eastAsia="黑体" w:cs="宋体"/>
          <w:color w:val="000000"/>
          <w:kern w:val="0"/>
          <w:sz w:val="32"/>
          <w:szCs w:val="32"/>
        </w:rPr>
        <w:t>其他需要报告的事项</w:t>
      </w:r>
    </w:p>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520" w:lineRule="exact"/>
        <w:ind w:left="0" w:right="0" w:firstLine="645"/>
        <w:jc w:val="both"/>
        <w:textAlignment w:val="auto"/>
        <w:rPr>
          <w:rFonts w:hint="eastAsia" w:ascii="Calibri" w:hAnsi="Calibri" w:eastAsia="仿宋_GB2312" w:cs="Calibri"/>
          <w:i w:val="0"/>
          <w:iCs w:val="0"/>
          <w:caps w:val="0"/>
          <w:color w:val="000000"/>
          <w:spacing w:val="0"/>
          <w:sz w:val="21"/>
          <w:szCs w:val="21"/>
          <w:lang w:eastAsia="zh-CN"/>
        </w:rPr>
      </w:pPr>
      <w:r>
        <w:rPr>
          <w:rFonts w:hint="eastAsia" w:ascii="楷体" w:hAnsi="楷体" w:eastAsia="楷体" w:cs="楷体"/>
          <w:b/>
          <w:bCs/>
          <w:kern w:val="2"/>
          <w:sz w:val="32"/>
          <w:szCs w:val="32"/>
          <w:lang w:val="en-US" w:eastAsia="zh-CN" w:bidi="ar-SA"/>
        </w:rPr>
        <w:t>（一）</w:t>
      </w:r>
      <w:r>
        <w:rPr>
          <w:rFonts w:hint="eastAsia" w:ascii="仿宋_GB2312" w:hAnsi="Calibri" w:eastAsia="仿宋_GB2312" w:cs="仿宋_GB2312"/>
          <w:i w:val="0"/>
          <w:iCs w:val="0"/>
          <w:caps w:val="0"/>
          <w:color w:val="000000"/>
          <w:spacing w:val="0"/>
          <w:sz w:val="31"/>
          <w:szCs w:val="31"/>
        </w:rPr>
        <w:t>收取信息处理费情况方面。2022年度，本单位未收取信息处理费</w:t>
      </w:r>
      <w:r>
        <w:rPr>
          <w:rFonts w:hint="eastAsia" w:ascii="仿宋_GB2312" w:hAnsi="Calibri" w:eastAsia="仿宋_GB2312" w:cs="仿宋_GB2312"/>
          <w:i w:val="0"/>
          <w:iCs w:val="0"/>
          <w:caps w:val="0"/>
          <w:color w:val="000000"/>
          <w:spacing w:val="0"/>
          <w:sz w:val="31"/>
          <w:szCs w:val="31"/>
          <w:lang w:eastAsia="zh-CN"/>
        </w:rPr>
        <w:t>。</w:t>
      </w:r>
    </w:p>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520" w:lineRule="exact"/>
        <w:ind w:left="0" w:right="0" w:firstLine="645"/>
        <w:jc w:val="both"/>
        <w:textAlignment w:val="auto"/>
        <w:rPr>
          <w:rFonts w:hint="eastAsia" w:ascii="仿宋_GB2312" w:hAnsi="Calibri" w:eastAsia="仿宋_GB2312" w:cs="仿宋_GB2312"/>
          <w:i w:val="0"/>
          <w:iCs w:val="0"/>
          <w:caps w:val="0"/>
          <w:color w:val="000000"/>
          <w:spacing w:val="0"/>
          <w:sz w:val="31"/>
          <w:szCs w:val="31"/>
        </w:rPr>
      </w:pPr>
      <w:r>
        <w:rPr>
          <w:rFonts w:hint="eastAsia" w:ascii="楷体" w:hAnsi="楷体" w:eastAsia="楷体" w:cs="楷体"/>
          <w:b/>
          <w:bCs/>
          <w:kern w:val="2"/>
          <w:sz w:val="32"/>
          <w:szCs w:val="32"/>
          <w:lang w:val="en-US" w:eastAsia="zh-CN" w:bidi="ar-SA"/>
        </w:rPr>
        <w:t>（二）</w:t>
      </w:r>
      <w:r>
        <w:rPr>
          <w:rFonts w:hint="eastAsia" w:ascii="仿宋_GB2312" w:hAnsi="Calibri" w:eastAsia="仿宋_GB2312" w:cs="仿宋_GB2312"/>
          <w:i w:val="0"/>
          <w:iCs w:val="0"/>
          <w:caps w:val="0"/>
          <w:color w:val="000000"/>
          <w:spacing w:val="0"/>
          <w:sz w:val="31"/>
          <w:szCs w:val="31"/>
        </w:rPr>
        <w:t>落实上级年度政务公开工作要点情况。对照《《滕州市2022年政务公开工作要点》</w:t>
      </w:r>
      <w:r>
        <w:rPr>
          <w:rFonts w:hint="eastAsia" w:ascii="仿宋_GB2312" w:hAnsi="Calibri" w:eastAsia="仿宋_GB2312" w:cs="仿宋_GB2312"/>
          <w:i w:val="0"/>
          <w:iCs w:val="0"/>
          <w:caps w:val="0"/>
          <w:color w:val="000000"/>
          <w:spacing w:val="0"/>
          <w:sz w:val="31"/>
          <w:szCs w:val="31"/>
          <w:lang w:eastAsia="zh-CN"/>
        </w:rPr>
        <w:t>，</w:t>
      </w:r>
      <w:r>
        <w:rPr>
          <w:rFonts w:hint="eastAsia" w:ascii="仿宋_GB2312" w:hAnsi="Calibri" w:eastAsia="仿宋_GB2312" w:cs="仿宋_GB2312"/>
          <w:i w:val="0"/>
          <w:iCs w:val="0"/>
          <w:caps w:val="0"/>
          <w:color w:val="000000"/>
          <w:spacing w:val="0"/>
          <w:sz w:val="31"/>
          <w:szCs w:val="31"/>
        </w:rPr>
        <w:t>围绕重点领域信息公开、政策发布解读与回应、政民互动、基层政务公开标准化规范化建设</w:t>
      </w:r>
      <w:r>
        <w:rPr>
          <w:rFonts w:hint="eastAsia" w:ascii="仿宋_GB2312" w:hAnsi="Calibri" w:eastAsia="仿宋_GB2312" w:cs="仿宋_GB2312"/>
          <w:i w:val="0"/>
          <w:iCs w:val="0"/>
          <w:caps w:val="0"/>
          <w:color w:val="000000"/>
          <w:spacing w:val="0"/>
          <w:sz w:val="31"/>
          <w:szCs w:val="31"/>
          <w:lang w:val="en-US" w:eastAsia="zh-CN"/>
        </w:rPr>
        <w:t>等工作</w:t>
      </w:r>
      <w:r>
        <w:rPr>
          <w:rFonts w:hint="eastAsia" w:ascii="仿宋_GB2312" w:hAnsi="Calibri" w:eastAsia="仿宋_GB2312" w:cs="仿宋_GB2312"/>
          <w:i w:val="0"/>
          <w:iCs w:val="0"/>
          <w:caps w:val="0"/>
          <w:color w:val="000000"/>
          <w:spacing w:val="0"/>
          <w:sz w:val="31"/>
          <w:szCs w:val="31"/>
        </w:rPr>
        <w:t>逐项明确责任主体和完成时限。</w:t>
      </w:r>
    </w:p>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520" w:lineRule="exact"/>
        <w:ind w:left="0" w:right="0" w:firstLine="645"/>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kern w:val="2"/>
          <w:sz w:val="32"/>
          <w:szCs w:val="32"/>
          <w:lang w:val="en-US" w:eastAsia="zh-CN" w:bidi="ar-SA"/>
        </w:rPr>
        <w:t>（三）</w:t>
      </w:r>
      <w:r>
        <w:rPr>
          <w:rFonts w:hint="eastAsia" w:ascii="仿宋_GB2312" w:hAnsi="Calibri" w:eastAsia="仿宋_GB2312" w:cs="仿宋_GB2312"/>
          <w:i w:val="0"/>
          <w:iCs w:val="0"/>
          <w:caps w:val="0"/>
          <w:color w:val="000000"/>
          <w:spacing w:val="0"/>
          <w:sz w:val="31"/>
          <w:szCs w:val="31"/>
        </w:rPr>
        <w:t>人大代表建议和政协提案办理情况方面。</w:t>
      </w:r>
      <w:r>
        <w:rPr>
          <w:rFonts w:hint="eastAsia" w:ascii="仿宋_GB2312" w:hAnsi="仿宋_GB2312" w:eastAsia="仿宋_GB2312" w:cs="仿宋_GB2312"/>
          <w:sz w:val="32"/>
          <w:szCs w:val="32"/>
          <w:lang w:val="en-US" w:eastAsia="zh-CN"/>
        </w:rPr>
        <w:t>市行政审批服务局高度重视代表建议政协提案办理工作，严格落实市委市政府关于建议提案办理的有关要求，坚持办理答复必须做到合法合规合理合情。2022年共办理人大代表建议0件；政协委员提案6件，其中枣庄政协提案2件，滕州政协提案4件，主办6件，6件办理结果均主动公开。</w:t>
      </w:r>
    </w:p>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520" w:lineRule="exact"/>
        <w:ind w:left="0" w:right="0" w:firstLine="645"/>
        <w:jc w:val="both"/>
        <w:textAlignment w:val="auto"/>
        <w:rPr>
          <w:rFonts w:hint="default" w:ascii="Calibri" w:hAnsi="Calibri" w:cs="Calibri"/>
          <w:i w:val="0"/>
          <w:iCs w:val="0"/>
          <w:caps w:val="0"/>
          <w:color w:val="000000"/>
          <w:spacing w:val="0"/>
          <w:sz w:val="21"/>
          <w:szCs w:val="21"/>
        </w:rPr>
      </w:pPr>
      <w:r>
        <w:rPr>
          <w:rFonts w:hint="eastAsia" w:ascii="楷体" w:hAnsi="楷体" w:eastAsia="楷体" w:cs="楷体"/>
          <w:b/>
          <w:bCs/>
          <w:kern w:val="2"/>
          <w:sz w:val="32"/>
          <w:szCs w:val="32"/>
          <w:lang w:val="en-US" w:eastAsia="zh-CN" w:bidi="ar-SA"/>
        </w:rPr>
        <w:t>（四）</w:t>
      </w:r>
      <w:r>
        <w:rPr>
          <w:rFonts w:hint="eastAsia" w:ascii="仿宋_GB2312" w:hAnsi="Calibri" w:eastAsia="仿宋_GB2312" w:cs="仿宋_GB2312"/>
          <w:i w:val="0"/>
          <w:iCs w:val="0"/>
          <w:caps w:val="0"/>
          <w:color w:val="000000"/>
          <w:spacing w:val="0"/>
          <w:sz w:val="31"/>
          <w:szCs w:val="31"/>
        </w:rPr>
        <w:t>开展政务公开创新方面。持续推进政府开放日</w:t>
      </w:r>
      <w:r>
        <w:rPr>
          <w:rFonts w:hint="eastAsia" w:ascii="仿宋_GB2312" w:hAnsi="Calibri" w:eastAsia="仿宋_GB2312" w:cs="仿宋_GB2312"/>
          <w:i w:val="0"/>
          <w:iCs w:val="0"/>
          <w:caps w:val="0"/>
          <w:color w:val="000000"/>
          <w:spacing w:val="0"/>
          <w:sz w:val="31"/>
          <w:szCs w:val="31"/>
          <w:lang w:val="en-US" w:eastAsia="zh-CN"/>
        </w:rPr>
        <w:t>活动，完善</w:t>
      </w:r>
      <w:r>
        <w:rPr>
          <w:rFonts w:hint="eastAsia" w:ascii="仿宋_GB2312" w:hAnsi="Calibri" w:eastAsia="仿宋_GB2312" w:cs="仿宋_GB2312"/>
          <w:i w:val="0"/>
          <w:iCs w:val="0"/>
          <w:caps w:val="0"/>
          <w:color w:val="000000"/>
          <w:spacing w:val="0"/>
          <w:sz w:val="31"/>
          <w:szCs w:val="31"/>
        </w:rPr>
        <w:t>政务公开体验区。</w:t>
      </w:r>
    </w:p>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520" w:lineRule="exact"/>
        <w:ind w:left="0" w:right="0" w:firstLine="645"/>
        <w:jc w:val="both"/>
        <w:textAlignment w:val="auto"/>
        <w:rPr>
          <w:rFonts w:hint="eastAsia" w:ascii="Calibri" w:hAnsi="Calibri" w:eastAsia="仿宋_GB2312" w:cs="Calibri"/>
          <w:i w:val="0"/>
          <w:iCs w:val="0"/>
          <w:caps w:val="0"/>
          <w:color w:val="000000"/>
          <w:spacing w:val="0"/>
          <w:sz w:val="21"/>
          <w:szCs w:val="21"/>
          <w:lang w:eastAsia="zh-CN"/>
        </w:rPr>
      </w:pPr>
      <w:r>
        <w:rPr>
          <w:rFonts w:hint="eastAsia" w:ascii="楷体" w:hAnsi="楷体" w:eastAsia="楷体" w:cs="楷体"/>
          <w:b/>
          <w:bCs/>
          <w:kern w:val="2"/>
          <w:sz w:val="32"/>
          <w:szCs w:val="32"/>
          <w:lang w:val="en-US" w:eastAsia="zh-CN" w:bidi="ar-SA"/>
        </w:rPr>
        <w:t>（五）</w:t>
      </w:r>
      <w:r>
        <w:rPr>
          <w:rFonts w:hint="eastAsia" w:ascii="仿宋_GB2312" w:hAnsi="Calibri" w:eastAsia="仿宋_GB2312" w:cs="仿宋_GB2312"/>
          <w:i w:val="0"/>
          <w:iCs w:val="0"/>
          <w:caps w:val="0"/>
          <w:color w:val="000000"/>
          <w:spacing w:val="0"/>
          <w:sz w:val="31"/>
          <w:szCs w:val="31"/>
        </w:rPr>
        <w:t>本单位政府信息公开工作年度报告数据统计需要说明的事项：无</w:t>
      </w:r>
      <w:r>
        <w:rPr>
          <w:rFonts w:hint="eastAsia" w:ascii="仿宋_GB2312" w:hAnsi="Calibri" w:eastAsia="仿宋_GB2312" w:cs="仿宋_GB2312"/>
          <w:i w:val="0"/>
          <w:iCs w:val="0"/>
          <w:caps w:val="0"/>
          <w:color w:val="000000"/>
          <w:spacing w:val="0"/>
          <w:sz w:val="31"/>
          <w:szCs w:val="31"/>
          <w:lang w:eastAsia="zh-CN"/>
        </w:rPr>
        <w:t>。</w:t>
      </w:r>
    </w:p>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520" w:lineRule="exact"/>
        <w:ind w:left="0" w:right="0" w:firstLine="645"/>
        <w:jc w:val="both"/>
        <w:textAlignment w:val="auto"/>
        <w:rPr>
          <w:rFonts w:hint="eastAsia" w:ascii="Calibri" w:hAnsi="Calibri" w:eastAsia="仿宋_GB2312" w:cs="Calibri"/>
          <w:i w:val="0"/>
          <w:iCs w:val="0"/>
          <w:caps w:val="0"/>
          <w:color w:val="000000"/>
          <w:spacing w:val="0"/>
          <w:sz w:val="21"/>
          <w:szCs w:val="21"/>
          <w:lang w:eastAsia="zh-CN"/>
        </w:rPr>
      </w:pPr>
      <w:r>
        <w:rPr>
          <w:rFonts w:hint="eastAsia" w:ascii="楷体" w:hAnsi="楷体" w:eastAsia="楷体" w:cs="楷体"/>
          <w:b/>
          <w:bCs/>
          <w:kern w:val="2"/>
          <w:sz w:val="32"/>
          <w:szCs w:val="32"/>
          <w:lang w:val="en-US" w:eastAsia="zh-CN" w:bidi="ar-SA"/>
        </w:rPr>
        <w:t>（六）</w:t>
      </w:r>
      <w:r>
        <w:rPr>
          <w:rFonts w:hint="eastAsia" w:ascii="仿宋_GB2312" w:hAnsi="Calibri" w:eastAsia="仿宋_GB2312" w:cs="仿宋_GB2312"/>
          <w:i w:val="0"/>
          <w:iCs w:val="0"/>
          <w:caps w:val="0"/>
          <w:color w:val="000000"/>
          <w:spacing w:val="0"/>
          <w:sz w:val="31"/>
          <w:szCs w:val="31"/>
        </w:rPr>
        <w:t>其他有关文件专门要求通过政府信息公开工作年度报告予以报告的事项：无</w:t>
      </w:r>
      <w:r>
        <w:rPr>
          <w:rFonts w:hint="eastAsia" w:ascii="仿宋_GB2312" w:hAnsi="Calibri" w:eastAsia="仿宋_GB2312" w:cs="仿宋_GB2312"/>
          <w:i w:val="0"/>
          <w:iCs w:val="0"/>
          <w:caps w:val="0"/>
          <w:color w:val="000000"/>
          <w:spacing w:val="0"/>
          <w:sz w:val="31"/>
          <w:szCs w:val="31"/>
          <w:lang w:eastAsia="zh-CN"/>
        </w:rPr>
        <w:t>。</w:t>
      </w:r>
    </w:p>
    <w:p>
      <w:pPr>
        <w:keepNext w:val="0"/>
        <w:keepLines w:val="0"/>
        <w:pageBreakBefore w:val="0"/>
        <w:widowControl/>
        <w:kinsoku/>
        <w:overflowPunct/>
        <w:topLinePunct w:val="0"/>
        <w:autoSpaceDE/>
        <w:autoSpaceDN/>
        <w:bidi w:val="0"/>
        <w:adjustRightInd/>
        <w:snapToGrid/>
        <w:spacing w:line="520" w:lineRule="exact"/>
        <w:ind w:firstLine="640" w:firstLineChars="200"/>
        <w:jc w:val="left"/>
        <w:textAlignment w:val="auto"/>
        <w:rPr>
          <w:rFonts w:hint="eastAsia" w:ascii="仿宋_GB2312" w:hAnsi="黑体" w:eastAsia="仿宋_GB2312" w:cs="宋体"/>
          <w:color w:val="000000"/>
          <w:kern w:val="0"/>
          <w:sz w:val="32"/>
          <w:szCs w:val="32"/>
        </w:rPr>
      </w:pPr>
      <w:r>
        <w:rPr>
          <w:rFonts w:hint="eastAsia" w:ascii="仿宋_GB2312" w:hAnsi="黑体" w:eastAsia="仿宋_GB2312" w:cs="宋体"/>
          <w:color w:val="000000"/>
          <w:kern w:val="0"/>
          <w:sz w:val="32"/>
          <w:szCs w:val="32"/>
        </w:rPr>
        <w:t>本报告的电子版可在“滕州市政府信息公开网”（http://xxgk.tengzhou.gov.cn/）和“滕州市行政审批服务局”（http://www.tengzhou.gov.cn/zzq/zfbm/xzspfwj/）网站查询和下载。如对本报告有任何疑问，请与滕州市行政审批服务局联系（地址：滕州市北辛中路，滕州市政务服务中心，邮编：277599，电话：0632-5081887，传真：0632-5081887，电子邮箱：zwfwzx309@163.com。</w:t>
      </w:r>
    </w:p>
    <w:p>
      <w:pPr>
        <w:keepNext w:val="0"/>
        <w:keepLines w:val="0"/>
        <w:pageBreakBefore w:val="0"/>
        <w:widowControl/>
        <w:kinsoku/>
        <w:overflowPunct/>
        <w:topLinePunct w:val="0"/>
        <w:autoSpaceDE/>
        <w:autoSpaceDN/>
        <w:bidi w:val="0"/>
        <w:adjustRightInd/>
        <w:snapToGrid/>
        <w:spacing w:line="520" w:lineRule="exact"/>
        <w:ind w:firstLine="640" w:firstLineChars="200"/>
        <w:jc w:val="left"/>
        <w:textAlignment w:val="auto"/>
        <w:rPr>
          <w:rFonts w:hint="eastAsia" w:ascii="仿宋_GB2312" w:hAnsi="黑体" w:eastAsia="仿宋_GB2312" w:cs="宋体"/>
          <w:color w:val="000000"/>
          <w:kern w:val="0"/>
          <w:sz w:val="32"/>
          <w:szCs w:val="32"/>
        </w:rPr>
      </w:pPr>
    </w:p>
    <w:p>
      <w:pPr>
        <w:keepNext w:val="0"/>
        <w:keepLines w:val="0"/>
        <w:pageBreakBefore w:val="0"/>
        <w:widowControl/>
        <w:kinsoku/>
        <w:overflowPunct/>
        <w:topLinePunct w:val="0"/>
        <w:autoSpaceDE/>
        <w:autoSpaceDN/>
        <w:bidi w:val="0"/>
        <w:adjustRightInd/>
        <w:snapToGrid/>
        <w:spacing w:line="520" w:lineRule="exact"/>
        <w:ind w:firstLine="640" w:firstLineChars="200"/>
        <w:jc w:val="right"/>
        <w:textAlignment w:val="auto"/>
        <w:rPr>
          <w:rFonts w:hint="eastAsia" w:ascii="仿宋_GB2312" w:hAnsi="黑体" w:eastAsia="仿宋_GB2312" w:cs="宋体"/>
          <w:color w:val="000000"/>
          <w:kern w:val="0"/>
          <w:sz w:val="32"/>
          <w:szCs w:val="32"/>
          <w:lang w:val="en-US" w:eastAsia="zh-CN"/>
        </w:rPr>
      </w:pPr>
      <w:r>
        <w:rPr>
          <w:rFonts w:hint="eastAsia" w:ascii="仿宋_GB2312" w:hAnsi="黑体" w:eastAsia="仿宋_GB2312" w:cs="宋体"/>
          <w:color w:val="000000"/>
          <w:kern w:val="0"/>
          <w:sz w:val="32"/>
          <w:szCs w:val="32"/>
          <w:lang w:val="en-US" w:eastAsia="zh-CN"/>
        </w:rPr>
        <w:t>滕州市行政审批服务局</w:t>
      </w:r>
    </w:p>
    <w:p>
      <w:pPr>
        <w:keepNext w:val="0"/>
        <w:keepLines w:val="0"/>
        <w:pageBreakBefore w:val="0"/>
        <w:widowControl/>
        <w:kinsoku/>
        <w:wordWrap w:val="0"/>
        <w:overflowPunct/>
        <w:topLinePunct w:val="0"/>
        <w:autoSpaceDE/>
        <w:autoSpaceDN/>
        <w:bidi w:val="0"/>
        <w:adjustRightInd/>
        <w:snapToGrid/>
        <w:spacing w:line="520" w:lineRule="exact"/>
        <w:ind w:firstLine="640" w:firstLineChars="200"/>
        <w:jc w:val="right"/>
        <w:textAlignment w:val="auto"/>
        <w:rPr>
          <w:rFonts w:hint="eastAsia" w:ascii="仿宋_GB2312" w:hAnsi="黑体" w:eastAsia="仿宋_GB2312" w:cs="宋体"/>
          <w:color w:val="000000"/>
          <w:kern w:val="0"/>
          <w:sz w:val="32"/>
          <w:szCs w:val="32"/>
          <w:lang w:val="en-US" w:eastAsia="zh-CN"/>
        </w:rPr>
      </w:pPr>
      <w:r>
        <w:rPr>
          <w:rFonts w:hint="eastAsia" w:ascii="仿宋_GB2312" w:hAnsi="黑体" w:eastAsia="仿宋_GB2312" w:cs="宋体"/>
          <w:color w:val="000000"/>
          <w:kern w:val="0"/>
          <w:sz w:val="32"/>
          <w:szCs w:val="32"/>
          <w:lang w:val="en-US" w:eastAsia="zh-CN"/>
        </w:rPr>
        <w:t>2023年1月13日</w:t>
      </w:r>
      <w:bookmarkStart w:id="10" w:name="_GoBack"/>
      <w:bookmarkEnd w:id="10"/>
    </w:p>
    <w:p>
      <w:pPr>
        <w:pStyle w:val="2"/>
        <w:keepNext w:val="0"/>
        <w:keepLines w:val="0"/>
        <w:pageBreakBefore w:val="0"/>
        <w:kinsoku/>
        <w:overflowPunct/>
        <w:topLinePunct w:val="0"/>
        <w:autoSpaceDE/>
        <w:autoSpaceDN/>
        <w:bidi w:val="0"/>
        <w:adjustRightInd/>
        <w:snapToGrid/>
        <w:spacing w:line="520" w:lineRule="exact"/>
        <w:textAlignment w:val="auto"/>
        <w:rPr>
          <w:rFonts w:hint="default"/>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decorative"/>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sz w:val="21"/>
                              <w:szCs w:val="28"/>
                              <w:lang w:eastAsia="zh-CN"/>
                            </w:rPr>
                          </w:pPr>
                          <w:r>
                            <w:rPr>
                              <w:rFonts w:hint="eastAsia"/>
                              <w:sz w:val="21"/>
                              <w:szCs w:val="28"/>
                              <w:lang w:eastAsia="zh-CN"/>
                            </w:rPr>
                            <w:fldChar w:fldCharType="begin"/>
                          </w:r>
                          <w:r>
                            <w:rPr>
                              <w:rFonts w:hint="eastAsia"/>
                              <w:sz w:val="21"/>
                              <w:szCs w:val="28"/>
                              <w:lang w:eastAsia="zh-CN"/>
                            </w:rPr>
                            <w:instrText xml:space="preserve"> PAGE  \* MERGEFORMAT </w:instrText>
                          </w:r>
                          <w:r>
                            <w:rPr>
                              <w:rFonts w:hint="eastAsia"/>
                              <w:sz w:val="21"/>
                              <w:szCs w:val="28"/>
                              <w:lang w:eastAsia="zh-CN"/>
                            </w:rPr>
                            <w:fldChar w:fldCharType="separate"/>
                          </w:r>
                          <w:r>
                            <w:rPr>
                              <w:rFonts w:hint="eastAsia"/>
                              <w:sz w:val="21"/>
                              <w:szCs w:val="28"/>
                              <w:lang w:eastAsia="zh-CN"/>
                            </w:rPr>
                            <w:t>1</w:t>
                          </w:r>
                          <w:r>
                            <w:rPr>
                              <w:rFonts w:hint="eastAsia"/>
                              <w:sz w:val="21"/>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sz w:val="21"/>
                        <w:szCs w:val="28"/>
                        <w:lang w:eastAsia="zh-CN"/>
                      </w:rPr>
                    </w:pPr>
                    <w:r>
                      <w:rPr>
                        <w:rFonts w:hint="eastAsia"/>
                        <w:sz w:val="21"/>
                        <w:szCs w:val="28"/>
                        <w:lang w:eastAsia="zh-CN"/>
                      </w:rPr>
                      <w:fldChar w:fldCharType="begin"/>
                    </w:r>
                    <w:r>
                      <w:rPr>
                        <w:rFonts w:hint="eastAsia"/>
                        <w:sz w:val="21"/>
                        <w:szCs w:val="28"/>
                        <w:lang w:eastAsia="zh-CN"/>
                      </w:rPr>
                      <w:instrText xml:space="preserve"> PAGE  \* MERGEFORMAT </w:instrText>
                    </w:r>
                    <w:r>
                      <w:rPr>
                        <w:rFonts w:hint="eastAsia"/>
                        <w:sz w:val="21"/>
                        <w:szCs w:val="28"/>
                        <w:lang w:eastAsia="zh-CN"/>
                      </w:rPr>
                      <w:fldChar w:fldCharType="separate"/>
                    </w:r>
                    <w:r>
                      <w:rPr>
                        <w:rFonts w:hint="eastAsia"/>
                        <w:sz w:val="21"/>
                        <w:szCs w:val="28"/>
                        <w:lang w:eastAsia="zh-CN"/>
                      </w:rPr>
                      <w:t>1</w:t>
                    </w:r>
                    <w:r>
                      <w:rPr>
                        <w:rFonts w:hint="eastAsia"/>
                        <w:sz w:val="21"/>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3EC2FB"/>
    <w:multiLevelType w:val="singleLevel"/>
    <w:tmpl w:val="843EC2F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MGE3NGU2ZTQzOWE1ZDk3ZGFjZGYyOGE4OTU3ZjcifQ=="/>
  </w:docVars>
  <w:rsids>
    <w:rsidRoot w:val="19FA7206"/>
    <w:rsid w:val="00034EB6"/>
    <w:rsid w:val="01E728A6"/>
    <w:rsid w:val="020409C2"/>
    <w:rsid w:val="04106B4A"/>
    <w:rsid w:val="04381E22"/>
    <w:rsid w:val="051134C0"/>
    <w:rsid w:val="05703695"/>
    <w:rsid w:val="05E66E4D"/>
    <w:rsid w:val="0C1F4E62"/>
    <w:rsid w:val="0D621DD9"/>
    <w:rsid w:val="0E8D3722"/>
    <w:rsid w:val="0EA91CAA"/>
    <w:rsid w:val="0EF93011"/>
    <w:rsid w:val="0F9B6E37"/>
    <w:rsid w:val="12334547"/>
    <w:rsid w:val="12FC66FC"/>
    <w:rsid w:val="17FD07E0"/>
    <w:rsid w:val="196A5FCF"/>
    <w:rsid w:val="19FA7206"/>
    <w:rsid w:val="1BBD52AF"/>
    <w:rsid w:val="1BD47D1C"/>
    <w:rsid w:val="1F3442DE"/>
    <w:rsid w:val="1FFA4EF4"/>
    <w:rsid w:val="21BC3427"/>
    <w:rsid w:val="22203283"/>
    <w:rsid w:val="22484CBB"/>
    <w:rsid w:val="27473D11"/>
    <w:rsid w:val="2B624AF9"/>
    <w:rsid w:val="2D3C66CA"/>
    <w:rsid w:val="35B1359F"/>
    <w:rsid w:val="36A55B64"/>
    <w:rsid w:val="3CC05722"/>
    <w:rsid w:val="3E477D57"/>
    <w:rsid w:val="3E6B3DB3"/>
    <w:rsid w:val="3F122578"/>
    <w:rsid w:val="42B86E9B"/>
    <w:rsid w:val="44C14902"/>
    <w:rsid w:val="45BB4289"/>
    <w:rsid w:val="48292837"/>
    <w:rsid w:val="48594CDF"/>
    <w:rsid w:val="497F5C4F"/>
    <w:rsid w:val="49FA5FEB"/>
    <w:rsid w:val="4BB70638"/>
    <w:rsid w:val="4C02698C"/>
    <w:rsid w:val="4C604A47"/>
    <w:rsid w:val="4CBF2408"/>
    <w:rsid w:val="4E7A2C2E"/>
    <w:rsid w:val="51BB10ED"/>
    <w:rsid w:val="54353DA3"/>
    <w:rsid w:val="551E25CC"/>
    <w:rsid w:val="55757A59"/>
    <w:rsid w:val="5AA8538D"/>
    <w:rsid w:val="5C563CB7"/>
    <w:rsid w:val="5EA87450"/>
    <w:rsid w:val="622D5B8C"/>
    <w:rsid w:val="63F712D6"/>
    <w:rsid w:val="661F1BD3"/>
    <w:rsid w:val="6B574014"/>
    <w:rsid w:val="6C8C0EA4"/>
    <w:rsid w:val="6CA976D1"/>
    <w:rsid w:val="70876343"/>
    <w:rsid w:val="71020A84"/>
    <w:rsid w:val="710F5E6F"/>
    <w:rsid w:val="728E1843"/>
    <w:rsid w:val="74FF4332"/>
    <w:rsid w:val="7A2D2D26"/>
    <w:rsid w:val="7B890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1"/>
    <w:qFormat/>
    <w:uiPriority w:val="0"/>
    <w:pPr>
      <w:keepNext/>
      <w:keepLines/>
      <w:spacing w:beforeLines="0" w:beforeAutospacing="0" w:afterLines="0" w:afterAutospacing="0" w:line="600" w:lineRule="exact"/>
      <w:ind w:firstLine="0" w:firstLineChars="0"/>
      <w:jc w:val="center"/>
      <w:outlineLvl w:val="0"/>
    </w:pPr>
    <w:rPr>
      <w:rFonts w:ascii="Times New Roman" w:hAnsi="Times New Roman" w:eastAsia="方正小标宋简体"/>
      <w:kern w:val="44"/>
      <w:sz w:val="44"/>
    </w:rPr>
  </w:style>
  <w:style w:type="paragraph" w:styleId="4">
    <w:name w:val="heading 2"/>
    <w:basedOn w:val="1"/>
    <w:next w:val="1"/>
    <w:semiHidden/>
    <w:unhideWhenUsed/>
    <w:qFormat/>
    <w:uiPriority w:val="0"/>
    <w:pPr>
      <w:keepNext/>
      <w:keepLines/>
      <w:spacing w:beforeLines="0" w:beforeAutospacing="0" w:afterLines="0" w:afterAutospacing="0" w:line="240" w:lineRule="auto"/>
      <w:ind w:firstLine="880" w:firstLineChars="200"/>
      <w:outlineLvl w:val="1"/>
    </w:pPr>
    <w:rPr>
      <w:rFonts w:ascii="Arial" w:hAnsi="Arial" w:eastAsia="黑体"/>
      <w:sz w:val="32"/>
      <w:szCs w:val="22"/>
    </w:rPr>
  </w:style>
  <w:style w:type="paragraph" w:styleId="5">
    <w:name w:val="heading 3"/>
    <w:basedOn w:val="1"/>
    <w:next w:val="1"/>
    <w:semiHidden/>
    <w:unhideWhenUsed/>
    <w:qFormat/>
    <w:uiPriority w:val="0"/>
    <w:pPr>
      <w:keepNext/>
      <w:keepLines/>
      <w:spacing w:beforeLines="0" w:beforeAutospacing="0" w:afterLines="0" w:afterAutospacing="0" w:line="240" w:lineRule="auto"/>
      <w:outlineLvl w:val="2"/>
    </w:pPr>
    <w:rPr>
      <w:rFonts w:eastAsia="楷体"/>
      <w:b/>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customStyle="1" w:styleId="11">
    <w:name w:val="标题 1 Char"/>
    <w:link w:val="3"/>
    <w:qFormat/>
    <w:uiPriority w:val="0"/>
    <w:rPr>
      <w:rFonts w:ascii="Times New Roman" w:hAnsi="Times New Roman" w:eastAsia="方正小标宋简体"/>
      <w:kern w:val="44"/>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2426</Words>
  <Characters>2603</Characters>
  <Lines>0</Lines>
  <Paragraphs>0</Paragraphs>
  <TotalTime>5</TotalTime>
  <ScaleCrop>false</ScaleCrop>
  <LinksUpToDate>false</LinksUpToDate>
  <CharactersWithSpaces>2617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2021-01-19T02:43:00Z</dcterms:created>
  <dc:creator>小米Setariaitalica</dc:creator>
  <cp:lastModifiedBy>萧别离</cp:lastModifiedBy>
  <dcterms:modified xsi:type="dcterms:W3CDTF">2023-02-10T03:55:31Z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BC121609509D41AEB2F63B50940580A9</vt:lpwstr>
  </property>
</Properties>
</file>