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滕州市人力资源和社会保障局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根据2019年4月3号中华人民共和国国务院令第711号修订的《中华人民共和国政府信息公开条例》(以下简称《条例》）和省政府、市政府信息公开工作有关要求，现公布202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滕州</w:t>
      </w:r>
      <w:r>
        <w:rPr>
          <w:rFonts w:hint="eastAsia" w:ascii="仿宋_GB2312" w:hAnsi="仿宋_GB2312" w:eastAsia="仿宋_GB2312" w:cs="仿宋_GB2312"/>
          <w:sz w:val="32"/>
          <w:szCs w:val="32"/>
        </w:rPr>
        <w:t xml:space="preserve">市人力资源和社会保障局政府信息公开工作年度报告。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内容包括1、总体情况；2、主动公开政府信息情况；3、收到和处理政府信息公开申请情况；4、政府信息公开行政复议、行政诉讼情况；5存在的主要问题及改进情况；6、其他需要报告的事项。报告中所列数据的统计期限自</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年1月1日起至</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年12月31日止。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总体情况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滕州市人社</w:t>
      </w:r>
      <w:r>
        <w:rPr>
          <w:rFonts w:hint="eastAsia" w:ascii="仿宋_GB2312" w:hAnsi="仿宋_GB2312" w:eastAsia="仿宋_GB2312" w:cs="仿宋_GB2312"/>
          <w:sz w:val="32"/>
          <w:szCs w:val="32"/>
        </w:rPr>
        <w:t xml:space="preserve">局坚持以公开为常态，以不公开为例外，遵循公正、公平、合法、便民的原则，以群众和社会普遍关注的热点问题为重点，坚持“民生为本、人才优先”，与时俱进、创新发展，求真务实、注重实效，全面推进人社领域政府信息公开工作，取得了明显成效，得到社会和群众的认可。 </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主动公开政府信息方面：</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年1月1日至12月31日，我局共主动公开政府信</w:t>
      </w:r>
      <w:r>
        <w:rPr>
          <w:rFonts w:hint="eastAsia" w:ascii="仿宋_GB2312" w:hAnsi="仿宋_GB2312" w:eastAsia="仿宋_GB2312" w:cs="仿宋_GB2312"/>
          <w:sz w:val="32"/>
          <w:szCs w:val="32"/>
          <w:u w:val="none"/>
        </w:rPr>
        <w:t>息</w:t>
      </w:r>
      <w:r>
        <w:rPr>
          <w:rFonts w:hint="eastAsia" w:ascii="仿宋_GB2312" w:hAnsi="仿宋_GB2312" w:eastAsia="仿宋_GB2312" w:cs="仿宋_GB2312"/>
          <w:sz w:val="32"/>
          <w:szCs w:val="32"/>
          <w:u w:val="none"/>
          <w:lang w:val="en-US" w:eastAsia="zh-CN"/>
        </w:rPr>
        <w:t>160</w:t>
      </w:r>
      <w:r>
        <w:rPr>
          <w:rFonts w:hint="eastAsia" w:ascii="仿宋_GB2312" w:hAnsi="仿宋_GB2312" w:eastAsia="仿宋_GB2312" w:cs="仿宋_GB2312"/>
          <w:sz w:val="32"/>
          <w:szCs w:val="32"/>
          <w:u w:val="none"/>
        </w:rPr>
        <w:t>条。其中，通知公告</w:t>
      </w: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u w:val="none"/>
        </w:rPr>
        <w:t>条，规划计划1条，人事信息</w:t>
      </w: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u w:val="none"/>
        </w:rPr>
        <w:t>条，财政信息</w:t>
      </w: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u w:val="none"/>
        </w:rPr>
        <w:t>条，行政权力2条，建议提案</w:t>
      </w:r>
      <w:r>
        <w:rPr>
          <w:rFonts w:hint="eastAsia" w:ascii="仿宋_GB2312" w:hAnsi="仿宋_GB2312" w:eastAsia="仿宋_GB2312" w:cs="仿宋_GB2312"/>
          <w:sz w:val="32"/>
          <w:szCs w:val="32"/>
          <w:u w:val="none"/>
          <w:lang w:val="en-US" w:eastAsia="zh-CN"/>
        </w:rPr>
        <w:t>23</w:t>
      </w:r>
      <w:r>
        <w:rPr>
          <w:rFonts w:hint="eastAsia" w:ascii="仿宋_GB2312" w:hAnsi="仿宋_GB2312" w:eastAsia="仿宋_GB2312" w:cs="仿宋_GB2312"/>
          <w:sz w:val="32"/>
          <w:szCs w:val="32"/>
          <w:u w:val="none"/>
        </w:rPr>
        <w:t>条，重点领域</w:t>
      </w:r>
      <w:r>
        <w:rPr>
          <w:rFonts w:hint="eastAsia" w:ascii="仿宋_GB2312" w:hAnsi="仿宋_GB2312" w:eastAsia="仿宋_GB2312" w:cs="仿宋_GB2312"/>
          <w:sz w:val="32"/>
          <w:szCs w:val="32"/>
          <w:u w:val="none"/>
          <w:lang w:val="en-US" w:eastAsia="zh-CN"/>
        </w:rPr>
        <w:t>97</w:t>
      </w:r>
      <w:r>
        <w:rPr>
          <w:rFonts w:hint="eastAsia" w:ascii="仿宋_GB2312" w:hAnsi="仿宋_GB2312" w:eastAsia="仿宋_GB2312" w:cs="仿宋_GB2312"/>
          <w:sz w:val="32"/>
          <w:szCs w:val="32"/>
          <w:u w:val="none"/>
        </w:rPr>
        <w:t>条（包括政府工作报告</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条、行政执法公示</w:t>
      </w:r>
      <w:r>
        <w:rPr>
          <w:rFonts w:hint="eastAsia" w:ascii="仿宋_GB2312" w:hAnsi="仿宋_GB2312" w:eastAsia="仿宋_GB2312" w:cs="仿宋_GB2312"/>
          <w:sz w:val="32"/>
          <w:szCs w:val="32"/>
          <w:u w:val="none"/>
          <w:lang w:val="en-US" w:eastAsia="zh-CN"/>
        </w:rPr>
        <w:t>20</w:t>
      </w:r>
      <w:r>
        <w:rPr>
          <w:rFonts w:hint="eastAsia" w:ascii="仿宋_GB2312" w:hAnsi="仿宋_GB2312" w:eastAsia="仿宋_GB2312" w:cs="仿宋_GB2312"/>
          <w:sz w:val="32"/>
          <w:szCs w:val="32"/>
          <w:u w:val="none"/>
        </w:rPr>
        <w:t>条、“双随机、一公开”监管</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条、社会保险15条、稳岗就业</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5条），组织管理</w:t>
      </w: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u w:val="none"/>
        </w:rPr>
        <w:t>条，政务公开基本目录</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条。</w:t>
      </w:r>
      <w:r>
        <w:rPr>
          <w:rFonts w:hint="eastAsia" w:ascii="仿宋_GB2312" w:hAnsi="仿宋_GB2312" w:eastAsia="仿宋_GB2312" w:cs="仿宋_GB2312"/>
          <w:sz w:val="32"/>
          <w:szCs w:val="32"/>
          <w:lang w:eastAsia="zh-CN"/>
        </w:rPr>
        <w:t>人社局和下属单位社保中心分别</w:t>
      </w:r>
      <w:r>
        <w:rPr>
          <w:rFonts w:hint="eastAsia" w:ascii="仿宋_GB2312" w:hAnsi="仿宋_GB2312" w:eastAsia="仿宋_GB2312" w:cs="仿宋_GB2312"/>
          <w:sz w:val="32"/>
          <w:szCs w:val="32"/>
        </w:rPr>
        <w:t>参加</w:t>
      </w:r>
      <w:r>
        <w:rPr>
          <w:rFonts w:hint="eastAsia" w:ascii="仿宋_GB2312" w:hAnsi="仿宋_GB2312" w:eastAsia="仿宋_GB2312" w:cs="仿宋_GB2312"/>
          <w:sz w:val="32"/>
          <w:szCs w:val="32"/>
          <w:lang w:eastAsia="zh-CN"/>
        </w:rPr>
        <w:t>政风行风热线</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期。</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lang w:eastAsia="zh-CN"/>
        </w:rPr>
        <w:t>依申请公开方面：</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年1月1日至12月31日，</w:t>
      </w:r>
      <w:r>
        <w:rPr>
          <w:rFonts w:hint="eastAsia" w:ascii="仿宋_GB2312" w:hAnsi="仿宋_GB2312" w:eastAsia="仿宋_GB2312" w:cs="仿宋_GB2312"/>
          <w:sz w:val="32"/>
          <w:szCs w:val="32"/>
          <w:u w:val="none"/>
        </w:rPr>
        <w:t>我局</w:t>
      </w:r>
      <w:r>
        <w:rPr>
          <w:rFonts w:hint="eastAsia" w:ascii="仿宋_GB2312" w:hAnsi="仿宋_GB2312" w:eastAsia="仿宋_GB2312" w:cs="仿宋_GB2312"/>
          <w:sz w:val="32"/>
          <w:szCs w:val="32"/>
          <w:u w:val="none"/>
          <w:lang w:eastAsia="zh-CN"/>
        </w:rPr>
        <w:t>未</w:t>
      </w:r>
      <w:r>
        <w:rPr>
          <w:rFonts w:hint="eastAsia" w:ascii="仿宋_GB2312" w:hAnsi="仿宋_GB2312" w:eastAsia="仿宋_GB2312" w:cs="仿宋_GB2312"/>
          <w:sz w:val="32"/>
          <w:szCs w:val="32"/>
          <w:u w:val="none"/>
        </w:rPr>
        <w:t>受理政府信息公开申请请求</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审结2021年政府信息公开</w:t>
      </w:r>
      <w:r>
        <w:rPr>
          <w:rFonts w:hint="eastAsia" w:ascii="仿宋_GB2312" w:hAnsi="仿宋_GB2312" w:eastAsia="仿宋_GB2312" w:cs="仿宋_GB2312"/>
          <w:sz w:val="32"/>
          <w:szCs w:val="32"/>
          <w:u w:val="none"/>
        </w:rPr>
        <w:t>行政诉讼</w:t>
      </w:r>
      <w:r>
        <w:rPr>
          <w:rFonts w:hint="eastAsia" w:ascii="仿宋_GB2312" w:hAnsi="仿宋_GB2312" w:eastAsia="仿宋_GB2312" w:cs="仿宋_GB2312"/>
          <w:sz w:val="32"/>
          <w:szCs w:val="32"/>
          <w:u w:val="none"/>
          <w:lang w:val="en-US" w:eastAsia="zh-CN"/>
        </w:rPr>
        <w:t>2起，结果维持2起</w:t>
      </w:r>
      <w:r>
        <w:rPr>
          <w:rFonts w:hint="eastAsia" w:ascii="仿宋_GB2312" w:hAnsi="仿宋_GB2312" w:eastAsia="仿宋_GB2312" w:cs="仿宋_GB2312"/>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（三）政府信息管理方面：</w:t>
      </w:r>
      <w:r>
        <w:rPr>
          <w:rFonts w:hint="eastAsia" w:ascii="仿宋_GB2312" w:hAnsi="仿宋_GB2312" w:eastAsia="仿宋_GB2312" w:cs="仿宋_GB2312"/>
          <w:sz w:val="32"/>
          <w:szCs w:val="32"/>
        </w:rPr>
        <w:t>一是强化组织领导。成立了以局主要负责同志为组长，各室</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单位主要负责同志为成员的政务公开领导小组，下设办公室，专人负责政务公开日常工作，形成全局上下联动、整体推进的工作体系。二是强化</w:t>
      </w:r>
      <w:r>
        <w:rPr>
          <w:rFonts w:hint="eastAsia" w:ascii="仿宋_GB2312" w:hAnsi="仿宋_GB2312" w:eastAsia="仿宋_GB2312" w:cs="仿宋_GB2312"/>
          <w:sz w:val="32"/>
          <w:szCs w:val="32"/>
          <w:lang w:eastAsia="zh-CN"/>
        </w:rPr>
        <w:t>网站</w:t>
      </w:r>
      <w:r>
        <w:rPr>
          <w:rFonts w:hint="eastAsia" w:ascii="仿宋_GB2312" w:hAnsi="仿宋_GB2312" w:eastAsia="仿宋_GB2312" w:cs="仿宋_GB2312"/>
          <w:sz w:val="32"/>
          <w:szCs w:val="32"/>
        </w:rPr>
        <w:t>建设。明确政务公开的任务分工和网站的栏目内容分工</w:t>
      </w:r>
      <w:r>
        <w:rPr>
          <w:rFonts w:hint="eastAsia" w:ascii="仿宋_GB2312" w:hAnsi="仿宋_GB2312" w:eastAsia="仿宋_GB2312" w:cs="仿宋_GB2312"/>
          <w:sz w:val="32"/>
          <w:szCs w:val="32"/>
          <w:lang w:eastAsia="zh-CN"/>
        </w:rPr>
        <w:t>，明确专人专职做好政务公开工作，确保重要信息第一时间更新</w:t>
      </w:r>
      <w:r>
        <w:rPr>
          <w:rFonts w:hint="eastAsia" w:ascii="仿宋_GB2312" w:hAnsi="仿宋_GB2312" w:eastAsia="仿宋_GB2312" w:cs="仿宋_GB2312"/>
          <w:sz w:val="32"/>
          <w:szCs w:val="32"/>
        </w:rPr>
        <w:t>。三是强化队伍建设。组织</w:t>
      </w:r>
      <w:r>
        <w:rPr>
          <w:rFonts w:hint="eastAsia" w:ascii="仿宋_GB2312" w:hAnsi="仿宋_GB2312" w:eastAsia="仿宋_GB2312" w:cs="仿宋_GB2312"/>
          <w:sz w:val="32"/>
          <w:szCs w:val="32"/>
          <w:lang w:eastAsia="zh-CN"/>
        </w:rPr>
        <w:t>召开</w:t>
      </w:r>
      <w:r>
        <w:rPr>
          <w:rFonts w:hint="eastAsia" w:ascii="仿宋_GB2312" w:hAnsi="仿宋_GB2312" w:eastAsia="仿宋_GB2312" w:cs="仿宋_GB2312"/>
          <w:sz w:val="32"/>
          <w:szCs w:val="32"/>
        </w:rPr>
        <w:t>政务公开业务培训会</w:t>
      </w:r>
      <w:r>
        <w:rPr>
          <w:rFonts w:hint="eastAsia" w:ascii="仿宋_GB2312" w:hAnsi="仿宋_GB2312" w:eastAsia="仿宋_GB2312" w:cs="仿宋_GB2312"/>
          <w:sz w:val="32"/>
          <w:szCs w:val="32"/>
          <w:lang w:eastAsia="zh-CN"/>
        </w:rPr>
        <w:t>，切实做好日常学习交流，及时向上级政务公开工作部门请教，</w:t>
      </w:r>
      <w:r>
        <w:rPr>
          <w:rFonts w:hint="eastAsia" w:ascii="仿宋_GB2312" w:hAnsi="仿宋_GB2312" w:eastAsia="仿宋_GB2312" w:cs="仿宋_GB2312"/>
          <w:sz w:val="32"/>
          <w:szCs w:val="32"/>
        </w:rPr>
        <w:t xml:space="preserve">业务能力明显提高。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（四）政府信息公开平台建设方面：</w:t>
      </w:r>
      <w:r>
        <w:rPr>
          <w:rFonts w:hint="eastAsia" w:ascii="仿宋_GB2312" w:hAnsi="仿宋_GB2312" w:eastAsia="仿宋_GB2312" w:cs="仿宋_GB2312"/>
          <w:sz w:val="32"/>
          <w:szCs w:val="32"/>
        </w:rPr>
        <w:t>一是打造人社政策宣传矩阵。以宣传人社政策为目标，以打造政策宣传矩阵为手段，全力扩大政策知晓范围。</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年，在各级报纸、杂志、政务新媒体等平台发布信息稿件</w:t>
      </w:r>
      <w:r>
        <w:rPr>
          <w:rFonts w:hint="eastAsia" w:ascii="仿宋_GB2312" w:hAnsi="仿宋_GB2312" w:eastAsia="仿宋_GB2312" w:cs="仿宋_GB2312"/>
          <w:sz w:val="32"/>
          <w:szCs w:val="32"/>
          <w:lang w:val="en-US" w:eastAsia="zh-CN"/>
        </w:rPr>
        <w:t>160</w:t>
      </w:r>
      <w:r>
        <w:rPr>
          <w:rFonts w:hint="eastAsia" w:ascii="仿宋_GB2312" w:hAnsi="仿宋_GB2312" w:eastAsia="仿宋_GB2312" w:cs="仿宋_GB2312"/>
          <w:sz w:val="32"/>
          <w:szCs w:val="32"/>
        </w:rPr>
        <w:t>余篇。二是依托网站推进互联网公开。全年对外宣传信息</w:t>
      </w:r>
      <w:r>
        <w:rPr>
          <w:rFonts w:hint="eastAsia" w:ascii="仿宋_GB2312" w:hAnsi="仿宋_GB2312" w:eastAsia="仿宋_GB2312" w:cs="仿宋_GB2312"/>
          <w:sz w:val="32"/>
          <w:szCs w:val="32"/>
          <w:lang w:val="en-US" w:eastAsia="zh-CN"/>
        </w:rPr>
        <w:t>550</w:t>
      </w:r>
      <w:r>
        <w:rPr>
          <w:rFonts w:hint="eastAsia" w:ascii="仿宋_GB2312" w:hAnsi="仿宋_GB2312" w:eastAsia="仿宋_GB2312" w:cs="仿宋_GB2312"/>
          <w:sz w:val="32"/>
          <w:szCs w:val="32"/>
        </w:rPr>
        <w:t>条，其中网站</w:t>
      </w:r>
      <w:r>
        <w:rPr>
          <w:rFonts w:hint="eastAsia" w:ascii="仿宋_GB2312" w:hAnsi="仿宋_GB2312" w:eastAsia="仿宋_GB2312" w:cs="仿宋_GB2312"/>
          <w:sz w:val="32"/>
          <w:szCs w:val="32"/>
          <w:lang w:val="en-US" w:eastAsia="zh-CN"/>
        </w:rPr>
        <w:t>440</w:t>
      </w:r>
      <w:r>
        <w:rPr>
          <w:rFonts w:hint="eastAsia" w:ascii="仿宋_GB2312" w:hAnsi="仿宋_GB2312" w:eastAsia="仿宋_GB2312" w:cs="仿宋_GB2312"/>
          <w:sz w:val="32"/>
          <w:szCs w:val="32"/>
        </w:rPr>
        <w:t>条、微信公众号</w:t>
      </w: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滕州</w:t>
      </w:r>
      <w:r>
        <w:rPr>
          <w:rFonts w:hint="eastAsia" w:ascii="仿宋_GB2312" w:hAnsi="仿宋_GB2312" w:eastAsia="仿宋_GB2312" w:cs="仿宋_GB2312"/>
          <w:sz w:val="32"/>
          <w:szCs w:val="32"/>
        </w:rPr>
        <w:t>人社微信公众号关注量到</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年底</w:t>
      </w:r>
      <w:r>
        <w:rPr>
          <w:rFonts w:hint="eastAsia" w:ascii="仿宋_GB2312" w:hAnsi="仿宋_GB2312" w:eastAsia="仿宋_GB2312" w:cs="仿宋_GB2312"/>
          <w:sz w:val="32"/>
          <w:szCs w:val="32"/>
          <w:lang w:eastAsia="zh-CN"/>
        </w:rPr>
        <w:t>突破</w:t>
      </w:r>
      <w:r>
        <w:rPr>
          <w:rFonts w:hint="eastAsia" w:ascii="仿宋_GB2312" w:hAnsi="仿宋_GB2312" w:eastAsia="仿宋_GB2312" w:cs="仿宋_GB2312"/>
          <w:sz w:val="32"/>
          <w:szCs w:val="32"/>
          <w:lang w:val="en-US" w:eastAsia="zh-CN"/>
        </w:rPr>
        <w:t>25.55</w:t>
      </w:r>
      <w:r>
        <w:rPr>
          <w:rFonts w:hint="eastAsia" w:ascii="仿宋_GB2312" w:hAnsi="仿宋_GB2312" w:eastAsia="仿宋_GB2312" w:cs="仿宋_GB2312"/>
          <w:sz w:val="32"/>
          <w:szCs w:val="32"/>
        </w:rPr>
        <w:t>万人，</w:t>
      </w:r>
      <w:r>
        <w:rPr>
          <w:rFonts w:hint="eastAsia" w:ascii="仿宋_GB2312" w:hAnsi="仿宋_GB2312" w:eastAsia="仿宋_GB2312" w:cs="仿宋_GB2312"/>
          <w:sz w:val="32"/>
          <w:szCs w:val="32"/>
          <w:lang w:eastAsia="zh-CN"/>
        </w:rPr>
        <w:t>年度累计阅读量突破</w:t>
      </w:r>
      <w:r>
        <w:rPr>
          <w:rFonts w:hint="eastAsia" w:ascii="仿宋_GB2312" w:hAnsi="仿宋_GB2312" w:eastAsia="仿宋_GB2312" w:cs="仿宋_GB2312"/>
          <w:sz w:val="32"/>
          <w:szCs w:val="32"/>
          <w:lang w:val="en-US" w:eastAsia="zh-CN"/>
        </w:rPr>
        <w:t>136万人次</w:t>
      </w:r>
      <w:r>
        <w:rPr>
          <w:rFonts w:hint="eastAsia" w:ascii="仿宋_GB2312" w:hAnsi="仿宋_GB2312" w:eastAsia="仿宋_GB2312" w:cs="仿宋_GB2312"/>
          <w:sz w:val="32"/>
          <w:szCs w:val="32"/>
        </w:rPr>
        <w:t>。三是用好</w:t>
      </w:r>
      <w:r>
        <w:rPr>
          <w:rFonts w:hint="eastAsia" w:ascii="仿宋_GB2312" w:hAnsi="仿宋_GB2312" w:eastAsia="仿宋_GB2312" w:cs="仿宋_GB2312"/>
          <w:sz w:val="32"/>
          <w:szCs w:val="32"/>
          <w:lang w:eastAsia="zh-CN"/>
        </w:rPr>
        <w:t>政风行风热线和</w:t>
      </w:r>
      <w:r>
        <w:rPr>
          <w:rFonts w:hint="eastAsia" w:ascii="仿宋_GB2312" w:hAnsi="仿宋_GB2312" w:eastAsia="仿宋_GB2312" w:cs="仿宋_GB2312"/>
          <w:sz w:val="32"/>
          <w:szCs w:val="32"/>
        </w:rPr>
        <w:t>“政府开放日”</w:t>
      </w:r>
      <w:r>
        <w:rPr>
          <w:rFonts w:hint="eastAsia" w:ascii="仿宋_GB2312" w:hAnsi="仿宋_GB2312" w:eastAsia="仿宋_GB2312" w:cs="仿宋_GB2312"/>
          <w:sz w:val="32"/>
          <w:szCs w:val="32"/>
          <w:lang w:eastAsia="zh-CN"/>
        </w:rPr>
        <w:t>平台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参加政风行风热线</w:t>
      </w:r>
      <w:r>
        <w:rPr>
          <w:rFonts w:hint="eastAsia" w:ascii="仿宋_GB2312" w:hAnsi="仿宋_GB2312" w:eastAsia="仿宋_GB2312" w:cs="仿宋_GB2312"/>
          <w:sz w:val="32"/>
          <w:szCs w:val="32"/>
        </w:rPr>
        <w:t>2次，</w:t>
      </w:r>
      <w:r>
        <w:rPr>
          <w:rFonts w:hint="eastAsia" w:ascii="仿宋_GB2312" w:hAnsi="仿宋_GB2312" w:eastAsia="仿宋_GB2312" w:cs="仿宋_GB2312"/>
          <w:sz w:val="32"/>
          <w:szCs w:val="32"/>
          <w:lang w:eastAsia="zh-CN"/>
        </w:rPr>
        <w:t>介绍人社工作和政策落实情况，解答听众咨询疑问；</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日，开展政府开放日活动，参观</w:t>
      </w:r>
      <w:r>
        <w:rPr>
          <w:rFonts w:hint="eastAsia" w:ascii="仿宋_GB2312" w:hAnsi="仿宋_GB2312" w:eastAsia="仿宋_GB2312" w:cs="仿宋_GB2312"/>
          <w:sz w:val="32"/>
          <w:szCs w:val="32"/>
          <w:lang w:eastAsia="zh-CN"/>
        </w:rPr>
        <w:t>服务大厅和项目</w:t>
      </w:r>
      <w:r>
        <w:rPr>
          <w:rFonts w:hint="eastAsia" w:ascii="仿宋_GB2312" w:hAnsi="仿宋_GB2312" w:eastAsia="仿宋_GB2312" w:cs="仿宋_GB2312"/>
          <w:sz w:val="32"/>
          <w:szCs w:val="32"/>
        </w:rPr>
        <w:t>现场</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（五）监督保障方面：</w:t>
      </w:r>
      <w:r>
        <w:rPr>
          <w:rFonts w:hint="eastAsia" w:ascii="仿宋_GB2312" w:hAnsi="仿宋_GB2312" w:eastAsia="仿宋_GB2312" w:cs="仿宋_GB2312"/>
          <w:sz w:val="32"/>
          <w:szCs w:val="32"/>
        </w:rPr>
        <w:t>认真贯彻落实政府信息公开条例，落实信息公开相关工作规定，制定完善的信息公开制度，依法推进、指导、协调、监督本行政区域政府信息公开工作职能，加强政务公开机构建设、专职人员配备和经费保障。持续加大监督保障力度，将年度信息公开推进情况纳入</w:t>
      </w:r>
      <w:r>
        <w:rPr>
          <w:rFonts w:hint="eastAsia" w:ascii="仿宋_GB2312" w:hAnsi="仿宋_GB2312" w:eastAsia="仿宋_GB2312" w:cs="仿宋_GB2312"/>
          <w:sz w:val="32"/>
          <w:szCs w:val="32"/>
          <w:lang w:eastAsia="zh-CN"/>
        </w:rPr>
        <w:t>机关科室和下属单位</w:t>
      </w:r>
      <w:r>
        <w:rPr>
          <w:rFonts w:hint="eastAsia" w:ascii="仿宋_GB2312" w:hAnsi="仿宋_GB2312" w:eastAsia="仿宋_GB2312" w:cs="仿宋_GB2312"/>
          <w:sz w:val="32"/>
          <w:szCs w:val="32"/>
        </w:rPr>
        <w:t>绩效考核范围。</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年，未发生因政府信息公开审查不当或保密审查机构未履行保密审查职责而引起的失泄密情况。</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Calibri" w:eastAsia="仿宋_GB2312" w:cs="Calibri"/>
                <w:color w:val="000000"/>
                <w:kern w:val="0"/>
                <w:szCs w:val="21"/>
              </w:rPr>
            </w:pPr>
            <w:r>
              <w:rPr>
                <w:rFonts w:hint="eastAsia" w:ascii="仿宋_GB2312" w:eastAsia="仿宋_GB2312" w:cs="Calibri"/>
                <w:color w:val="000000"/>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Calibri" w:eastAsia="仿宋_GB2312" w:cs="Calibri"/>
                <w:color w:val="000000"/>
                <w:kern w:val="0"/>
                <w:szCs w:val="21"/>
              </w:rPr>
            </w:pPr>
            <w:r>
              <w:rPr>
                <w:rFonts w:hint="eastAsia" w:ascii="仿宋_GB2312" w:eastAsia="仿宋_GB2312" w:cs="Calibri"/>
                <w:color w:val="000000"/>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Calibri" w:eastAsia="仿宋_GB2312" w:cs="Calibri"/>
                <w:color w:val="000000"/>
                <w:kern w:val="0"/>
                <w:szCs w:val="21"/>
              </w:rPr>
            </w:pPr>
            <w:r>
              <w:rPr>
                <w:rFonts w:hint="eastAsia" w:ascii="仿宋_GB2312" w:eastAsia="仿宋_GB2312" w:cs="Calibri"/>
                <w:color w:val="000000"/>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18</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Calibri" w:eastAsia="仿宋_GB2312" w:cs="Calibri"/>
                <w:color w:val="000000"/>
                <w:kern w:val="0"/>
                <w:szCs w:val="21"/>
              </w:rPr>
            </w:pPr>
            <w:r>
              <w:rPr>
                <w:rFonts w:hint="eastAsia" w:ascii="仿宋_GB2312" w:hAnsi="Calibri" w:eastAsia="仿宋_GB2312" w:cs="Calibri"/>
                <w:color w:val="000000"/>
                <w:kern w:val="0"/>
                <w:szCs w:val="21"/>
                <w:lang w:val="en-US" w:eastAsia="zh-CN"/>
              </w:rPr>
              <w:t xml:space="preserve">   66.07975</w:t>
            </w:r>
          </w:p>
        </w:tc>
      </w:tr>
    </w:tbl>
    <w:p>
      <w:pPr>
        <w:keepNext w:val="0"/>
        <w:keepLines w:val="0"/>
        <w:pageBreakBefore w:val="0"/>
        <w:numPr>
          <w:numId w:val="0"/>
        </w:numPr>
        <w:tabs>
          <w:tab w:val="left" w:pos="460"/>
        </w:tabs>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sz w:val="32"/>
          <w:szCs w:val="32"/>
        </w:rPr>
      </w:pPr>
      <w:bookmarkStart w:id="10" w:name="_GoBack"/>
      <w:bookmarkEnd w:id="10"/>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收到和处理政府信息公开申请情况</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90"/>
        <w:gridCol w:w="1650"/>
        <w:gridCol w:w="2685"/>
        <w:gridCol w:w="897"/>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25" w:type="dxa"/>
            <w:gridSpan w:val="3"/>
            <w:vMerge w:val="restart"/>
            <w:tcMar>
              <w:left w:w="108" w:type="dxa"/>
              <w:right w:w="108" w:type="dxa"/>
            </w:tcMar>
            <w:vAlign w:val="center"/>
          </w:tcPr>
          <w:p>
            <w:pPr>
              <w:widowControl/>
              <w:spacing w:line="300" w:lineRule="exact"/>
              <w:jc w:val="center"/>
              <w:rPr>
                <w:rFonts w:hint="eastAsia" w:ascii="楷体_GB2312" w:hAnsi="楷体_GB2312" w:eastAsia="楷体_GB2312" w:cs="楷体_GB2312"/>
                <w:kern w:val="0"/>
                <w:szCs w:val="21"/>
              </w:rPr>
            </w:pPr>
            <w:r>
              <w:rPr>
                <w:rFonts w:hint="eastAsia" w:ascii="楷体_GB2312" w:hAnsi="楷体_GB2312" w:eastAsia="楷体_GB2312" w:cs="楷体_GB2312"/>
                <w:kern w:val="0"/>
                <w:szCs w:val="21"/>
              </w:rPr>
              <w:t>（本列数据的勾稽关系为：第一项加第二项之和，</w:t>
            </w:r>
          </w:p>
          <w:p>
            <w:pPr>
              <w:widowControl/>
              <w:spacing w:line="300" w:lineRule="exact"/>
              <w:jc w:val="center"/>
              <w:rPr>
                <w:rFonts w:ascii="仿宋_GB2312" w:hAnsi="Times New Roman" w:eastAsia="仿宋_GB2312"/>
                <w:szCs w:val="21"/>
              </w:rPr>
            </w:pPr>
            <w:r>
              <w:rPr>
                <w:rFonts w:hint="eastAsia" w:ascii="楷体_GB2312" w:hAnsi="楷体_GB2312" w:eastAsia="楷体_GB2312" w:cs="楷体_GB2312"/>
                <w:kern w:val="0"/>
                <w:szCs w:val="21"/>
              </w:rPr>
              <w:t>等于第三项加第四项之和）</w:t>
            </w:r>
          </w:p>
        </w:tc>
        <w:tc>
          <w:tcPr>
            <w:tcW w:w="4888" w:type="dxa"/>
            <w:gridSpan w:val="7"/>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25"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_GB2312" w:hAnsi="Times New Roman" w:eastAsia="仿宋_GB2312"/>
                <w:szCs w:val="21"/>
              </w:rPr>
            </w:pPr>
          </w:p>
        </w:tc>
        <w:tc>
          <w:tcPr>
            <w:tcW w:w="897"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黑体" w:hAnsi="黑体" w:eastAsia="黑体"/>
                <w:szCs w:val="21"/>
              </w:rPr>
            </w:pPr>
            <w:r>
              <w:rPr>
                <w:rFonts w:hint="eastAsia" w:ascii="黑体" w:hAnsi="黑体" w:eastAsia="黑体"/>
                <w:kern w:val="0"/>
                <w:szCs w:val="21"/>
              </w:rPr>
              <w:t>自然人</w:t>
            </w:r>
          </w:p>
        </w:tc>
        <w:tc>
          <w:tcPr>
            <w:tcW w:w="3140"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黑体" w:hAnsi="黑体" w:eastAsia="黑体"/>
                <w:szCs w:val="21"/>
              </w:rPr>
            </w:pPr>
            <w:r>
              <w:rPr>
                <w:rFonts w:hint="eastAsia" w:ascii="黑体" w:hAnsi="黑体" w:eastAsia="黑体"/>
                <w:kern w:val="0"/>
                <w:szCs w:val="21"/>
              </w:rPr>
              <w:t>法人或其他组织</w:t>
            </w:r>
          </w:p>
        </w:tc>
        <w:tc>
          <w:tcPr>
            <w:tcW w:w="851"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5025"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_GB2312" w:hAnsi="Times New Roman" w:eastAsia="仿宋_GB2312"/>
                <w:szCs w:val="21"/>
              </w:rPr>
            </w:pPr>
          </w:p>
        </w:tc>
        <w:tc>
          <w:tcPr>
            <w:tcW w:w="897"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黑体" w:hAnsi="黑体" w:eastAsia="黑体"/>
                <w:szCs w:val="21"/>
              </w:rPr>
            </w:pPr>
          </w:p>
        </w:tc>
        <w:tc>
          <w:tcPr>
            <w:tcW w:w="56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106" w:leftChars="-51" w:right="-107" w:rightChars="-51" w:hanging="1"/>
              <w:jc w:val="center"/>
              <w:textAlignment w:val="auto"/>
              <w:rPr>
                <w:rFonts w:ascii="黑体" w:hAnsi="黑体" w:eastAsia="黑体"/>
                <w:szCs w:val="21"/>
              </w:rPr>
            </w:pPr>
            <w:r>
              <w:rPr>
                <w:rFonts w:hint="eastAsia" w:ascii="黑体" w:hAnsi="黑体" w:eastAsia="黑体"/>
                <w:kern w:val="0"/>
                <w:szCs w:val="21"/>
              </w:rPr>
              <w:t>商业企业</w:t>
            </w:r>
          </w:p>
        </w:tc>
        <w:tc>
          <w:tcPr>
            <w:tcW w:w="56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107" w:leftChars="-51" w:right="-107" w:rightChars="-51"/>
              <w:jc w:val="center"/>
              <w:textAlignment w:val="auto"/>
              <w:rPr>
                <w:rFonts w:ascii="黑体" w:hAnsi="黑体" w:eastAsia="黑体"/>
                <w:szCs w:val="21"/>
              </w:rPr>
            </w:pPr>
            <w:r>
              <w:rPr>
                <w:rFonts w:hint="eastAsia" w:ascii="黑体" w:hAnsi="黑体" w:eastAsia="黑体"/>
                <w:kern w:val="0"/>
                <w:szCs w:val="21"/>
              </w:rPr>
              <w:t>科研机构</w:t>
            </w:r>
          </w:p>
        </w:tc>
        <w:tc>
          <w:tcPr>
            <w:tcW w:w="73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107" w:leftChars="-51" w:right="-107" w:rightChars="-51"/>
              <w:jc w:val="center"/>
              <w:textAlignment w:val="auto"/>
              <w:rPr>
                <w:rFonts w:ascii="黑体" w:hAnsi="黑体" w:eastAsia="黑体"/>
                <w:szCs w:val="21"/>
              </w:rPr>
            </w:pPr>
            <w:r>
              <w:rPr>
                <w:rFonts w:hint="eastAsia" w:ascii="黑体" w:hAnsi="黑体" w:eastAsia="黑体"/>
                <w:kern w:val="0"/>
                <w:szCs w:val="21"/>
              </w:rPr>
              <w:t>社会公益组织</w:t>
            </w:r>
          </w:p>
        </w:tc>
        <w:tc>
          <w:tcPr>
            <w:tcW w:w="70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106" w:leftChars="-51" w:right="-107" w:rightChars="-51" w:hanging="1"/>
              <w:jc w:val="center"/>
              <w:textAlignment w:val="auto"/>
              <w:rPr>
                <w:rFonts w:ascii="黑体" w:hAnsi="黑体" w:eastAsia="黑体"/>
                <w:szCs w:val="21"/>
              </w:rPr>
            </w:pPr>
            <w:r>
              <w:rPr>
                <w:rFonts w:hint="eastAsia" w:ascii="黑体" w:hAnsi="黑体" w:eastAsia="黑体"/>
                <w:kern w:val="0"/>
                <w:szCs w:val="21"/>
              </w:rPr>
              <w:t>法律服务机构</w:t>
            </w:r>
          </w:p>
        </w:tc>
        <w:tc>
          <w:tcPr>
            <w:tcW w:w="56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63" w:leftChars="-30" w:right="-134" w:rightChars="-64"/>
              <w:jc w:val="center"/>
              <w:textAlignment w:val="auto"/>
              <w:rPr>
                <w:rFonts w:ascii="黑体" w:hAnsi="黑体" w:eastAsia="黑体"/>
                <w:szCs w:val="21"/>
              </w:rPr>
            </w:pPr>
            <w:r>
              <w:rPr>
                <w:rFonts w:hint="eastAsia" w:ascii="黑体" w:hAnsi="黑体" w:eastAsia="黑体"/>
                <w:kern w:val="0"/>
                <w:szCs w:val="21"/>
              </w:rPr>
              <w:t>其他</w:t>
            </w:r>
          </w:p>
        </w:tc>
        <w:tc>
          <w:tcPr>
            <w:tcW w:w="851"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25" w:type="dxa"/>
            <w:gridSpan w:val="3"/>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25" w:type="dxa"/>
            <w:gridSpan w:val="3"/>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黑体" w:hAnsi="黑体" w:eastAsia="黑体"/>
                <w:szCs w:val="21"/>
              </w:rPr>
            </w:pPr>
            <w:r>
              <w:rPr>
                <w:rFonts w:hint="eastAsia" w:ascii="黑体" w:hAnsi="黑体" w:eastAsia="黑体"/>
                <w:kern w:val="0"/>
                <w:szCs w:val="21"/>
              </w:rPr>
              <w:t>二、上年结转政府信息公开申请数量</w:t>
            </w:r>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0"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textAlignment w:val="auto"/>
              <w:rPr>
                <w:rFonts w:ascii="黑体" w:hAnsi="黑体" w:eastAsia="黑体"/>
                <w:szCs w:val="21"/>
              </w:rPr>
            </w:pPr>
            <w:r>
              <w:rPr>
                <w:rFonts w:hint="eastAsia" w:ascii="黑体" w:hAnsi="黑体" w:eastAsia="黑体"/>
                <w:kern w:val="0"/>
                <w:szCs w:val="21"/>
              </w:rPr>
              <w:t>三、本年度办理结果</w:t>
            </w:r>
          </w:p>
        </w:tc>
        <w:tc>
          <w:tcPr>
            <w:tcW w:w="4335"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黑体" w:hAnsi="黑体" w:eastAsia="黑体"/>
                <w:szCs w:val="21"/>
              </w:rPr>
            </w:pPr>
            <w:r>
              <w:rPr>
                <w:rFonts w:hint="eastAsia" w:ascii="黑体" w:hAnsi="黑体" w:eastAsia="黑体"/>
                <w:kern w:val="0"/>
                <w:szCs w:val="21"/>
              </w:rPr>
              <w:t>（一）予以公开</w:t>
            </w:r>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4335" w:type="dxa"/>
            <w:gridSpan w:val="2"/>
            <w:tcMar>
              <w:left w:w="108" w:type="dxa"/>
              <w:right w:w="108" w:type="dxa"/>
            </w:tcMar>
            <w:vAlign w:val="center"/>
          </w:tcPr>
          <w:p>
            <w:pPr>
              <w:widowControl/>
              <w:spacing w:line="300" w:lineRule="exact"/>
              <w:jc w:val="left"/>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107" w:leftChars="-51"/>
              <w:textAlignment w:val="auto"/>
              <w:rPr>
                <w:rFonts w:ascii="黑体" w:hAnsi="黑体" w:eastAsia="黑体"/>
                <w:szCs w:val="21"/>
              </w:rPr>
            </w:pPr>
            <w:r>
              <w:rPr>
                <w:rFonts w:hint="eastAsia" w:ascii="黑体" w:hAnsi="黑体" w:eastAsia="黑体"/>
                <w:kern w:val="0"/>
                <w:szCs w:val="21"/>
              </w:rPr>
              <w:t>（三）不予公开</w:t>
            </w:r>
          </w:p>
        </w:tc>
        <w:tc>
          <w:tcPr>
            <w:tcW w:w="26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黑体" w:eastAsia="仿宋_GB2312"/>
                <w:kern w:val="0"/>
                <w:szCs w:val="21"/>
              </w:rPr>
            </w:pPr>
            <w:r>
              <w:rPr>
                <w:rFonts w:hint="eastAsia" w:ascii="仿宋_GB2312" w:hAnsi="黑体" w:eastAsia="仿宋_GB2312"/>
                <w:kern w:val="0"/>
                <w:szCs w:val="21"/>
              </w:rPr>
              <w:t>1.属于国家秘密</w:t>
            </w:r>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26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26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黑体" w:eastAsia="仿宋_GB2312"/>
                <w:kern w:val="0"/>
                <w:szCs w:val="21"/>
              </w:rPr>
            </w:pPr>
            <w:r>
              <w:rPr>
                <w:rFonts w:hint="eastAsia" w:ascii="仿宋_GB2312" w:hAnsi="黑体" w:eastAsia="仿宋_GB2312"/>
                <w:kern w:val="0"/>
                <w:szCs w:val="21"/>
              </w:rPr>
              <w:t>3.危及“三安全一稳定”</w:t>
            </w:r>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26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26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26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26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黑体" w:eastAsia="仿宋_GB2312"/>
                <w:kern w:val="0"/>
                <w:szCs w:val="21"/>
              </w:rPr>
            </w:pPr>
            <w:r>
              <w:rPr>
                <w:rFonts w:hint="eastAsia" w:ascii="仿宋_GB2312" w:hAnsi="黑体" w:eastAsia="仿宋_GB2312"/>
                <w:kern w:val="0"/>
                <w:szCs w:val="21"/>
              </w:rPr>
              <w:t>7.属于行政执法案卷</w:t>
            </w:r>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26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107" w:leftChars="-51"/>
              <w:textAlignment w:val="auto"/>
              <w:rPr>
                <w:rFonts w:ascii="黑体" w:hAnsi="黑体" w:eastAsia="黑体"/>
                <w:szCs w:val="21"/>
              </w:rPr>
            </w:pPr>
            <w:r>
              <w:rPr>
                <w:rFonts w:hint="eastAsia" w:ascii="黑体" w:hAnsi="黑体" w:eastAsia="黑体"/>
                <w:kern w:val="0"/>
                <w:szCs w:val="21"/>
              </w:rPr>
              <w:t>（四）无法提供</w:t>
            </w:r>
          </w:p>
        </w:tc>
        <w:tc>
          <w:tcPr>
            <w:tcW w:w="26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left="-107" w:leftChars="-51"/>
              <w:textAlignment w:val="auto"/>
              <w:rPr>
                <w:rFonts w:ascii="黑体" w:hAnsi="黑体" w:eastAsia="黑体"/>
                <w:szCs w:val="21"/>
              </w:rPr>
            </w:pPr>
          </w:p>
        </w:tc>
        <w:tc>
          <w:tcPr>
            <w:tcW w:w="26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left="-107" w:leftChars="-51"/>
              <w:textAlignment w:val="auto"/>
              <w:rPr>
                <w:rFonts w:ascii="黑体" w:hAnsi="黑体" w:eastAsia="黑体"/>
                <w:szCs w:val="21"/>
              </w:rPr>
            </w:pPr>
          </w:p>
        </w:tc>
        <w:tc>
          <w:tcPr>
            <w:tcW w:w="26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107" w:leftChars="-51"/>
              <w:textAlignment w:val="auto"/>
              <w:rPr>
                <w:rFonts w:ascii="黑体" w:hAnsi="黑体" w:eastAsia="黑体"/>
                <w:szCs w:val="21"/>
              </w:rPr>
            </w:pPr>
            <w:r>
              <w:rPr>
                <w:rFonts w:hint="eastAsia" w:ascii="黑体" w:hAnsi="黑体" w:eastAsia="黑体"/>
                <w:kern w:val="0"/>
                <w:szCs w:val="21"/>
              </w:rPr>
              <w:t>（五）不予处理</w:t>
            </w:r>
          </w:p>
        </w:tc>
        <w:tc>
          <w:tcPr>
            <w:tcW w:w="26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26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黑体" w:eastAsia="仿宋_GB2312"/>
                <w:kern w:val="0"/>
                <w:szCs w:val="21"/>
              </w:rPr>
            </w:pPr>
            <w:r>
              <w:rPr>
                <w:rFonts w:hint="eastAsia" w:ascii="仿宋_GB2312" w:hAnsi="黑体" w:eastAsia="仿宋_GB2312"/>
                <w:kern w:val="0"/>
                <w:szCs w:val="21"/>
              </w:rPr>
              <w:t>2.重复申请</w:t>
            </w:r>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26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黑体" w:eastAsia="仿宋_GB2312"/>
                <w:szCs w:val="21"/>
              </w:rPr>
            </w:pPr>
            <w:r>
              <w:rPr>
                <w:rFonts w:hint="eastAsia" w:ascii="仿宋_GB2312" w:hAnsi="黑体" w:eastAsia="仿宋_GB2312"/>
                <w:kern w:val="0"/>
                <w:szCs w:val="21"/>
              </w:rPr>
              <w:t>3.要求提供公开出版物</w:t>
            </w:r>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2" w:hRule="exact"/>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26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黑体" w:eastAsia="仿宋_GB2312"/>
                <w:szCs w:val="21"/>
              </w:rPr>
            </w:pPr>
            <w:r>
              <w:rPr>
                <w:rFonts w:hint="eastAsia" w:ascii="仿宋_GB2312" w:hAnsi="黑体" w:eastAsia="仿宋_GB2312"/>
                <w:kern w:val="0"/>
                <w:szCs w:val="21"/>
              </w:rPr>
              <w:t>4.无正当理由大量反复申请</w:t>
            </w:r>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2685" w:type="dxa"/>
            <w:tcMar>
              <w:left w:w="108" w:type="dxa"/>
              <w:right w:w="108" w:type="dxa"/>
            </w:tcMar>
            <w:vAlign w:val="center"/>
          </w:tcPr>
          <w:p>
            <w:pPr>
              <w:widowControl/>
              <w:spacing w:line="300" w:lineRule="exact"/>
              <w:rPr>
                <w:rFonts w:hint="eastAsia"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rPr>
                <w:rFonts w:ascii="仿宋_GB2312" w:hAnsi="黑体" w:eastAsia="仿宋_GB2312"/>
                <w:szCs w:val="21"/>
              </w:rPr>
            </w:pPr>
            <w:r>
              <w:rPr>
                <w:rFonts w:hint="eastAsia" w:ascii="仿宋_GB2312" w:hAnsi="黑体" w:eastAsia="仿宋_GB2312"/>
                <w:kern w:val="0"/>
                <w:szCs w:val="21"/>
              </w:rPr>
              <w:t>出具已获取信息</w:t>
            </w:r>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黑体" w:hAnsi="黑体" w:eastAsia="黑体"/>
                <w:kern w:val="0"/>
                <w:szCs w:val="21"/>
              </w:rPr>
            </w:pPr>
            <w:r>
              <w:rPr>
                <w:rFonts w:hint="eastAsia" w:ascii="黑体" w:hAnsi="黑体" w:eastAsia="黑体"/>
                <w:kern w:val="0"/>
                <w:szCs w:val="21"/>
              </w:rPr>
              <w:t>（六）其他处理</w:t>
            </w:r>
          </w:p>
        </w:tc>
        <w:tc>
          <w:tcPr>
            <w:tcW w:w="2685" w:type="dxa"/>
            <w:vAlign w:val="center"/>
          </w:tcPr>
          <w:p>
            <w:pPr>
              <w:widowControl/>
              <w:spacing w:line="300" w:lineRule="exact"/>
              <w:rPr>
                <w:rFonts w:ascii="仿宋_GB2312" w:hAnsi="楷体" w:eastAsia="仿宋_GB2312"/>
              </w:rPr>
            </w:pPr>
            <w:r>
              <w:rPr>
                <w:rFonts w:hint="eastAsia" w:ascii="仿宋_GB2312" w:hAnsi="黑体" w:eastAsia="仿宋_GB2312"/>
                <w:kern w:val="0"/>
                <w:szCs w:val="21"/>
              </w:rPr>
              <w:t>1.申请人无正当理由逾期不补正、行政机关不再处理其政府信息公开申请</w:t>
            </w:r>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黑体" w:hAnsi="黑体" w:eastAsia="黑体"/>
                <w:kern w:val="0"/>
                <w:szCs w:val="21"/>
              </w:rPr>
            </w:pPr>
          </w:p>
        </w:tc>
        <w:tc>
          <w:tcPr>
            <w:tcW w:w="2685" w:type="dxa"/>
            <w:vAlign w:val="center"/>
          </w:tcPr>
          <w:p>
            <w:pPr>
              <w:widowControl/>
              <w:spacing w:line="300" w:lineRule="exact"/>
              <w:rPr>
                <w:rFonts w:hint="eastAsia" w:ascii="仿宋_GB2312" w:hAnsi="黑体" w:eastAsia="仿宋_GB2312"/>
                <w:kern w:val="0"/>
                <w:szCs w:val="21"/>
              </w:rPr>
            </w:pPr>
            <w:r>
              <w:rPr>
                <w:rFonts w:hint="eastAsia" w:ascii="仿宋_GB2312" w:hAnsi="黑体" w:eastAsia="仿宋_GB2312"/>
                <w:kern w:val="0"/>
                <w:szCs w:val="21"/>
              </w:rPr>
              <w:t>2.申请人逾期未按收费通知要求缴纳费用、行政机关不再处理其政府信息公开申请</w:t>
            </w:r>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黑体" w:hAnsi="黑体" w:eastAsia="黑体"/>
                <w:kern w:val="0"/>
                <w:szCs w:val="21"/>
              </w:rPr>
            </w:pPr>
          </w:p>
        </w:tc>
        <w:tc>
          <w:tcPr>
            <w:tcW w:w="2685"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黑体" w:eastAsia="仿宋_GB2312"/>
                <w:kern w:val="0"/>
                <w:szCs w:val="21"/>
              </w:rPr>
            </w:pPr>
            <w:r>
              <w:rPr>
                <w:rFonts w:hint="eastAsia" w:ascii="仿宋_GB2312" w:hAnsi="楷体" w:eastAsia="仿宋_GB2312"/>
              </w:rPr>
              <w:t>3.其他</w:t>
            </w:r>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4335"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黑体" w:hAnsi="黑体" w:eastAsia="黑体"/>
                <w:kern w:val="0"/>
                <w:szCs w:val="21"/>
              </w:rPr>
            </w:pPr>
            <w:r>
              <w:rPr>
                <w:rFonts w:hint="eastAsia" w:ascii="黑体" w:hAnsi="黑体" w:eastAsia="黑体"/>
                <w:kern w:val="0"/>
                <w:szCs w:val="21"/>
              </w:rPr>
              <w:t>（七）总计</w:t>
            </w:r>
          </w:p>
        </w:tc>
        <w:tc>
          <w:tcPr>
            <w:tcW w:w="89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0</w:t>
            </w:r>
          </w:p>
        </w:tc>
        <w:tc>
          <w:tcPr>
            <w:tcW w:w="56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25" w:type="dxa"/>
            <w:gridSpan w:val="3"/>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黑体" w:hAnsi="黑体" w:eastAsia="黑体"/>
                <w:kern w:val="0"/>
                <w:szCs w:val="21"/>
              </w:rPr>
            </w:pPr>
            <w:r>
              <w:rPr>
                <w:rFonts w:hint="eastAsia" w:ascii="黑体" w:hAnsi="黑体" w:eastAsia="黑体"/>
                <w:kern w:val="0"/>
                <w:szCs w:val="21"/>
              </w:rPr>
              <w:t>四、结转下年度继续办理</w:t>
            </w:r>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bl>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67"/>
        <w:gridCol w:w="541"/>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67"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170" w:rightChars="-81"/>
              <w:jc w:val="both"/>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kinsoku/>
              <w:wordWrap/>
              <w:overflowPunct/>
              <w:topLinePunct w:val="0"/>
              <w:autoSpaceDE/>
              <w:autoSpaceDN/>
              <w:bidi w:val="0"/>
              <w:adjustRightInd/>
              <w:snapToGrid/>
              <w:spacing w:line="500" w:lineRule="exact"/>
              <w:ind w:right="-170" w:rightChars="-81"/>
              <w:jc w:val="both"/>
              <w:textAlignment w:val="auto"/>
              <w:rPr>
                <w:rFonts w:ascii="黑体" w:hAnsi="黑体" w:eastAsia="黑体"/>
              </w:rPr>
            </w:pPr>
            <w:r>
              <w:rPr>
                <w:rFonts w:ascii="黑体" w:hAnsi="黑体" w:eastAsia="黑体"/>
                <w:kern w:val="0"/>
                <w:sz w:val="20"/>
                <w:szCs w:val="20"/>
              </w:rPr>
              <w:t>维持</w:t>
            </w:r>
          </w:p>
        </w:tc>
        <w:tc>
          <w:tcPr>
            <w:tcW w:w="541"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43" w:leftChars="-21" w:right="-132" w:rightChars="-63" w:hanging="1"/>
              <w:jc w:val="center"/>
              <w:textAlignment w:val="auto"/>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82" w:leftChars="-39" w:right="-97" w:rightChars="-46"/>
              <w:jc w:val="center"/>
              <w:textAlignment w:val="auto"/>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118" w:rightChars="-56"/>
              <w:jc w:val="both"/>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kinsoku/>
              <w:wordWrap/>
              <w:overflowPunct/>
              <w:topLinePunct w:val="0"/>
              <w:autoSpaceDE/>
              <w:autoSpaceDN/>
              <w:bidi w:val="0"/>
              <w:adjustRightInd/>
              <w:snapToGrid/>
              <w:spacing w:line="500" w:lineRule="exact"/>
              <w:ind w:right="-118" w:rightChars="-56"/>
              <w:jc w:val="both"/>
              <w:textAlignment w:val="auto"/>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ascii="黑体" w:hAnsi="黑体" w:eastAsia="黑体"/>
              </w:rPr>
            </w:pPr>
            <w:r>
              <w:rPr>
                <w:rFonts w:ascii="黑体" w:hAnsi="黑体" w:eastAsia="黑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6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 w:val="24"/>
              </w:rPr>
            </w:pPr>
          </w:p>
        </w:tc>
        <w:tc>
          <w:tcPr>
            <w:tcW w:w="541"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105" w:leftChars="-50" w:right="-126" w:rightChars="-60"/>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86" w:leftChars="-41" w:right="-88" w:rightChars="-42"/>
              <w:jc w:val="center"/>
              <w:textAlignment w:val="auto"/>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136" w:rightChars="-65"/>
              <w:jc w:val="both"/>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kinsoku/>
              <w:wordWrap/>
              <w:overflowPunct/>
              <w:topLinePunct w:val="0"/>
              <w:autoSpaceDE/>
              <w:autoSpaceDN/>
              <w:bidi w:val="0"/>
              <w:adjustRightInd/>
              <w:snapToGrid/>
              <w:spacing w:line="500" w:lineRule="exact"/>
              <w:ind w:right="-136" w:rightChars="-65"/>
              <w:jc w:val="both"/>
              <w:textAlignment w:val="auto"/>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153" w:rightChars="-73"/>
              <w:jc w:val="both"/>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kinsoku/>
              <w:wordWrap/>
              <w:overflowPunct/>
              <w:topLinePunct w:val="0"/>
              <w:autoSpaceDE/>
              <w:autoSpaceDN/>
              <w:bidi w:val="0"/>
              <w:adjustRightInd/>
              <w:snapToGrid/>
              <w:spacing w:line="500" w:lineRule="exact"/>
              <w:ind w:right="-153" w:rightChars="-73"/>
              <w:jc w:val="both"/>
              <w:textAlignment w:val="auto"/>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99" w:leftChars="-47" w:right="-78" w:rightChars="-37"/>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124" w:rightChars="-59"/>
              <w:jc w:val="both"/>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kinsoku/>
              <w:wordWrap/>
              <w:overflowPunct/>
              <w:topLinePunct w:val="0"/>
              <w:autoSpaceDE/>
              <w:autoSpaceDN/>
              <w:bidi w:val="0"/>
              <w:adjustRightInd/>
              <w:snapToGrid/>
              <w:spacing w:line="500" w:lineRule="exact"/>
              <w:ind w:right="-124" w:rightChars="-59"/>
              <w:jc w:val="both"/>
              <w:textAlignment w:val="auto"/>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134" w:rightChars="-64"/>
              <w:jc w:val="both"/>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kinsoku/>
              <w:wordWrap/>
              <w:overflowPunct/>
              <w:topLinePunct w:val="0"/>
              <w:autoSpaceDE/>
              <w:autoSpaceDN/>
              <w:bidi w:val="0"/>
              <w:adjustRightInd/>
              <w:snapToGrid/>
              <w:spacing w:line="500" w:lineRule="exact"/>
              <w:ind w:right="-134" w:rightChars="-64"/>
              <w:jc w:val="both"/>
              <w:textAlignment w:val="auto"/>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67" w:leftChars="-33" w:right="-105" w:rightChars="-50" w:hanging="2" w:hangingChars="1"/>
              <w:jc w:val="center"/>
              <w:textAlignment w:val="auto"/>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hint="default" w:ascii="Times New Roman" w:hAnsi="Times New Roman" w:eastAsia="宋体"/>
                <w:lang w:val="en-US" w:eastAsia="zh-CN"/>
              </w:rPr>
            </w:pPr>
            <w:r>
              <w:rPr>
                <w:rFonts w:hint="eastAsia" w:ascii="Times New Roman" w:hAnsi="Times New Roman" w:eastAsia="宋体"/>
                <w:lang w:val="en-US" w:eastAsia="zh-CN"/>
              </w:rPr>
              <w:t>0</w:t>
            </w:r>
          </w:p>
        </w:tc>
        <w:tc>
          <w:tcPr>
            <w:tcW w:w="541"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Times New Roman" w:hAnsi="Times New Roman" w:eastAsia="宋体"/>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Times New Roman" w:hAnsi="Times New Roman" w:eastAsia="宋体"/>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Times New Roman" w:hAnsi="Times New Roman" w:eastAsia="宋体"/>
              </w:rPr>
            </w:pPr>
            <w:r>
              <w:rPr>
                <w:rFonts w:hint="eastAsia" w:ascii="Times New Roman" w:hAnsi="Times New Roman"/>
              </w:rPr>
              <w:t>0</w:t>
            </w:r>
          </w:p>
        </w:tc>
        <w:tc>
          <w:tcPr>
            <w:tcW w:w="658"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hint="eastAsia" w:ascii="Times New Roman" w:hAnsi="Times New Roman" w:eastAsia="宋体"/>
                <w:lang w:eastAsia="zh-CN"/>
              </w:rPr>
            </w:pPr>
            <w:r>
              <w:rPr>
                <w:rFonts w:hint="eastAsia" w:ascii="Times New Roman" w:hAnsi="Times New Roman" w:eastAsia="宋体"/>
                <w:lang w:val="en-US" w:eastAsia="zh-CN"/>
              </w:rPr>
              <w:t>0</w:t>
            </w:r>
          </w:p>
        </w:tc>
        <w:tc>
          <w:tcPr>
            <w:tcW w:w="5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hint="default" w:ascii="Times New Roman" w:hAnsi="Times New Roman" w:eastAsia="宋体"/>
                <w:lang w:val="en-US" w:eastAsia="zh-CN"/>
              </w:rPr>
            </w:pPr>
            <w:r>
              <w:rPr>
                <w:rFonts w:hint="eastAsia" w:ascii="Times New Roman" w:hAnsi="Times New Roman" w:eastAsia="宋体"/>
                <w:lang w:val="en-US" w:eastAsia="zh-CN"/>
              </w:rPr>
              <w:t>2</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Times New Roman" w:hAnsi="Times New Roman" w:eastAsia="宋体"/>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hint="eastAsia" w:ascii="Times New Roman" w:hAnsi="Times New Roman" w:eastAsia="宋体"/>
                <w:lang w:eastAsia="zh-CN"/>
              </w:rPr>
            </w:pPr>
            <w:r>
              <w:rPr>
                <w:rFonts w:hint="eastAsia" w:ascii="Times New Roman" w:hAnsi="Times New Roman" w:eastAsia="宋体"/>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Times New Roman" w:hAnsi="Times New Roman" w:eastAsia="宋体"/>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hint="default" w:ascii="Times New Roman" w:hAnsi="Times New Roman" w:eastAsia="宋体"/>
                <w:lang w:val="en-US" w:eastAsia="zh-CN"/>
              </w:rPr>
            </w:pPr>
            <w:r>
              <w:rPr>
                <w:rFonts w:hint="eastAsia" w:ascii="Times New Roman" w:hAnsi="Times New Roman" w:eastAsia="宋体"/>
                <w:lang w:val="en-US" w:eastAsia="zh-CN"/>
              </w:rPr>
              <w:t>2</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tabs>
                <w:tab w:val="center" w:pos="254"/>
                <w:tab w:val="left" w:pos="387"/>
              </w:tabs>
              <w:kinsoku/>
              <w:wordWrap/>
              <w:overflowPunct/>
              <w:topLinePunct w:val="0"/>
              <w:autoSpaceDE/>
              <w:autoSpaceDN/>
              <w:bidi w:val="0"/>
              <w:adjustRightInd/>
              <w:snapToGrid/>
              <w:spacing w:after="180" w:line="500" w:lineRule="exact"/>
              <w:jc w:val="left"/>
              <w:textAlignment w:val="auto"/>
              <w:rPr>
                <w:rFonts w:hint="default"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Times New Roman" w:hAnsi="Times New Roman" w:eastAsia="宋体"/>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Times New Roman" w:hAnsi="Times New Roman" w:eastAsia="宋体"/>
              </w:rPr>
            </w:pPr>
            <w:r>
              <w:rPr>
                <w:rFonts w:hint="eastAsia"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Times New Roman" w:hAnsi="Times New Roman" w:eastAsia="宋体"/>
              </w:rPr>
            </w:pPr>
            <w:r>
              <w:rPr>
                <w:rFonts w:hint="eastAsia"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hint="eastAsia" w:ascii="Times New Roman" w:hAnsi="Times New Roman" w:eastAsia="宋体"/>
                <w:lang w:eastAsia="zh-CN"/>
              </w:rPr>
            </w:pPr>
            <w:r>
              <w:rPr>
                <w:rFonts w:hint="eastAsia" w:ascii="Times New Roman" w:hAnsi="Times New Roman" w:eastAsia="宋体"/>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我局政务公开工作虽取得了一定的成效，但也还存在一些问题</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lang w:eastAsia="zh-CN"/>
        </w:rPr>
        <w:t>（一）</w:t>
      </w:r>
      <w:r>
        <w:rPr>
          <w:rFonts w:hint="eastAsia" w:ascii="仿宋_GB2312" w:hAnsi="仿宋_GB2312" w:eastAsia="仿宋_GB2312" w:cs="仿宋_GB2312"/>
          <w:sz w:val="32"/>
          <w:szCs w:val="32"/>
        </w:rPr>
        <w:t>人社部门政务服务信息涉及</w:t>
      </w:r>
      <w:r>
        <w:rPr>
          <w:rFonts w:hint="eastAsia" w:ascii="仿宋_GB2312" w:hAnsi="仿宋_GB2312" w:eastAsia="仿宋_GB2312" w:cs="仿宋_GB2312"/>
          <w:sz w:val="32"/>
          <w:szCs w:val="32"/>
          <w:lang w:eastAsia="zh-CN"/>
        </w:rPr>
        <w:t>点多、</w:t>
      </w:r>
      <w:r>
        <w:rPr>
          <w:rFonts w:hint="eastAsia" w:ascii="仿宋_GB2312" w:hAnsi="仿宋_GB2312" w:eastAsia="仿宋_GB2312" w:cs="仿宋_GB2312"/>
          <w:sz w:val="32"/>
          <w:szCs w:val="32"/>
        </w:rPr>
        <w:t>面</w:t>
      </w:r>
      <w:r>
        <w:rPr>
          <w:rFonts w:hint="eastAsia" w:ascii="仿宋_GB2312" w:hAnsi="仿宋_GB2312" w:eastAsia="仿宋_GB2312" w:cs="仿宋_GB2312"/>
          <w:sz w:val="32"/>
          <w:szCs w:val="32"/>
          <w:lang w:eastAsia="zh-CN"/>
        </w:rPr>
        <w:t>广</w:t>
      </w:r>
      <w:r>
        <w:rPr>
          <w:rFonts w:hint="eastAsia" w:ascii="仿宋_GB2312" w:hAnsi="仿宋_GB2312" w:eastAsia="仿宋_GB2312" w:cs="仿宋_GB2312"/>
          <w:sz w:val="32"/>
          <w:szCs w:val="32"/>
        </w:rPr>
        <w:t>、量大，在及时更新上需要加大力度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网站设置</w:t>
      </w:r>
      <w:r>
        <w:rPr>
          <w:rFonts w:hint="eastAsia" w:ascii="仿宋_GB2312" w:hAnsi="仿宋_GB2312" w:eastAsia="仿宋_GB2312" w:cs="仿宋_GB2312"/>
          <w:sz w:val="32"/>
          <w:szCs w:val="32"/>
          <w:lang w:eastAsia="zh-CN"/>
        </w:rPr>
        <w:t>有待进一步</w:t>
      </w:r>
      <w:r>
        <w:rPr>
          <w:rFonts w:hint="eastAsia" w:ascii="仿宋_GB2312" w:hAnsi="仿宋_GB2312" w:eastAsia="仿宋_GB2312" w:cs="仿宋_GB2312"/>
          <w:sz w:val="32"/>
          <w:szCs w:val="32"/>
        </w:rPr>
        <w:t>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发布平台作用发挥</w:t>
      </w:r>
      <w:r>
        <w:rPr>
          <w:rFonts w:hint="eastAsia" w:ascii="仿宋_GB2312" w:hAnsi="仿宋_GB2312" w:eastAsia="仿宋_GB2312" w:cs="仿宋_GB2312"/>
          <w:sz w:val="32"/>
          <w:szCs w:val="32"/>
          <w:lang w:eastAsia="zh-CN"/>
        </w:rPr>
        <w:t>需要进一步提升</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lang w:eastAsia="zh-CN"/>
        </w:rPr>
        <w:t>（二）</w:t>
      </w:r>
      <w:r>
        <w:rPr>
          <w:rFonts w:hint="eastAsia" w:ascii="仿宋_GB2312" w:hAnsi="仿宋_GB2312" w:eastAsia="仿宋_GB2312" w:cs="仿宋_GB2312"/>
          <w:sz w:val="32"/>
          <w:szCs w:val="32"/>
        </w:rPr>
        <w:t>政策解读</w:t>
      </w:r>
      <w:r>
        <w:rPr>
          <w:rFonts w:hint="eastAsia" w:ascii="仿宋_GB2312" w:hAnsi="仿宋_GB2312" w:eastAsia="仿宋_GB2312" w:cs="仿宋_GB2312"/>
          <w:sz w:val="32"/>
          <w:szCs w:val="32"/>
          <w:lang w:eastAsia="zh-CN"/>
        </w:rPr>
        <w:t>方面仍需加强，</w:t>
      </w:r>
      <w:r>
        <w:rPr>
          <w:rFonts w:hint="eastAsia" w:ascii="仿宋_GB2312" w:hAnsi="仿宋_GB2312" w:eastAsia="仿宋_GB2312" w:cs="仿宋_GB2312"/>
          <w:sz w:val="32"/>
          <w:szCs w:val="32"/>
        </w:rPr>
        <w:t>对部分政策性强的政策文件的解读生动性</w:t>
      </w:r>
      <w:r>
        <w:rPr>
          <w:rFonts w:hint="eastAsia" w:ascii="仿宋_GB2312" w:hAnsi="仿宋_GB2312" w:eastAsia="仿宋_GB2312" w:cs="仿宋_GB2312"/>
          <w:sz w:val="32"/>
          <w:szCs w:val="32"/>
          <w:lang w:eastAsia="zh-CN"/>
        </w:rPr>
        <w:t>、通俗易懂性等方面仍然</w:t>
      </w:r>
      <w:r>
        <w:rPr>
          <w:rFonts w:hint="eastAsia" w:ascii="仿宋_GB2312" w:hAnsi="仿宋_GB2312" w:eastAsia="仿宋_GB2312" w:cs="仿宋_GB2312"/>
          <w:sz w:val="32"/>
          <w:szCs w:val="32"/>
        </w:rPr>
        <w:t>不够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解读形式</w:t>
      </w:r>
      <w:r>
        <w:rPr>
          <w:rFonts w:hint="eastAsia" w:ascii="仿宋_GB2312" w:hAnsi="仿宋_GB2312" w:eastAsia="仿宋_GB2312" w:cs="仿宋_GB2312"/>
          <w:sz w:val="32"/>
          <w:szCs w:val="32"/>
          <w:lang w:eastAsia="zh-CN"/>
        </w:rPr>
        <w:t>对职工居民的吸引度</w:t>
      </w:r>
      <w:r>
        <w:rPr>
          <w:rFonts w:hint="eastAsia" w:ascii="仿宋_GB2312" w:hAnsi="仿宋_GB2312" w:eastAsia="仿宋_GB2312" w:cs="仿宋_GB2312"/>
          <w:sz w:val="32"/>
          <w:szCs w:val="32"/>
        </w:rPr>
        <w:t>不够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视频动画运用</w:t>
      </w:r>
      <w:r>
        <w:rPr>
          <w:rFonts w:hint="eastAsia" w:ascii="仿宋_GB2312" w:hAnsi="仿宋_GB2312" w:eastAsia="仿宋_GB2312" w:cs="仿宋_GB2312"/>
          <w:sz w:val="32"/>
          <w:szCs w:val="32"/>
          <w:lang w:eastAsia="zh-CN"/>
        </w:rPr>
        <w:t>相对</w:t>
      </w:r>
      <w:r>
        <w:rPr>
          <w:rFonts w:hint="eastAsia" w:ascii="仿宋_GB2312" w:hAnsi="仿宋_GB2312" w:eastAsia="仿宋_GB2312" w:cs="仿宋_GB2312"/>
          <w:sz w:val="32"/>
          <w:szCs w:val="32"/>
        </w:rPr>
        <w:t>较少，解读效果有待增强。</w:t>
      </w:r>
      <w:r>
        <w:rPr>
          <w:rFonts w:hint="eastAsia" w:ascii="楷体_GB2312" w:hAnsi="楷体_GB2312" w:eastAsia="楷体_GB2312" w:cs="楷体_GB2312"/>
          <w:sz w:val="32"/>
          <w:szCs w:val="32"/>
          <w:lang w:eastAsia="zh-CN"/>
        </w:rPr>
        <w:t>（三）</w:t>
      </w:r>
      <w:r>
        <w:rPr>
          <w:rFonts w:hint="eastAsia" w:ascii="仿宋_GB2312" w:hAnsi="仿宋_GB2312" w:eastAsia="仿宋_GB2312" w:cs="仿宋_GB2312"/>
          <w:sz w:val="32"/>
          <w:szCs w:val="32"/>
        </w:rPr>
        <w:t>随着信息公开</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的内容越来越多、要求越来越高，专职人员力量</w:t>
      </w:r>
      <w:r>
        <w:rPr>
          <w:rFonts w:hint="eastAsia" w:ascii="仿宋_GB2312" w:hAnsi="仿宋_GB2312" w:eastAsia="仿宋_GB2312" w:cs="仿宋_GB2312"/>
          <w:sz w:val="32"/>
          <w:szCs w:val="32"/>
          <w:lang w:eastAsia="zh-CN"/>
        </w:rPr>
        <w:t>相对</w:t>
      </w:r>
      <w:r>
        <w:rPr>
          <w:rFonts w:hint="eastAsia" w:ascii="仿宋_GB2312" w:hAnsi="仿宋_GB2312" w:eastAsia="仿宋_GB2312" w:cs="仿宋_GB2312"/>
          <w:sz w:val="32"/>
          <w:szCs w:val="32"/>
        </w:rPr>
        <w:t>不足，一定程度上影响了工作</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 xml:space="preserve">高标准落实。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下一步，我局将以深入落实政府信息公开条例为契机，发挥优势，弥补短板，进一步做好政府信息公开工作：</w:t>
      </w:r>
      <w:r>
        <w:rPr>
          <w:rFonts w:hint="eastAsia" w:ascii="楷体_GB2312" w:hAnsi="楷体_GB2312" w:eastAsia="楷体_GB2312" w:cs="楷体_GB2312"/>
          <w:sz w:val="32"/>
          <w:szCs w:val="32"/>
          <w:lang w:eastAsia="zh-CN"/>
        </w:rPr>
        <w:t>（一）强化平台建设。</w:t>
      </w:r>
      <w:r>
        <w:rPr>
          <w:rFonts w:hint="eastAsia" w:ascii="仿宋_GB2312" w:hAnsi="仿宋_GB2312" w:eastAsia="仿宋_GB2312" w:cs="仿宋_GB2312"/>
          <w:sz w:val="32"/>
          <w:szCs w:val="32"/>
        </w:rPr>
        <w:t>按政府办统一部署，继续做好局官网站改版和集约化建设，进一步完善网上政务服务功能，发挥政府网站作为政务公开第一平台的功能和作用。</w:t>
      </w:r>
      <w:r>
        <w:rPr>
          <w:rFonts w:hint="eastAsia" w:ascii="楷体_GB2312" w:hAnsi="楷体_GB2312" w:eastAsia="楷体_GB2312" w:cs="楷体_GB2312"/>
          <w:sz w:val="32"/>
          <w:szCs w:val="32"/>
          <w:lang w:eastAsia="zh-CN"/>
        </w:rPr>
        <w:t>（二）是强化政策解读。</w:t>
      </w:r>
      <w:r>
        <w:rPr>
          <w:rFonts w:hint="eastAsia" w:ascii="仿宋_GB2312" w:hAnsi="仿宋_GB2312" w:eastAsia="仿宋_GB2312" w:cs="仿宋_GB2312"/>
          <w:sz w:val="32"/>
          <w:szCs w:val="32"/>
        </w:rPr>
        <w:t>完善政策解读工作机制，明确解读范围和内容，持续优化解读流程，更多运用图片、图表、图解、视频等生动活泼、喜闻乐见的形式开展解读，力求做到形象直观、清晰准确。</w:t>
      </w:r>
      <w:r>
        <w:rPr>
          <w:rFonts w:hint="eastAsia" w:ascii="楷体_GB2312" w:hAnsi="楷体_GB2312" w:eastAsia="楷体_GB2312" w:cs="楷体_GB2312"/>
          <w:sz w:val="32"/>
          <w:szCs w:val="32"/>
          <w:lang w:eastAsia="zh-CN"/>
        </w:rPr>
        <w:t>（三）强化教育培训。</w:t>
      </w:r>
      <w:r>
        <w:rPr>
          <w:rFonts w:hint="eastAsia" w:ascii="仿宋_GB2312" w:hAnsi="仿宋_GB2312" w:eastAsia="仿宋_GB2312" w:cs="仿宋_GB2312"/>
          <w:sz w:val="32"/>
          <w:szCs w:val="32"/>
        </w:rPr>
        <w:t>全面加强全局政府信息公开工作人员的教育培训，提升信息公开工作队伍</w:t>
      </w:r>
      <w:r>
        <w:rPr>
          <w:rFonts w:hint="eastAsia" w:ascii="仿宋_GB2312" w:hAnsi="仿宋_GB2312" w:eastAsia="仿宋_GB2312" w:cs="仿宋_GB2312"/>
          <w:sz w:val="32"/>
          <w:szCs w:val="32"/>
          <w:lang w:eastAsia="zh-CN"/>
        </w:rPr>
        <w:t>能力</w:t>
      </w:r>
      <w:r>
        <w:rPr>
          <w:rFonts w:hint="eastAsia" w:ascii="仿宋_GB2312" w:hAnsi="仿宋_GB2312" w:eastAsia="仿宋_GB2312" w:cs="仿宋_GB2312"/>
          <w:sz w:val="32"/>
          <w:szCs w:val="32"/>
        </w:rPr>
        <w:t>素质</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提升政府信息公开工作</w:t>
      </w:r>
      <w:r>
        <w:rPr>
          <w:rFonts w:hint="eastAsia" w:ascii="仿宋_GB2312" w:hAnsi="仿宋_GB2312" w:eastAsia="仿宋_GB2312" w:cs="仿宋_GB2312"/>
          <w:sz w:val="32"/>
          <w:szCs w:val="32"/>
          <w:lang w:eastAsia="zh-CN"/>
        </w:rPr>
        <w:t>打牢基础。</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ÃƒÂ¥Ã‚Â¾Ã‚Â®ÃƒÂ¨Ã‚Â½Ã‚Â¯ÃƒÂ©Ã¢â" w:hAnsi="ÃƒÂ¥Ã‚Â¾Ã‚Â®ÃƒÂ¨Ã‚Â½Ã‚Â¯ÃƒÂ©Ã¢â" w:eastAsia="ÃƒÂ¥Ã‚Â¾Ã‚Â®ÃƒÂ¨Ã‚Â½Ã‚Â¯ÃƒÂ©Ã¢â" w:cs="ÃƒÂ¥Ã‚Â¾Ã‚Â®ÃƒÂ¨Ã‚Â½Ã‚Â¯ÃƒÂ©Ã¢â"/>
          <w:i w:val="0"/>
          <w:caps w:val="0"/>
          <w:color w:val="000000"/>
          <w:spacing w:val="0"/>
          <w:sz w:val="19"/>
          <w:szCs w:val="19"/>
        </w:rPr>
      </w:pPr>
      <w:r>
        <w:rPr>
          <w:rFonts w:hint="eastAsia" w:ascii="仿宋_GB2312" w:hAnsi="ÃƒÂ¥Ã‚Â¾Ã‚Â®ÃƒÂ¨Ã‚Â½Ã‚Â¯ÃƒÂ©Ã¢â" w:eastAsia="仿宋_GB2312" w:cs="仿宋_GB2312"/>
          <w:i w:val="0"/>
          <w:caps w:val="0"/>
          <w:color w:val="000000"/>
          <w:spacing w:val="0"/>
          <w:sz w:val="32"/>
          <w:szCs w:val="32"/>
          <w:shd w:val="clear" w:color="auto" w:fill="FFFFFF"/>
          <w:lang w:val="en-US" w:eastAsia="zh-CN"/>
        </w:rPr>
        <w:t>1.</w:t>
      </w:r>
      <w:r>
        <w:rPr>
          <w:rFonts w:hint="eastAsia" w:ascii="仿宋_GB2312" w:hAnsi="ÃƒÂ¥Ã‚Â¾Ã‚Â®ÃƒÂ¨Ã‚Â½Ã‚Â¯ÃƒÂ©Ã¢â" w:eastAsia="仿宋_GB2312" w:cs="仿宋_GB2312"/>
          <w:i w:val="0"/>
          <w:caps w:val="0"/>
          <w:color w:val="000000"/>
          <w:spacing w:val="0"/>
          <w:sz w:val="32"/>
          <w:szCs w:val="32"/>
          <w:shd w:val="clear" w:color="auto" w:fill="FFFFFF"/>
        </w:rPr>
        <w:t>收取信息处理费情况方面。</w:t>
      </w:r>
      <w:r>
        <w:rPr>
          <w:rFonts w:hint="eastAsia" w:ascii="仿宋_GB2312" w:hAnsi="Calibri" w:eastAsia="仿宋_GB2312" w:cs="仿宋_GB2312"/>
          <w:i w:val="0"/>
          <w:caps w:val="0"/>
          <w:color w:val="000000"/>
          <w:spacing w:val="0"/>
          <w:sz w:val="32"/>
          <w:szCs w:val="32"/>
          <w:shd w:val="clear" w:color="auto" w:fill="FFFFFF"/>
        </w:rPr>
        <w:t>2022</w:t>
      </w:r>
      <w:r>
        <w:rPr>
          <w:rFonts w:hint="eastAsia" w:ascii="仿宋_GB2312" w:hAnsi="ÃƒÂ¥Ã‚Â¾Ã‚Â®ÃƒÂ¨Ã‚Â½Ã‚Â¯ÃƒÂ©Ã¢â" w:eastAsia="仿宋_GB2312" w:cs="仿宋_GB2312"/>
          <w:i w:val="0"/>
          <w:caps w:val="0"/>
          <w:color w:val="000000"/>
          <w:spacing w:val="0"/>
          <w:sz w:val="32"/>
          <w:szCs w:val="32"/>
          <w:shd w:val="clear" w:color="auto" w:fill="FFFFFF"/>
        </w:rPr>
        <w:t>年度，本单位未收取信息处理费；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ÃƒÂ¥Ã‚Â¾Ã‚Â®ÃƒÂ¨Ã‚Â½Ã‚Â¯ÃƒÂ©Ã¢â" w:eastAsia="仿宋_GB2312" w:cs="仿宋_GB2312"/>
          <w:i w:val="0"/>
          <w:caps w:val="0"/>
          <w:color w:val="000000"/>
          <w:spacing w:val="0"/>
          <w:sz w:val="32"/>
          <w:szCs w:val="32"/>
          <w:shd w:val="clear" w:color="auto" w:fill="FFFFFF"/>
        </w:rPr>
      </w:pPr>
      <w:r>
        <w:rPr>
          <w:rFonts w:hint="eastAsia" w:ascii="仿宋_GB2312" w:hAnsi="ÃƒÂ¥Ã‚Â¾Ã‚Â®ÃƒÂ¨Ã‚Â½Ã‚Â¯ÃƒÂ©Ã¢â" w:eastAsia="仿宋_GB2312" w:cs="仿宋_GB2312"/>
          <w:i w:val="0"/>
          <w:caps w:val="0"/>
          <w:color w:val="000000"/>
          <w:spacing w:val="0"/>
          <w:sz w:val="32"/>
          <w:szCs w:val="32"/>
          <w:shd w:val="clear" w:color="auto" w:fill="FFFFFF"/>
          <w:lang w:val="en-US" w:eastAsia="zh-CN"/>
        </w:rPr>
        <w:t>2.</w:t>
      </w:r>
      <w:r>
        <w:rPr>
          <w:rFonts w:hint="eastAsia" w:ascii="仿宋_GB2312" w:hAnsi="ÃƒÂ¥Ã‚Â¾Ã‚Â®ÃƒÂ¨Ã‚Â½Ã‚Â¯ÃƒÂ©Ã¢â" w:eastAsia="仿宋_GB2312" w:cs="仿宋_GB2312"/>
          <w:i w:val="0"/>
          <w:caps w:val="0"/>
          <w:color w:val="000000"/>
          <w:spacing w:val="0"/>
          <w:sz w:val="32"/>
          <w:szCs w:val="32"/>
          <w:shd w:val="clear" w:color="auto" w:fill="FFFFFF"/>
        </w:rPr>
        <w:t>落实上级年度政务公开工作要点情况。对照《滕州市</w:t>
      </w:r>
      <w:r>
        <w:rPr>
          <w:rFonts w:hint="eastAsia" w:ascii="仿宋_GB2312" w:hAnsi="Calibri" w:eastAsia="仿宋_GB2312" w:cs="仿宋_GB2312"/>
          <w:i w:val="0"/>
          <w:caps w:val="0"/>
          <w:color w:val="000000"/>
          <w:spacing w:val="0"/>
          <w:sz w:val="32"/>
          <w:szCs w:val="32"/>
          <w:shd w:val="clear" w:color="auto" w:fill="FFFFFF"/>
        </w:rPr>
        <w:t>2022</w:t>
      </w:r>
      <w:r>
        <w:rPr>
          <w:rFonts w:hint="eastAsia" w:ascii="仿宋_GB2312" w:hAnsi="ÃƒÂ¥Ã‚Â¾Ã‚Â®ÃƒÂ¨Ã‚Â½Ã‚Â¯ÃƒÂ©Ã¢â" w:eastAsia="仿宋_GB2312" w:cs="仿宋_GB2312"/>
          <w:i w:val="0"/>
          <w:caps w:val="0"/>
          <w:color w:val="000000"/>
          <w:spacing w:val="0"/>
          <w:sz w:val="32"/>
          <w:szCs w:val="32"/>
          <w:shd w:val="clear" w:color="auto" w:fill="FFFFFF"/>
        </w:rPr>
        <w:t>年政务公开工作要点》，围绕</w:t>
      </w:r>
      <w:r>
        <w:rPr>
          <w:rFonts w:hint="eastAsia" w:ascii="仿宋_GB2312" w:hAnsi="ÃƒÂ¥Ã‚Â¾Ã‚Â®ÃƒÂ¨Ã‚Â½Ã‚Â¯ÃƒÂ©Ã¢â" w:eastAsia="仿宋_GB2312" w:cs="仿宋_GB2312"/>
          <w:i w:val="0"/>
          <w:caps w:val="0"/>
          <w:color w:val="000000"/>
          <w:spacing w:val="0"/>
          <w:sz w:val="32"/>
          <w:szCs w:val="32"/>
          <w:shd w:val="clear" w:color="auto" w:fill="FFFFFF"/>
          <w:lang w:eastAsia="zh-CN"/>
        </w:rPr>
        <w:t>人社工作</w:t>
      </w:r>
      <w:r>
        <w:rPr>
          <w:rFonts w:hint="eastAsia" w:ascii="仿宋_GB2312" w:hAnsi="ÃƒÂ¥Ã‚Â¾Ã‚Â®ÃƒÂ¨Ã‚Â½Ã‚Â¯ÃƒÂ©Ã¢â" w:eastAsia="仿宋_GB2312" w:cs="仿宋_GB2312"/>
          <w:i w:val="0"/>
          <w:caps w:val="0"/>
          <w:color w:val="000000"/>
          <w:spacing w:val="0"/>
          <w:sz w:val="32"/>
          <w:szCs w:val="32"/>
          <w:shd w:val="clear" w:color="auto" w:fill="FFFFFF"/>
        </w:rPr>
        <w:t>重点领域信息公开、</w:t>
      </w:r>
      <w:r>
        <w:rPr>
          <w:rFonts w:hint="eastAsia" w:ascii="仿宋_GB2312" w:hAnsi="ÃƒÂ¥Ã‚Â¾Ã‚Â®ÃƒÂ¨Ã‚Â½Ã‚Â¯ÃƒÂ©Ã¢â" w:eastAsia="仿宋_GB2312" w:cs="仿宋_GB2312"/>
          <w:i w:val="0"/>
          <w:caps w:val="0"/>
          <w:color w:val="000000"/>
          <w:spacing w:val="0"/>
          <w:sz w:val="32"/>
          <w:szCs w:val="32"/>
          <w:shd w:val="clear" w:color="auto" w:fill="FFFFFF"/>
          <w:lang w:eastAsia="zh-CN"/>
        </w:rPr>
        <w:t>人社</w:t>
      </w:r>
      <w:r>
        <w:rPr>
          <w:rFonts w:hint="eastAsia" w:ascii="仿宋_GB2312" w:hAnsi="ÃƒÂ¥Ã‚Â¾Ã‚Â®ÃƒÂ¨Ã‚Â½Ã‚Â¯ÃƒÂ©Ã¢â" w:eastAsia="仿宋_GB2312" w:cs="仿宋_GB2312"/>
          <w:i w:val="0"/>
          <w:caps w:val="0"/>
          <w:color w:val="000000"/>
          <w:spacing w:val="0"/>
          <w:sz w:val="32"/>
          <w:szCs w:val="32"/>
          <w:shd w:val="clear" w:color="auto" w:fill="FFFFFF"/>
        </w:rPr>
        <w:t>政策发布解读与回应、</w:t>
      </w:r>
      <w:r>
        <w:rPr>
          <w:rFonts w:hint="eastAsia" w:ascii="仿宋_GB2312" w:hAnsi="ÃƒÂ¥Ã‚Â¾Ã‚Â®ÃƒÂ¨Ã‚Â½Ã‚Â¯ÃƒÂ©Ã¢â" w:eastAsia="仿宋_GB2312" w:cs="仿宋_GB2312"/>
          <w:i w:val="0"/>
          <w:caps w:val="0"/>
          <w:color w:val="000000"/>
          <w:spacing w:val="0"/>
          <w:sz w:val="32"/>
          <w:szCs w:val="32"/>
          <w:shd w:val="clear" w:color="auto" w:fill="FFFFFF"/>
          <w:lang w:eastAsia="zh-CN"/>
        </w:rPr>
        <w:t>人社</w:t>
      </w:r>
      <w:r>
        <w:rPr>
          <w:rFonts w:hint="eastAsia" w:ascii="仿宋_GB2312" w:hAnsi="ÃƒÂ¥Ã‚Â¾Ã‚Â®ÃƒÂ¨Ã‚Â½Ã‚Â¯ÃƒÂ©Ã¢â" w:eastAsia="仿宋_GB2312" w:cs="仿宋_GB2312"/>
          <w:i w:val="0"/>
          <w:caps w:val="0"/>
          <w:color w:val="000000"/>
          <w:spacing w:val="0"/>
          <w:sz w:val="32"/>
          <w:szCs w:val="32"/>
          <w:shd w:val="clear" w:color="auto" w:fill="FFFFFF"/>
        </w:rPr>
        <w:t>政民互动、</w:t>
      </w:r>
      <w:r>
        <w:rPr>
          <w:rFonts w:hint="eastAsia" w:ascii="仿宋_GB2312" w:hAnsi="ÃƒÂ¥Ã‚Â¾Ã‚Â®ÃƒÂ¨Ã‚Â½Ã‚Â¯ÃƒÂ©Ã¢â" w:eastAsia="仿宋_GB2312" w:cs="仿宋_GB2312"/>
          <w:i w:val="0"/>
          <w:caps w:val="0"/>
          <w:color w:val="000000"/>
          <w:spacing w:val="0"/>
          <w:sz w:val="32"/>
          <w:szCs w:val="32"/>
          <w:shd w:val="clear" w:color="auto" w:fill="FFFFFF"/>
          <w:lang w:eastAsia="zh-CN"/>
        </w:rPr>
        <w:t>人社</w:t>
      </w:r>
      <w:r>
        <w:rPr>
          <w:rFonts w:hint="eastAsia" w:ascii="仿宋_GB2312" w:hAnsi="ÃƒÂ¥Ã‚Â¾Ã‚Â®ÃƒÂ¨Ã‚Â½Ã‚Â¯ÃƒÂ©Ã¢â" w:eastAsia="仿宋_GB2312" w:cs="仿宋_GB2312"/>
          <w:i w:val="0"/>
          <w:caps w:val="0"/>
          <w:color w:val="000000"/>
          <w:spacing w:val="0"/>
          <w:sz w:val="32"/>
          <w:szCs w:val="32"/>
          <w:shd w:val="clear" w:color="auto" w:fill="FFFFFF"/>
        </w:rPr>
        <w:t>政务公开标准化规范化建设和工作保障和落实逐项明确责任主体和完成时限。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ÃƒÂ¥Ã‚Â¾Ã‚Â®ÃƒÂ¨Ã‚Â½Ã‚Â¯ÃƒÂ©Ã¢â" w:eastAsia="仿宋_GB2312" w:cs="仿宋_GB2312"/>
          <w:i w:val="0"/>
          <w:caps w:val="0"/>
          <w:color w:val="000000"/>
          <w:spacing w:val="0"/>
          <w:sz w:val="32"/>
          <w:szCs w:val="32"/>
          <w:shd w:val="clear" w:color="auto" w:fill="FFFFFF"/>
        </w:rPr>
      </w:pPr>
      <w:r>
        <w:rPr>
          <w:rFonts w:hint="eastAsia" w:ascii="仿宋_GB2312" w:hAnsi="ÃƒÂ¥Ã‚Â¾Ã‚Â®ÃƒÂ¨Ã‚Â½Ã‚Â¯ÃƒÂ©Ã¢â" w:eastAsia="仿宋_GB2312" w:cs="仿宋_GB2312"/>
          <w:i w:val="0"/>
          <w:caps w:val="0"/>
          <w:color w:val="000000"/>
          <w:spacing w:val="0"/>
          <w:sz w:val="32"/>
          <w:szCs w:val="32"/>
          <w:shd w:val="clear" w:color="auto" w:fill="FFFFFF"/>
          <w:lang w:val="en-US" w:eastAsia="zh-CN"/>
        </w:rPr>
        <w:t>3.</w:t>
      </w:r>
      <w:r>
        <w:rPr>
          <w:rFonts w:hint="eastAsia" w:ascii="仿宋_GB2312" w:hAnsi="ÃƒÂ¥Ã‚Â¾Ã‚Â®ÃƒÂ¨Ã‚Â½Ã‚Â¯ÃƒÂ©Ã¢â" w:eastAsia="仿宋_GB2312" w:cs="仿宋_GB2312"/>
          <w:i w:val="0"/>
          <w:caps w:val="0"/>
          <w:color w:val="000000"/>
          <w:spacing w:val="0"/>
          <w:sz w:val="32"/>
          <w:szCs w:val="32"/>
          <w:shd w:val="clear" w:color="auto" w:fill="FFFFFF"/>
        </w:rPr>
        <w:t>人大代表建议和政协提案办理情况方面。</w:t>
      </w:r>
      <w:r>
        <w:rPr>
          <w:rFonts w:hint="eastAsia" w:ascii="仿宋_GB2312" w:hAnsi="Calibri" w:eastAsia="仿宋_GB2312" w:cs="仿宋_GB2312"/>
          <w:i w:val="0"/>
          <w:caps w:val="0"/>
          <w:color w:val="000000"/>
          <w:spacing w:val="0"/>
          <w:sz w:val="32"/>
          <w:szCs w:val="32"/>
          <w:shd w:val="clear" w:color="auto" w:fill="FFFFFF"/>
        </w:rPr>
        <w:t>2022</w:t>
      </w:r>
      <w:r>
        <w:rPr>
          <w:rFonts w:hint="eastAsia" w:ascii="仿宋_GB2312" w:hAnsi="ÃƒÂ¥Ã‚Â¾Ã‚Â®ÃƒÂ¨Ã‚Â½Ã‚Â¯ÃƒÂ©Ã¢â" w:eastAsia="仿宋_GB2312" w:cs="仿宋_GB2312"/>
          <w:i w:val="0"/>
          <w:caps w:val="0"/>
          <w:color w:val="000000"/>
          <w:spacing w:val="0"/>
          <w:sz w:val="32"/>
          <w:szCs w:val="32"/>
          <w:shd w:val="clear" w:color="auto" w:fill="FFFFFF"/>
        </w:rPr>
        <w:t>年，</w:t>
      </w:r>
      <w:r>
        <w:rPr>
          <w:rFonts w:hint="eastAsia" w:ascii="仿宋_GB2312" w:hAnsi="ÃƒÂ¥Ã‚Â¾Ã‚Â®ÃƒÂ¨Ã‚Â½Ã‚Â¯ÃƒÂ©Ã¢â" w:eastAsia="仿宋_GB2312" w:cs="仿宋_GB2312"/>
          <w:i w:val="0"/>
          <w:caps w:val="0"/>
          <w:color w:val="000000"/>
          <w:spacing w:val="0"/>
          <w:sz w:val="32"/>
          <w:szCs w:val="32"/>
          <w:shd w:val="clear" w:color="auto" w:fill="FFFFFF"/>
          <w:lang w:eastAsia="zh-CN"/>
        </w:rPr>
        <w:t>滕州市人社局</w:t>
      </w:r>
      <w:r>
        <w:rPr>
          <w:rFonts w:hint="eastAsia" w:ascii="仿宋_GB2312" w:hAnsi="仿宋_GB2312" w:eastAsia="仿宋_GB2312" w:cs="仿宋_GB2312"/>
          <w:sz w:val="32"/>
          <w:szCs w:val="32"/>
        </w:rPr>
        <w:t>承办枣庄市级政协提案1件、滕州市级人大建议8件、政协提案14件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全部完成书面答复并在</w:t>
      </w:r>
      <w:r>
        <w:rPr>
          <w:rFonts w:hint="eastAsia" w:ascii="仿宋_GB2312" w:hAnsi="仿宋_GB2312" w:eastAsia="仿宋_GB2312" w:cs="仿宋_GB2312"/>
          <w:sz w:val="32"/>
          <w:szCs w:val="32"/>
          <w:lang w:eastAsia="zh-CN"/>
        </w:rPr>
        <w:t>政务公开专栏</w:t>
      </w:r>
      <w:r>
        <w:rPr>
          <w:rFonts w:hint="eastAsia" w:ascii="仿宋_GB2312" w:hAnsi="仿宋_GB2312" w:eastAsia="仿宋_GB2312" w:cs="仿宋_GB2312"/>
          <w:sz w:val="32"/>
          <w:szCs w:val="32"/>
        </w:rPr>
        <w:t>公开。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ÃƒÂ¥Ã‚Â¾Ã‚Â®ÃƒÂ¨Ã‚Â½Ã‚Â¯ÃƒÂ©Ã¢â" w:eastAsia="仿宋_GB2312" w:cs="仿宋_GB2312"/>
          <w:i w:val="0"/>
          <w:caps w:val="0"/>
          <w:color w:val="000000"/>
          <w:spacing w:val="0"/>
          <w:sz w:val="32"/>
          <w:szCs w:val="32"/>
          <w:shd w:val="clear" w:color="auto" w:fill="FFFFFF"/>
        </w:rPr>
      </w:pPr>
      <w:r>
        <w:rPr>
          <w:rFonts w:hint="eastAsia" w:ascii="仿宋_GB2312" w:hAnsi="ÃƒÂ¥Ã‚Â¾Ã‚Â®ÃƒÂ¨Ã‚Â½Ã‚Â¯ÃƒÂ©Ã¢â" w:eastAsia="仿宋_GB2312" w:cs="仿宋_GB2312"/>
          <w:i w:val="0"/>
          <w:caps w:val="0"/>
          <w:color w:val="000000"/>
          <w:spacing w:val="0"/>
          <w:sz w:val="32"/>
          <w:szCs w:val="32"/>
          <w:shd w:val="clear" w:color="auto" w:fill="FFFFFF"/>
          <w:lang w:val="en-US" w:eastAsia="zh-CN"/>
        </w:rPr>
        <w:t>4.</w:t>
      </w:r>
      <w:r>
        <w:rPr>
          <w:rFonts w:hint="eastAsia" w:ascii="仿宋_GB2312" w:hAnsi="ÃƒÂ¥Ã‚Â¾Ã‚Â®ÃƒÂ¨Ã‚Â½Ã‚Â¯ÃƒÂ©Ã¢â" w:eastAsia="仿宋_GB2312" w:cs="仿宋_GB2312"/>
          <w:i w:val="0"/>
          <w:caps w:val="0"/>
          <w:color w:val="000000"/>
          <w:spacing w:val="0"/>
          <w:sz w:val="32"/>
          <w:szCs w:val="32"/>
          <w:shd w:val="clear" w:color="auto" w:fill="FFFFFF"/>
        </w:rPr>
        <w:t>开展政务公开创新方面。</w:t>
      </w:r>
      <w:r>
        <w:rPr>
          <w:rFonts w:hint="eastAsia" w:ascii="仿宋_GB2312" w:hAnsi="ÃƒÂ¥Ã‚Â¾Ã‚Â®ÃƒÂ¨Ã‚Â½Ã‚Â¯ÃƒÂ©Ã¢â" w:eastAsia="仿宋_GB2312" w:cs="仿宋_GB2312"/>
          <w:i w:val="0"/>
          <w:caps w:val="0"/>
          <w:color w:val="000000"/>
          <w:spacing w:val="0"/>
          <w:sz w:val="32"/>
          <w:szCs w:val="32"/>
          <w:shd w:val="clear" w:color="auto" w:fill="FFFFFF"/>
          <w:lang w:eastAsia="zh-CN"/>
        </w:rPr>
        <w:t>滕州市人社局深入扎实开展政风行风热线、</w:t>
      </w:r>
      <w:r>
        <w:rPr>
          <w:rFonts w:hint="eastAsia" w:ascii="仿宋_GB2312" w:hAnsi="ÃƒÂ¥Ã‚Â¾Ã‚Â®ÃƒÂ¨Ã‚Â½Ã‚Â¯ÃƒÂ©Ã¢â" w:eastAsia="仿宋_GB2312" w:cs="仿宋_GB2312"/>
          <w:i w:val="0"/>
          <w:caps w:val="0"/>
          <w:color w:val="000000"/>
          <w:spacing w:val="0"/>
          <w:sz w:val="32"/>
          <w:szCs w:val="32"/>
          <w:shd w:val="clear" w:color="auto" w:fill="FFFFFF"/>
        </w:rPr>
        <w:t>政府开放日等</w:t>
      </w:r>
      <w:r>
        <w:rPr>
          <w:rFonts w:hint="eastAsia" w:ascii="仿宋_GB2312" w:hAnsi="ÃƒÂ¥Ã‚Â¾Ã‚Â®ÃƒÂ¨Ã‚Â½Ã‚Â¯ÃƒÂ©Ã¢â" w:eastAsia="仿宋_GB2312" w:cs="仿宋_GB2312"/>
          <w:i w:val="0"/>
          <w:caps w:val="0"/>
          <w:color w:val="000000"/>
          <w:spacing w:val="0"/>
          <w:sz w:val="32"/>
          <w:szCs w:val="32"/>
          <w:shd w:val="clear" w:color="auto" w:fill="FFFFFF"/>
          <w:lang w:eastAsia="zh-CN"/>
        </w:rPr>
        <w:t>活动</w:t>
      </w:r>
      <w:r>
        <w:rPr>
          <w:rFonts w:hint="eastAsia" w:ascii="仿宋_GB2312" w:hAnsi="ÃƒÂ¥Ã‚Â¾Ã‚Â®ÃƒÂ¨Ã‚Â½Ã‚Â¯ÃƒÂ©Ã¢â" w:eastAsia="仿宋_GB2312" w:cs="仿宋_GB2312"/>
          <w:i w:val="0"/>
          <w:caps w:val="0"/>
          <w:color w:val="000000"/>
          <w:spacing w:val="0"/>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ÃƒÂ¥Ã‚Â¾Ã‚Â®ÃƒÂ¨Ã‚Â½Ã‚Â¯ÃƒÂ©Ã¢â" w:eastAsia="仿宋_GB2312" w:cs="仿宋_GB2312"/>
          <w:i w:val="0"/>
          <w:caps w:val="0"/>
          <w:color w:val="000000"/>
          <w:spacing w:val="0"/>
          <w:sz w:val="32"/>
          <w:szCs w:val="32"/>
          <w:shd w:val="clear" w:color="auto" w:fill="FFFFFF"/>
        </w:rPr>
      </w:pPr>
      <w:r>
        <w:rPr>
          <w:rFonts w:hint="eastAsia" w:ascii="仿宋_GB2312" w:hAnsi="ÃƒÂ¥Ã‚Â¾Ã‚Â®ÃƒÂ¨Ã‚Â½Ã‚Â¯ÃƒÂ©Ã¢â" w:eastAsia="仿宋_GB2312" w:cs="仿宋_GB2312"/>
          <w:i w:val="0"/>
          <w:caps w:val="0"/>
          <w:color w:val="000000"/>
          <w:spacing w:val="0"/>
          <w:sz w:val="32"/>
          <w:szCs w:val="32"/>
          <w:shd w:val="clear" w:color="auto" w:fill="FFFFFF"/>
          <w:lang w:val="en-US" w:eastAsia="zh-CN"/>
        </w:rPr>
        <w:t>5.</w:t>
      </w:r>
      <w:r>
        <w:rPr>
          <w:rFonts w:hint="eastAsia" w:ascii="仿宋_GB2312" w:hAnsi="ÃƒÂ¥Ã‚Â¾Ã‚Â®ÃƒÂ¨Ã‚Â½Ã‚Â¯ÃƒÂ©Ã¢â" w:eastAsia="仿宋_GB2312" w:cs="仿宋_GB2312"/>
          <w:i w:val="0"/>
          <w:caps w:val="0"/>
          <w:color w:val="000000"/>
          <w:spacing w:val="0"/>
          <w:sz w:val="32"/>
          <w:szCs w:val="32"/>
          <w:shd w:val="clear" w:color="auto" w:fill="FFFFFF"/>
        </w:rPr>
        <w:t>本单位政府信息公开工作年度报告数据统计需要说明的事项：无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ÃƒÂ¥Ã‚Â¾Ã‚Â®ÃƒÂ¨Ã‚Â½Ã‚Â¯ÃƒÂ©Ã¢â" w:eastAsia="仿宋_GB2312" w:cs="仿宋_GB2312"/>
          <w:i w:val="0"/>
          <w:caps w:val="0"/>
          <w:color w:val="000000"/>
          <w:spacing w:val="0"/>
          <w:sz w:val="32"/>
          <w:szCs w:val="32"/>
          <w:shd w:val="clear" w:color="auto" w:fill="FFFFFF"/>
        </w:rPr>
      </w:pPr>
      <w:r>
        <w:rPr>
          <w:rFonts w:hint="eastAsia" w:ascii="仿宋_GB2312" w:hAnsi="ÃƒÂ¥Ã‚Â¾Ã‚Â®ÃƒÂ¨Ã‚Â½Ã‚Â¯ÃƒÂ©Ã¢â" w:eastAsia="仿宋_GB2312" w:cs="仿宋_GB2312"/>
          <w:i w:val="0"/>
          <w:caps w:val="0"/>
          <w:color w:val="000000"/>
          <w:spacing w:val="0"/>
          <w:sz w:val="32"/>
          <w:szCs w:val="32"/>
          <w:shd w:val="clear" w:color="auto" w:fill="FFFFFF"/>
          <w:lang w:val="en-US" w:eastAsia="zh-CN"/>
        </w:rPr>
        <w:t>6.</w:t>
      </w:r>
      <w:r>
        <w:rPr>
          <w:rFonts w:hint="eastAsia" w:ascii="仿宋_GB2312" w:hAnsi="ÃƒÂ¥Ã‚Â¾Ã‚Â®ÃƒÂ¨Ã‚Â½Ã‚Â¯ÃƒÂ©Ã¢â" w:eastAsia="仿宋_GB2312" w:cs="仿宋_GB2312"/>
          <w:i w:val="0"/>
          <w:caps w:val="0"/>
          <w:color w:val="000000"/>
          <w:spacing w:val="0"/>
          <w:sz w:val="32"/>
          <w:szCs w:val="32"/>
          <w:shd w:val="clear" w:color="auto" w:fill="FFFFFF"/>
        </w:rPr>
        <w:t>其他有关文件专门要求通过政府信息公开工作年度报告予以报告的事项：无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ÃƒÂ¥Ã‚Â¾Ã‚Â®ÃƒÂ¨Ã‚Â½Ã‚Â¯ÃƒÂ©Ã¢â" w:eastAsia="仿宋_GB2312" w:cs="仿宋_GB2312"/>
          <w:i w:val="0"/>
          <w:caps w:val="0"/>
          <w:color w:val="000000"/>
          <w:spacing w:val="0"/>
          <w:sz w:val="32"/>
          <w:szCs w:val="32"/>
          <w:shd w:val="clear" w:color="auto" w:fill="FFFFFF"/>
        </w:rPr>
      </w:pPr>
      <w:r>
        <w:rPr>
          <w:rFonts w:hint="eastAsia" w:ascii="仿宋_GB2312" w:hAnsi="ÃƒÂ¥Ã‚Â¾Ã‚Â®ÃƒÂ¨Ã‚Â½Ã‚Â¯ÃƒÂ©Ã¢â" w:eastAsia="仿宋_GB2312" w:cs="仿宋_GB2312"/>
          <w:i w:val="0"/>
          <w:caps w:val="0"/>
          <w:color w:val="000000"/>
          <w:spacing w:val="0"/>
          <w:sz w:val="32"/>
          <w:szCs w:val="32"/>
          <w:shd w:val="clear" w:color="auto" w:fill="FFFFFF"/>
          <w:lang w:val="en-US" w:eastAsia="zh-CN"/>
        </w:rPr>
        <w:t>7.</w:t>
      </w:r>
      <w:r>
        <w:rPr>
          <w:rFonts w:hint="eastAsia" w:ascii="仿宋_GB2312" w:hAnsi="ÃƒÂ¥Ã‚Â¾Ã‚Â®ÃƒÂ¨Ã‚Â½Ã‚Â¯ÃƒÂ©Ã¢â" w:eastAsia="仿宋_GB2312" w:cs="仿宋_GB2312"/>
          <w:i w:val="0"/>
          <w:caps w:val="0"/>
          <w:color w:val="000000"/>
          <w:spacing w:val="0"/>
          <w:sz w:val="32"/>
          <w:szCs w:val="32"/>
          <w:shd w:val="clear" w:color="auto" w:fill="FFFFFF"/>
        </w:rPr>
        <w:t>本报告的电子版可在“中国滕州网”（</w:t>
      </w:r>
      <w:r>
        <w:rPr>
          <w:rFonts w:hint="eastAsia" w:ascii="仿宋_GB2312" w:hAnsi="Calibri" w:eastAsia="仿宋_GB2312" w:cs="仿宋_GB2312"/>
          <w:i w:val="0"/>
          <w:caps w:val="0"/>
          <w:color w:val="000000"/>
          <w:spacing w:val="0"/>
          <w:sz w:val="32"/>
          <w:szCs w:val="32"/>
          <w:shd w:val="clear" w:color="auto" w:fill="FFFFFF"/>
        </w:rPr>
        <w:t>http://www.tengzhou.gov.cn/</w:t>
      </w:r>
      <w:r>
        <w:rPr>
          <w:rFonts w:hint="eastAsia" w:ascii="仿宋_GB2312" w:hAnsi="ÃƒÂ¥Ã‚Â¾Ã‚Â®ÃƒÂ¨Ã‚Â½Ã‚Â¯ÃƒÂ©Ã¢â" w:eastAsia="仿宋_GB2312" w:cs="仿宋_GB2312"/>
          <w:i w:val="0"/>
          <w:caps w:val="0"/>
          <w:color w:val="000000"/>
          <w:spacing w:val="0"/>
          <w:sz w:val="32"/>
          <w:szCs w:val="32"/>
          <w:shd w:val="clear" w:color="auto" w:fill="FFFFFF"/>
        </w:rPr>
        <w:t>）网站查询和下载。如对本报告有任何疑问，请与滕州市</w:t>
      </w:r>
      <w:r>
        <w:rPr>
          <w:rFonts w:hint="eastAsia" w:ascii="仿宋_GB2312" w:hAnsi="ÃƒÂ¥Ã‚Â¾Ã‚Â®ÃƒÂ¨Ã‚Â½Ã‚Â¯ÃƒÂ©Ã¢â" w:eastAsia="仿宋_GB2312" w:cs="仿宋_GB2312"/>
          <w:i w:val="0"/>
          <w:caps w:val="0"/>
          <w:color w:val="000000"/>
          <w:spacing w:val="0"/>
          <w:sz w:val="32"/>
          <w:szCs w:val="32"/>
          <w:shd w:val="clear" w:color="auto" w:fill="FFFFFF"/>
          <w:lang w:eastAsia="zh-CN"/>
        </w:rPr>
        <w:t>人社局</w:t>
      </w:r>
      <w:r>
        <w:rPr>
          <w:rFonts w:hint="eastAsia" w:ascii="仿宋_GB2312" w:hAnsi="ÃƒÂ¥Ã‚Â¾Ã‚Â®ÃƒÂ¨Ã‚Â½Ã‚Â¯ÃƒÂ©Ã¢â" w:eastAsia="仿宋_GB2312" w:cs="仿宋_GB2312"/>
          <w:i w:val="0"/>
          <w:caps w:val="0"/>
          <w:color w:val="000000"/>
          <w:spacing w:val="0"/>
          <w:sz w:val="32"/>
          <w:szCs w:val="32"/>
          <w:shd w:val="clear" w:color="auto" w:fill="FFFFFF"/>
        </w:rPr>
        <w:t>政务公开办公室联系。（地址：山东省</w:t>
      </w:r>
      <w:r>
        <w:rPr>
          <w:rFonts w:hint="eastAsia" w:ascii="仿宋_GB2312" w:hAnsi="ÃƒÂ¥Ã‚Â¾Ã‚Â®ÃƒÂ¨Ã‚Â½Ã‚Â¯ÃƒÂ©Ã¢â" w:eastAsia="仿宋_GB2312" w:cs="仿宋_GB2312"/>
          <w:i w:val="0"/>
          <w:caps w:val="0"/>
          <w:color w:val="000000"/>
          <w:spacing w:val="0"/>
          <w:sz w:val="32"/>
          <w:szCs w:val="32"/>
          <w:shd w:val="clear" w:color="auto" w:fill="FFFFFF"/>
          <w:lang w:eastAsia="zh-CN"/>
        </w:rPr>
        <w:t>滕州市学院中路</w:t>
      </w:r>
      <w:r>
        <w:rPr>
          <w:rFonts w:hint="eastAsia" w:ascii="仿宋_GB2312" w:hAnsi="ÃƒÂ¥Ã‚Â¾Ã‚Â®ÃƒÂ¨Ã‚Â½Ã‚Â¯ÃƒÂ©Ã¢â" w:eastAsia="仿宋_GB2312" w:cs="仿宋_GB2312"/>
          <w:i w:val="0"/>
          <w:caps w:val="0"/>
          <w:color w:val="000000"/>
          <w:spacing w:val="0"/>
          <w:sz w:val="32"/>
          <w:szCs w:val="32"/>
          <w:shd w:val="clear" w:color="auto" w:fill="FFFFFF"/>
          <w:lang w:val="en-US" w:eastAsia="zh-CN"/>
        </w:rPr>
        <w:t>1066号人社局</w:t>
      </w:r>
      <w:r>
        <w:rPr>
          <w:rFonts w:hint="eastAsia" w:ascii="仿宋_GB2312" w:hAnsi="Calibri" w:eastAsia="仿宋_GB2312" w:cs="仿宋_GB2312"/>
          <w:i w:val="0"/>
          <w:caps w:val="0"/>
          <w:color w:val="000000"/>
          <w:spacing w:val="0"/>
          <w:sz w:val="32"/>
          <w:szCs w:val="32"/>
          <w:shd w:val="clear" w:color="auto" w:fill="FFFFFF"/>
          <w:lang w:val="en-US" w:eastAsia="zh-CN"/>
        </w:rPr>
        <w:t>413</w:t>
      </w:r>
      <w:r>
        <w:rPr>
          <w:rFonts w:hint="eastAsia" w:ascii="仿宋_GB2312" w:hAnsi="ÃƒÂ¥Ã‚Â¾Ã‚Â®ÃƒÂ¨Ã‚Â½Ã‚Â¯ÃƒÂ©Ã¢â" w:eastAsia="仿宋_GB2312" w:cs="仿宋_GB2312"/>
          <w:i w:val="0"/>
          <w:caps w:val="0"/>
          <w:color w:val="000000"/>
          <w:spacing w:val="0"/>
          <w:sz w:val="32"/>
          <w:szCs w:val="32"/>
          <w:shd w:val="clear" w:color="auto" w:fill="FFFFFF"/>
          <w:lang w:eastAsia="zh-CN"/>
        </w:rPr>
        <w:t>室</w:t>
      </w:r>
      <w:r>
        <w:rPr>
          <w:rFonts w:hint="eastAsia" w:ascii="仿宋_GB2312" w:hAnsi="ÃƒÂ¥Ã‚Â¾Ã‚Â®ÃƒÂ¨Ã‚Â½Ã‚Â¯ÃƒÂ©Ã¢â" w:eastAsia="仿宋_GB2312" w:cs="仿宋_GB2312"/>
          <w:i w:val="0"/>
          <w:caps w:val="0"/>
          <w:color w:val="000000"/>
          <w:spacing w:val="0"/>
          <w:sz w:val="32"/>
          <w:szCs w:val="32"/>
          <w:shd w:val="clear" w:color="auto" w:fill="FFFFFF"/>
        </w:rPr>
        <w:t>，联系电话：</w:t>
      </w:r>
      <w:r>
        <w:rPr>
          <w:rFonts w:hint="eastAsia" w:ascii="仿宋_GB2312" w:hAnsi="Calibri" w:eastAsia="仿宋_GB2312" w:cs="仿宋_GB2312"/>
          <w:i w:val="0"/>
          <w:caps w:val="0"/>
          <w:color w:val="000000"/>
          <w:spacing w:val="0"/>
          <w:sz w:val="32"/>
          <w:szCs w:val="32"/>
          <w:shd w:val="clear" w:color="auto" w:fill="FFFFFF"/>
        </w:rPr>
        <w:t>0632—55</w:t>
      </w:r>
      <w:r>
        <w:rPr>
          <w:rFonts w:hint="eastAsia" w:ascii="仿宋_GB2312" w:hAnsi="Calibri" w:eastAsia="仿宋_GB2312" w:cs="仿宋_GB2312"/>
          <w:i w:val="0"/>
          <w:caps w:val="0"/>
          <w:color w:val="000000"/>
          <w:spacing w:val="0"/>
          <w:sz w:val="32"/>
          <w:szCs w:val="32"/>
          <w:shd w:val="clear" w:color="auto" w:fill="FFFFFF"/>
          <w:lang w:val="en-US" w:eastAsia="zh-CN"/>
        </w:rPr>
        <w:t>16297</w:t>
      </w:r>
      <w:r>
        <w:rPr>
          <w:rFonts w:hint="eastAsia" w:ascii="仿宋_GB2312" w:hAnsi="ÃƒÂ¥Ã‚Â¾Ã‚Â®ÃƒÂ¨Ã‚Â½Ã‚Â¯ÃƒÂ©Ã¢â" w:eastAsia="仿宋_GB2312" w:cs="仿宋_GB2312"/>
          <w:i w:val="0"/>
          <w:caps w:val="0"/>
          <w:color w:val="000000"/>
          <w:spacing w:val="0"/>
          <w:sz w:val="32"/>
          <w:szCs w:val="32"/>
          <w:shd w:val="clear" w:color="auto" w:fill="FFFFFF"/>
        </w:rPr>
        <w:t>，电子邮箱：</w:t>
      </w:r>
      <w:r>
        <w:rPr>
          <w:rFonts w:hint="eastAsia" w:ascii="仿宋_GB2312" w:hAnsi="Calibri" w:eastAsia="仿宋_GB2312" w:cs="仿宋_GB2312"/>
          <w:i w:val="0"/>
          <w:caps w:val="0"/>
          <w:color w:val="333333"/>
          <w:spacing w:val="0"/>
          <w:sz w:val="32"/>
          <w:szCs w:val="32"/>
          <w:u w:val="none"/>
          <w:shd w:val="clear" w:color="auto" w:fill="FFFFFF"/>
        </w:rPr>
        <w:fldChar w:fldCharType="begin"/>
      </w:r>
      <w:r>
        <w:rPr>
          <w:rFonts w:hint="eastAsia" w:ascii="仿宋_GB2312" w:hAnsi="Calibri" w:eastAsia="仿宋_GB2312" w:cs="仿宋_GB2312"/>
          <w:i w:val="0"/>
          <w:caps w:val="0"/>
          <w:color w:val="333333"/>
          <w:spacing w:val="0"/>
          <w:sz w:val="32"/>
          <w:szCs w:val="32"/>
          <w:u w:val="none"/>
          <w:shd w:val="clear" w:color="auto" w:fill="FFFFFF"/>
        </w:rPr>
        <w:instrText xml:space="preserve"> HYPERLINK "mailto:tzzwgk@zz.shandong.cn%EF%BC%89%E3%80%82" </w:instrText>
      </w:r>
      <w:r>
        <w:rPr>
          <w:rFonts w:hint="eastAsia" w:ascii="仿宋_GB2312" w:hAnsi="Calibri" w:eastAsia="仿宋_GB2312" w:cs="仿宋_GB2312"/>
          <w:i w:val="0"/>
          <w:caps w:val="0"/>
          <w:color w:val="333333"/>
          <w:spacing w:val="0"/>
          <w:sz w:val="32"/>
          <w:szCs w:val="32"/>
          <w:u w:val="none"/>
          <w:shd w:val="clear" w:color="auto" w:fill="FFFFFF"/>
        </w:rPr>
        <w:fldChar w:fldCharType="separate"/>
      </w:r>
      <w:r>
        <w:rPr>
          <w:rStyle w:val="7"/>
          <w:rFonts w:hint="eastAsia" w:ascii="仿宋_GB2312" w:hAnsi="Calibri" w:eastAsia="仿宋_GB2312" w:cs="仿宋_GB2312"/>
          <w:i w:val="0"/>
          <w:caps w:val="0"/>
          <w:color w:val="333333"/>
          <w:spacing w:val="0"/>
          <w:sz w:val="32"/>
          <w:szCs w:val="32"/>
          <w:u w:val="none"/>
          <w:shd w:val="clear" w:color="auto" w:fill="FFFFFF"/>
        </w:rPr>
        <w:t>tzrsjxxzx@zz.shandong.cn</w:t>
      </w:r>
      <w:r>
        <w:rPr>
          <w:rFonts w:hint="eastAsia" w:ascii="仿宋_GB2312" w:hAnsi="Calibri" w:eastAsia="仿宋_GB2312" w:cs="仿宋_GB2312"/>
          <w:i w:val="0"/>
          <w:caps w:val="0"/>
          <w:color w:val="333333"/>
          <w:spacing w:val="0"/>
          <w:sz w:val="32"/>
          <w:szCs w:val="32"/>
          <w:u w:val="none"/>
          <w:shd w:val="clear" w:color="auto" w:fill="FFFFFF"/>
        </w:rPr>
        <w:fldChar w:fldCharType="end"/>
      </w:r>
      <w:r>
        <w:rPr>
          <w:rFonts w:hint="eastAsia" w:ascii="仿宋_GB2312" w:hAnsi="ÃƒÂ¥Ã‚Â¾Ã‚Â®ÃƒÂ¨Ã‚Â½Ã‚Â¯ÃƒÂ©Ã¢â" w:eastAsia="仿宋_GB2312" w:cs="仿宋_GB2312"/>
          <w:i w:val="0"/>
          <w:caps w:val="0"/>
          <w:color w:val="000000"/>
          <w:spacing w:val="0"/>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ÃƒÂ¥Ã‚Â¾Ã‚Â®ÃƒÂ¨Ã‚Â½Ã‚Â¯ÃƒÂ©Ã¢â" w:eastAsia="仿宋_GB2312" w:cs="仿宋_GB2312"/>
          <w:i w:val="0"/>
          <w:caps w:val="0"/>
          <w:color w:val="000000"/>
          <w:spacing w:val="0"/>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ÃƒÂ¥Ã‚Â¾Ã‚Â®ÃƒÂ¨Ã‚Â½Ã‚Â¯ÃƒÂ©Ã¢â" w:eastAsia="仿宋_GB2312" w:cs="仿宋_GB2312"/>
          <w:i w:val="0"/>
          <w:caps w:val="0"/>
          <w:color w:val="000000"/>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滕州市人力资源和社会保障局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2023年1月13日</w:t>
      </w:r>
    </w:p>
    <w:sectPr>
      <w:headerReference r:id="rId3" w:type="default"/>
      <w:pgSz w:w="11906" w:h="16838"/>
      <w:pgMar w:top="1587" w:right="1587" w:bottom="1587" w:left="1587"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ÃƒÂ¥Ã‚Â¾Ã‚Â®ÃƒÂ¨Ã‚Â½Ã‚Â¯ÃƒÂ©Ã¢â">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848819"/>
    <w:multiLevelType w:val="singleLevel"/>
    <w:tmpl w:val="FC84881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mZWI2MzJiZWRiZDVlNjFhYWI2MTdkNWRiMjEwZTQifQ=="/>
  </w:docVars>
  <w:rsids>
    <w:rsidRoot w:val="1DCA2598"/>
    <w:rsid w:val="00186BF0"/>
    <w:rsid w:val="006D2A98"/>
    <w:rsid w:val="01D86637"/>
    <w:rsid w:val="02EB239A"/>
    <w:rsid w:val="03563CB7"/>
    <w:rsid w:val="04185410"/>
    <w:rsid w:val="0490144A"/>
    <w:rsid w:val="04CE5ACF"/>
    <w:rsid w:val="05A607FA"/>
    <w:rsid w:val="06082681"/>
    <w:rsid w:val="06255BC2"/>
    <w:rsid w:val="066071A5"/>
    <w:rsid w:val="067D3DF4"/>
    <w:rsid w:val="074A67E8"/>
    <w:rsid w:val="075C5614"/>
    <w:rsid w:val="07B23486"/>
    <w:rsid w:val="07DE427B"/>
    <w:rsid w:val="09331E83"/>
    <w:rsid w:val="09E57517"/>
    <w:rsid w:val="0A9357F1"/>
    <w:rsid w:val="0B8D6A6E"/>
    <w:rsid w:val="0C8353F1"/>
    <w:rsid w:val="0D42705A"/>
    <w:rsid w:val="0E7E7F4C"/>
    <w:rsid w:val="0FC87CEA"/>
    <w:rsid w:val="10260EB5"/>
    <w:rsid w:val="106B4B1A"/>
    <w:rsid w:val="10932E5E"/>
    <w:rsid w:val="11366ED6"/>
    <w:rsid w:val="11C664AC"/>
    <w:rsid w:val="12541CFA"/>
    <w:rsid w:val="126F1CAA"/>
    <w:rsid w:val="12A83E03"/>
    <w:rsid w:val="12CD5618"/>
    <w:rsid w:val="13453400"/>
    <w:rsid w:val="13BC6A14"/>
    <w:rsid w:val="13C133CE"/>
    <w:rsid w:val="148D32B1"/>
    <w:rsid w:val="14CA0061"/>
    <w:rsid w:val="14ED01F3"/>
    <w:rsid w:val="152637C6"/>
    <w:rsid w:val="162E75CC"/>
    <w:rsid w:val="169A1CB5"/>
    <w:rsid w:val="18972950"/>
    <w:rsid w:val="18AD46FD"/>
    <w:rsid w:val="18BA44B9"/>
    <w:rsid w:val="19467ED2"/>
    <w:rsid w:val="19575670"/>
    <w:rsid w:val="19F142E2"/>
    <w:rsid w:val="1A6E472E"/>
    <w:rsid w:val="1B26620D"/>
    <w:rsid w:val="1D7F6FCE"/>
    <w:rsid w:val="1DCA2598"/>
    <w:rsid w:val="1E537319"/>
    <w:rsid w:val="1F6F0182"/>
    <w:rsid w:val="1F8B2AE2"/>
    <w:rsid w:val="1FF70178"/>
    <w:rsid w:val="20CE066F"/>
    <w:rsid w:val="215F5FD5"/>
    <w:rsid w:val="21BB5AEF"/>
    <w:rsid w:val="228F4698"/>
    <w:rsid w:val="22CC7C80"/>
    <w:rsid w:val="236A2E1C"/>
    <w:rsid w:val="25145328"/>
    <w:rsid w:val="266A7221"/>
    <w:rsid w:val="269F0C21"/>
    <w:rsid w:val="26A61FB0"/>
    <w:rsid w:val="26D42FC1"/>
    <w:rsid w:val="27561C28"/>
    <w:rsid w:val="28247630"/>
    <w:rsid w:val="287F6F5C"/>
    <w:rsid w:val="2ADB15E0"/>
    <w:rsid w:val="2B0A6FB1"/>
    <w:rsid w:val="2B620B9B"/>
    <w:rsid w:val="2BDA2E28"/>
    <w:rsid w:val="2C1017E2"/>
    <w:rsid w:val="2CF9552F"/>
    <w:rsid w:val="2D5C447B"/>
    <w:rsid w:val="2E4427DA"/>
    <w:rsid w:val="2E454BAD"/>
    <w:rsid w:val="2E5073D1"/>
    <w:rsid w:val="2E5F5866"/>
    <w:rsid w:val="2E692241"/>
    <w:rsid w:val="2EBC4A66"/>
    <w:rsid w:val="2F57653D"/>
    <w:rsid w:val="2FA31782"/>
    <w:rsid w:val="2FC040E2"/>
    <w:rsid w:val="2FD8767E"/>
    <w:rsid w:val="30055F99"/>
    <w:rsid w:val="302A3C52"/>
    <w:rsid w:val="31353510"/>
    <w:rsid w:val="31E22A36"/>
    <w:rsid w:val="325B6344"/>
    <w:rsid w:val="32A55811"/>
    <w:rsid w:val="33F94067"/>
    <w:rsid w:val="344352E2"/>
    <w:rsid w:val="34AA5361"/>
    <w:rsid w:val="34CA77B1"/>
    <w:rsid w:val="35386E11"/>
    <w:rsid w:val="35387B70"/>
    <w:rsid w:val="35A818A1"/>
    <w:rsid w:val="36BB0BE6"/>
    <w:rsid w:val="3771192D"/>
    <w:rsid w:val="37893954"/>
    <w:rsid w:val="3852064A"/>
    <w:rsid w:val="388303A3"/>
    <w:rsid w:val="38A9346B"/>
    <w:rsid w:val="39C46EC5"/>
    <w:rsid w:val="3A647D60"/>
    <w:rsid w:val="3A974261"/>
    <w:rsid w:val="3BCC3E0F"/>
    <w:rsid w:val="3D0715A3"/>
    <w:rsid w:val="3D932E36"/>
    <w:rsid w:val="3E5E1696"/>
    <w:rsid w:val="3E8F6B39"/>
    <w:rsid w:val="3E9E7CE5"/>
    <w:rsid w:val="3EA51073"/>
    <w:rsid w:val="3EF1250A"/>
    <w:rsid w:val="3FE77469"/>
    <w:rsid w:val="404C551E"/>
    <w:rsid w:val="41896B25"/>
    <w:rsid w:val="41A2189A"/>
    <w:rsid w:val="41B15F81"/>
    <w:rsid w:val="427C658F"/>
    <w:rsid w:val="42B9333F"/>
    <w:rsid w:val="443F5AC6"/>
    <w:rsid w:val="44D426B2"/>
    <w:rsid w:val="46AC31BB"/>
    <w:rsid w:val="47727F60"/>
    <w:rsid w:val="4779309D"/>
    <w:rsid w:val="47DD536E"/>
    <w:rsid w:val="4800731A"/>
    <w:rsid w:val="48270D4B"/>
    <w:rsid w:val="483D2B7D"/>
    <w:rsid w:val="48F36E7F"/>
    <w:rsid w:val="4A162E25"/>
    <w:rsid w:val="4A600544"/>
    <w:rsid w:val="4A78469E"/>
    <w:rsid w:val="4B9506C1"/>
    <w:rsid w:val="4C373527"/>
    <w:rsid w:val="4C562BA6"/>
    <w:rsid w:val="4CED677D"/>
    <w:rsid w:val="4CFF2296"/>
    <w:rsid w:val="4D0B0C3B"/>
    <w:rsid w:val="4DBA7F6B"/>
    <w:rsid w:val="4EE01C53"/>
    <w:rsid w:val="4F5B48B7"/>
    <w:rsid w:val="4FBB5F7F"/>
    <w:rsid w:val="50096F88"/>
    <w:rsid w:val="50610B72"/>
    <w:rsid w:val="508B0331"/>
    <w:rsid w:val="50B27620"/>
    <w:rsid w:val="51430405"/>
    <w:rsid w:val="515801C7"/>
    <w:rsid w:val="516721B8"/>
    <w:rsid w:val="518A40F8"/>
    <w:rsid w:val="51C23892"/>
    <w:rsid w:val="521C11F4"/>
    <w:rsid w:val="52F83A10"/>
    <w:rsid w:val="5307508F"/>
    <w:rsid w:val="533D7674"/>
    <w:rsid w:val="559D264C"/>
    <w:rsid w:val="55DA564E"/>
    <w:rsid w:val="57A2219C"/>
    <w:rsid w:val="57C86004"/>
    <w:rsid w:val="58A663F9"/>
    <w:rsid w:val="58BE1257"/>
    <w:rsid w:val="58EC770E"/>
    <w:rsid w:val="5A1924BD"/>
    <w:rsid w:val="5AF54CD9"/>
    <w:rsid w:val="5B2A1451"/>
    <w:rsid w:val="5B9C2A1B"/>
    <w:rsid w:val="5C423F4D"/>
    <w:rsid w:val="5D106F77"/>
    <w:rsid w:val="5D3849BC"/>
    <w:rsid w:val="5DDE7CA6"/>
    <w:rsid w:val="5DEE6BEB"/>
    <w:rsid w:val="5E6F6B50"/>
    <w:rsid w:val="5EF97984"/>
    <w:rsid w:val="5F2C0073"/>
    <w:rsid w:val="5F4D6E91"/>
    <w:rsid w:val="5F8D7E5B"/>
    <w:rsid w:val="5FFA462A"/>
    <w:rsid w:val="605E50CE"/>
    <w:rsid w:val="60AC7BE7"/>
    <w:rsid w:val="614222FA"/>
    <w:rsid w:val="61C251E9"/>
    <w:rsid w:val="61DF5D9B"/>
    <w:rsid w:val="62B71699"/>
    <w:rsid w:val="62DA4EE0"/>
    <w:rsid w:val="62DD677E"/>
    <w:rsid w:val="638702B8"/>
    <w:rsid w:val="63E91153"/>
    <w:rsid w:val="641E704E"/>
    <w:rsid w:val="65AE7F5E"/>
    <w:rsid w:val="65FE3176"/>
    <w:rsid w:val="66012ED5"/>
    <w:rsid w:val="66091638"/>
    <w:rsid w:val="668263A8"/>
    <w:rsid w:val="67281F92"/>
    <w:rsid w:val="677A27ED"/>
    <w:rsid w:val="68120C78"/>
    <w:rsid w:val="682E182A"/>
    <w:rsid w:val="68EF2D67"/>
    <w:rsid w:val="69456E2B"/>
    <w:rsid w:val="694C01BA"/>
    <w:rsid w:val="69D16911"/>
    <w:rsid w:val="69EB5BF4"/>
    <w:rsid w:val="6A55309E"/>
    <w:rsid w:val="6BFB7C75"/>
    <w:rsid w:val="6CAB51F7"/>
    <w:rsid w:val="6D036DE1"/>
    <w:rsid w:val="6D131FDF"/>
    <w:rsid w:val="6D5F3840"/>
    <w:rsid w:val="6D8B6DD7"/>
    <w:rsid w:val="6F5C4ECE"/>
    <w:rsid w:val="6F5E6D24"/>
    <w:rsid w:val="6FB97C2B"/>
    <w:rsid w:val="703A5210"/>
    <w:rsid w:val="708F6BB3"/>
    <w:rsid w:val="70F80C27"/>
    <w:rsid w:val="71081093"/>
    <w:rsid w:val="714248AA"/>
    <w:rsid w:val="717464FF"/>
    <w:rsid w:val="71946BA2"/>
    <w:rsid w:val="71FB452B"/>
    <w:rsid w:val="724759C2"/>
    <w:rsid w:val="72E651DB"/>
    <w:rsid w:val="72E75DED"/>
    <w:rsid w:val="73685BF0"/>
    <w:rsid w:val="73A34E7A"/>
    <w:rsid w:val="74373814"/>
    <w:rsid w:val="74620891"/>
    <w:rsid w:val="75260BD6"/>
    <w:rsid w:val="753A7A60"/>
    <w:rsid w:val="758D7B90"/>
    <w:rsid w:val="75A562CE"/>
    <w:rsid w:val="763334C1"/>
    <w:rsid w:val="76DD68F5"/>
    <w:rsid w:val="76EC4D8A"/>
    <w:rsid w:val="77925931"/>
    <w:rsid w:val="77E51F05"/>
    <w:rsid w:val="78056103"/>
    <w:rsid w:val="789456D9"/>
    <w:rsid w:val="79667543"/>
    <w:rsid w:val="79E354B7"/>
    <w:rsid w:val="7A3251AA"/>
    <w:rsid w:val="7A7A1B64"/>
    <w:rsid w:val="7A7E219D"/>
    <w:rsid w:val="7A835A05"/>
    <w:rsid w:val="7B0501C8"/>
    <w:rsid w:val="7C4A7E92"/>
    <w:rsid w:val="7C86358B"/>
    <w:rsid w:val="7CD95DB0"/>
    <w:rsid w:val="7CDA2540"/>
    <w:rsid w:val="7D6513F2"/>
    <w:rsid w:val="7D733B0F"/>
    <w:rsid w:val="7D7F0C2F"/>
    <w:rsid w:val="7DAB14FB"/>
    <w:rsid w:val="7DBD2FDC"/>
    <w:rsid w:val="7DC425BD"/>
    <w:rsid w:val="7E01111B"/>
    <w:rsid w:val="7E026C41"/>
    <w:rsid w:val="7E4E1E86"/>
    <w:rsid w:val="7EFE0940"/>
    <w:rsid w:val="7F391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3127</Words>
  <Characters>3303</Characters>
  <Lines>0</Lines>
  <Paragraphs>0</Paragraphs>
  <TotalTime>63</TotalTime>
  <ScaleCrop>false</ScaleCrop>
  <LinksUpToDate>false</LinksUpToDate>
  <CharactersWithSpaces>3341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2023-01-09T08:15:00Z</dcterms:created>
  <dc:creator>Administrator</dc:creator>
  <cp:lastModifiedBy>妮儿老爸</cp:lastModifiedBy>
  <dcterms:modified xsi:type="dcterms:W3CDTF">2023-02-10T01:42:55Z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598F848C314C45A28ADDBC19CE512453</vt:lpwstr>
  </property>
</Properties>
</file>