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E74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滕州市城乡水务局2</w:t>
      </w:r>
      <w:r>
        <w:rPr>
          <w:rFonts w:hint="eastAsia" w:ascii="方正小标宋简体" w:hAnsi="方正小标宋简体" w:eastAsia="方正小标宋简体" w:cs="方正小标宋简体"/>
          <w:sz w:val="44"/>
          <w:szCs w:val="44"/>
          <w:lang w:eastAsia="zh-CN"/>
        </w:rPr>
        <w:t>0</w:t>
      </w: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w:t>
      </w:r>
    </w:p>
    <w:p w14:paraId="5D05E7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14:paraId="52337B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06C6C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根据《中华人民共和国政府信息公开条例》《山东省政府信息公开办法》和省政府办公厅、枣庄市政府办公室、滕州市政府办公室通知要求，特编制滕州市城乡水务局2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年政府信息公开年度报告并向社会公布。本报告中所列数据的统计期限自2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年1月1日起至2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年12月31日止。</w:t>
      </w:r>
    </w:p>
    <w:p w14:paraId="371837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7E3448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高度重视政府信息公开工作，认真学习《中华人民共和国政府信息公开条例》和省、市政府信息公开工作会议精神，完善信息公开组织机构建设，遵循公开、公平、便民的原则，深化政府信息公开内容，规范政府信息公开程序，切实保障群众的知情权、参与权和监督权。</w:t>
      </w:r>
    </w:p>
    <w:p w14:paraId="4F5948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（一）政府信息主动公开情况</w:t>
      </w:r>
    </w:p>
    <w:p w14:paraId="7EB140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drawing>
          <wp:inline distT="0" distB="0" distL="114300" distR="114300">
            <wp:extent cx="4882515" cy="2944495"/>
            <wp:effectExtent l="0" t="0" r="1333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882515" cy="2944495"/>
                    </a:xfrm>
                    <a:prstGeom prst="rect">
                      <a:avLst/>
                    </a:prstGeom>
                    <a:noFill/>
                    <a:ln>
                      <a:noFill/>
                    </a:ln>
                  </pic:spPr>
                </pic:pic>
              </a:graphicData>
            </a:graphic>
          </wp:inline>
        </w:drawing>
      </w:r>
    </w:p>
    <w:p w14:paraId="2E155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drawing>
          <wp:inline distT="0" distB="0" distL="114300" distR="114300">
            <wp:extent cx="4969510" cy="3719195"/>
            <wp:effectExtent l="0" t="0" r="254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69510" cy="3719195"/>
                    </a:xfrm>
                    <a:prstGeom prst="rect">
                      <a:avLst/>
                    </a:prstGeom>
                    <a:noFill/>
                    <a:ln>
                      <a:noFill/>
                    </a:ln>
                  </pic:spPr>
                </pic:pic>
              </a:graphicData>
            </a:graphic>
          </wp:inline>
        </w:drawing>
      </w:r>
    </w:p>
    <w:p w14:paraId="3DED6D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条，其中通知公告</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条、政策文件信息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条、规划计划信息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条、财政信息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条、行政权力信息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条、建议提案信息</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条、重点领域信息</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条、组织管理信息</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条。同时，还利用滕州市城乡水务局门户网站对全市水务工作进行报道和公开，并及时做好便民咨询工作。</w:t>
      </w:r>
    </w:p>
    <w:p w14:paraId="4FB00F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（二）政府信息依申请公开情况</w:t>
      </w:r>
    </w:p>
    <w:p w14:paraId="48624C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市城乡水务局受理依申请公开1件，全部按时限要求办结，其中予以公开</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件，部分公开</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件，不予公开</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件，无法提供1件，不予处理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件，转结下年度继续办理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件。本年度无因政府信息公开申请提起行政复议、行政诉讼情况。</w:t>
      </w:r>
    </w:p>
    <w:p w14:paraId="49F6EF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（三）政府信息管理情况</w:t>
      </w:r>
    </w:p>
    <w:p w14:paraId="280D6B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形成“主要领导亲自抓、分管领导具体抓、机关科室合力抓、专人负责抓落实”的工作机制，认真落实“决策、执行、管理、服务、结果公开”，将“五公开”纳入办文、办事和办会程序。动态扩展公开内容，结合群众关注的重点热点问题，定期对公开内容进行梳理。严格把关政府信息公开内容审查，市城乡水务局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年度无违反规定和失泄密情况。</w:t>
      </w:r>
    </w:p>
    <w:p w14:paraId="2D362F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（四）政府信息平台建设情况</w:t>
      </w:r>
    </w:p>
    <w:p w14:paraId="47714B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加强网站内容建设，规范栏目设置，健全用户信息保护制度，强化信息搜索、办理服务功能，做好政务公开网站与滕州市城乡水务局网站联动关系，做到多平台、多栏目、多渠道同步更新。</w:t>
      </w:r>
    </w:p>
    <w:p w14:paraId="59565F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（五）监督保障情况</w:t>
      </w:r>
    </w:p>
    <w:p w14:paraId="79F8BA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做好信息公开和宣传经费保障工作，严格按照信息发布流程开展工作，研究制定公开考核、评议、责任追究和监督检查办法，参加市级信息公开培训，推进和规范政府信息公开工作。2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年度参与滕州市部门政务公开绩效考核，未进行社会评议，未发生责任追究情况。</w:t>
      </w:r>
    </w:p>
    <w:p w14:paraId="7C5160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78"/>
        <w:gridCol w:w="2178"/>
        <w:gridCol w:w="2179"/>
        <w:gridCol w:w="2179"/>
      </w:tblGrid>
      <w:tr w14:paraId="7C312D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left w:w="105" w:type="dxa"/>
              <w:right w:w="105" w:type="dxa"/>
            </w:tcMar>
            <w:vAlign w:val="center"/>
          </w:tcPr>
          <w:p w14:paraId="09293C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ascii="黑体" w:hAnsi="宋体" w:eastAsia="黑体" w:cs="黑体"/>
                <w:i w:val="0"/>
                <w:iCs w:val="0"/>
                <w:caps w:val="0"/>
                <w:color w:val="000000"/>
                <w:spacing w:val="0"/>
                <w:sz w:val="24"/>
                <w:szCs w:val="24"/>
              </w:rPr>
              <w:t>第二十条第（一）项</w:t>
            </w:r>
          </w:p>
        </w:tc>
      </w:tr>
      <w:tr w14:paraId="4629B9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9CD6E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ascii="仿宋_GB2312" w:hAnsi="ÃƒÂ¥Ã‚Â¾Ã‚Â®ÃƒÂ¨Ã‚Â½Ã‚Â¯ÃƒÂ©Ã¢â" w:eastAsia="仿宋_GB2312" w:cs="仿宋_GB2312"/>
                <w:i w:val="0"/>
                <w:iCs w:val="0"/>
                <w:caps w:val="0"/>
                <w:color w:val="000000"/>
                <w:spacing w:val="0"/>
                <w:sz w:val="24"/>
                <w:szCs w:val="24"/>
              </w:rPr>
              <w:t>信息内容</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188497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本年制发件数</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376DB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本年废止件数</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6239C0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现行有效件数</w:t>
            </w:r>
          </w:p>
        </w:tc>
      </w:tr>
      <w:tr w14:paraId="769E1D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F9894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规章</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54741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20A56F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宋体" w:hAnsi="宋体" w:eastAsia="宋体" w:cs="宋体"/>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4ED523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5E3D44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E324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行政规范性文件</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423B45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2593A9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宋体" w:hAnsi="宋体" w:eastAsia="宋体" w:cs="宋体"/>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0EF25E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5B3AA4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45407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第二十条第（五）项</w:t>
            </w:r>
          </w:p>
        </w:tc>
      </w:tr>
      <w:tr w14:paraId="103502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B66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59EB5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本年处理决定数量</w:t>
            </w:r>
          </w:p>
        </w:tc>
      </w:tr>
      <w:tr w14:paraId="2CCDDF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2F9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行政许可</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5BF41C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5B1077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57B936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第二十条第（六）项</w:t>
            </w:r>
          </w:p>
        </w:tc>
      </w:tr>
      <w:tr w14:paraId="420BE6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B0545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27B2A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本年处理决定数量</w:t>
            </w:r>
          </w:p>
        </w:tc>
      </w:tr>
      <w:tr w14:paraId="2C3719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FFB2C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行政处罚</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6B2C33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default"/>
                <w:sz w:val="24"/>
                <w:szCs w:val="24"/>
                <w:lang w:val="en-US"/>
              </w:rPr>
            </w:pPr>
            <w:r>
              <w:rPr>
                <w:rFonts w:hint="eastAsia" w:ascii="仿宋_GB2312" w:hAnsi="ÃƒÂ¥Ã‚Â¾Ã‚Â®ÃƒÂ¨Ã‚Â½Ã‚Â¯ÃƒÂ©Ã¢â" w:eastAsia="仿宋_GB2312" w:cs="仿宋_GB2312"/>
                <w:i w:val="0"/>
                <w:iCs w:val="0"/>
                <w:caps w:val="0"/>
                <w:color w:val="000000"/>
                <w:spacing w:val="0"/>
                <w:sz w:val="24"/>
                <w:szCs w:val="24"/>
                <w:lang w:val="en-US" w:eastAsia="zh-CN"/>
              </w:rPr>
              <w:t>　1</w:t>
            </w:r>
          </w:p>
        </w:tc>
      </w:tr>
      <w:tr w14:paraId="5BC96C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9A8CB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行政强制</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09E1DC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5D16E4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6DA5A0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第二十条第（八）项</w:t>
            </w:r>
          </w:p>
        </w:tc>
      </w:tr>
      <w:tr w14:paraId="16544B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9A206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5E38E1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本年收费金额（单位：</w:t>
            </w:r>
            <w:r>
              <w:rPr>
                <w:rFonts w:hint="eastAsia" w:ascii="仿宋_GB2312" w:hAnsi="ÃƒÂ¥Ã‚Â¾Ã‚Â®ÃƒÂ¨Ã‚Â½Ã‚Â¯ÃƒÂ©Ã¢â" w:eastAsia="仿宋_GB2312" w:cs="仿宋_GB2312"/>
                <w:i w:val="0"/>
                <w:iCs w:val="0"/>
                <w:caps w:val="0"/>
                <w:color w:val="000000"/>
                <w:spacing w:val="0"/>
                <w:sz w:val="24"/>
                <w:szCs w:val="24"/>
                <w:highlight w:val="none"/>
              </w:rPr>
              <w:t>万元</w:t>
            </w:r>
            <w:r>
              <w:rPr>
                <w:rFonts w:hint="eastAsia" w:ascii="仿宋_GB2312" w:hAnsi="ÃƒÂ¥Ã‚Â¾Ã‚Â®ÃƒÂ¨Ã‚Â½Ã‚Â¯ÃƒÂ©Ã¢â" w:eastAsia="仿宋_GB2312" w:cs="仿宋_GB2312"/>
                <w:i w:val="0"/>
                <w:iCs w:val="0"/>
                <w:caps w:val="0"/>
                <w:color w:val="000000"/>
                <w:spacing w:val="0"/>
                <w:sz w:val="24"/>
                <w:szCs w:val="24"/>
              </w:rPr>
              <w:t>）</w:t>
            </w:r>
          </w:p>
        </w:tc>
      </w:tr>
      <w:tr w14:paraId="480FF5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75520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行政事业性收费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3379F4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rFonts w:hint="eastAsia" w:eastAsia="仿宋_GB2312"/>
                <w:sz w:val="24"/>
                <w:szCs w:val="24"/>
                <w:lang w:val="en-US" w:eastAsia="zh-CN"/>
              </w:rPr>
            </w:pPr>
            <w:r>
              <w:rPr>
                <w:rFonts w:hint="eastAsia" w:ascii="仿宋_GB2312" w:hAnsi="ÃƒÂ¥Ã‚Â¾Ã‚Â®ÃƒÂ¨Ã‚Â½Ã‚Â¯ÃƒÂ©Ã¢â" w:eastAsia="仿宋_GB2312" w:cs="仿宋_GB2312"/>
                <w:i w:val="0"/>
                <w:iCs w:val="0"/>
                <w:caps w:val="0"/>
                <w:color w:val="000000"/>
                <w:spacing w:val="0"/>
                <w:sz w:val="24"/>
                <w:szCs w:val="24"/>
                <w:lang w:val="en-US" w:eastAsia="zh-CN"/>
              </w:rPr>
              <w:t>0</w:t>
            </w:r>
          </w:p>
        </w:tc>
      </w:tr>
    </w:tbl>
    <w:p w14:paraId="61F411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4"/>
        <w:gridCol w:w="1124"/>
        <w:gridCol w:w="2014"/>
        <w:gridCol w:w="562"/>
        <w:gridCol w:w="645"/>
        <w:gridCol w:w="645"/>
        <w:gridCol w:w="804"/>
        <w:gridCol w:w="804"/>
        <w:gridCol w:w="481"/>
        <w:gridCol w:w="481"/>
      </w:tblGrid>
      <w:tr w14:paraId="23734C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B686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（本列数据的勾稽关系为：第一项加第二项之和，等于第三项加第四项之和）</w:t>
            </w:r>
          </w:p>
        </w:tc>
        <w:tc>
          <w:tcPr>
            <w:tcW w:w="0" w:type="auto"/>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0255C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申请人情况</w:t>
            </w:r>
          </w:p>
        </w:tc>
      </w:tr>
      <w:tr w14:paraId="6CF52B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15F6BDD">
            <w:pPr>
              <w:rPr>
                <w:rFonts w:hint="eastAsia"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4BEE92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自然人</w:t>
            </w:r>
          </w:p>
        </w:tc>
        <w:tc>
          <w:tcPr>
            <w:tcW w:w="0" w:type="auto"/>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27344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法人或其他组织</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362CBE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r>
      <w:tr w14:paraId="4F6E3B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22E39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C29D7E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A441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商业企业</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8C93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科研机构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6F2D8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社会公益组织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9DAEE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法律服务机构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A01B6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72398BB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r>
      <w:tr w14:paraId="1E8F6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ED3B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一、本年新收政府信息公开申请数量</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6CC67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default" w:ascii="宋体" w:hAnsi="宋体" w:eastAsia="宋体" w:cs="宋体"/>
                <w:i w:val="0"/>
                <w:iCs w:val="0"/>
                <w:caps w:val="0"/>
                <w:color w:val="000000"/>
                <w:spacing w:val="0"/>
                <w:kern w:val="0"/>
                <w:sz w:val="24"/>
                <w:szCs w:val="24"/>
                <w:lang w:val="en-US" w:eastAsia="zh-CN" w:bidi="ar"/>
              </w:rPr>
              <w:t>1</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ED870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4408A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9B32C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DB8C0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3E456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9DEC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default" w:ascii="宋体" w:hAnsi="宋体" w:eastAsia="宋体" w:cs="宋体"/>
                <w:i w:val="0"/>
                <w:iCs w:val="0"/>
                <w:caps w:val="0"/>
                <w:color w:val="000000"/>
                <w:spacing w:val="0"/>
                <w:kern w:val="0"/>
                <w:sz w:val="24"/>
                <w:szCs w:val="24"/>
                <w:lang w:val="en-US" w:eastAsia="zh-CN" w:bidi="ar"/>
              </w:rPr>
              <w:t>1</w:t>
            </w:r>
          </w:p>
        </w:tc>
      </w:tr>
      <w:tr w14:paraId="32D94B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DC60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二、上年结转政府信息公开申请数量</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714B3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B6524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44C91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BC422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5A928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A47EA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83D57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368FC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85C6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三、本年度办理结果</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35A28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ascii="楷体" w:hAnsi="楷体" w:eastAsia="楷体" w:cs="楷体"/>
                <w:i w:val="0"/>
                <w:iCs w:val="0"/>
                <w:caps w:val="0"/>
                <w:color w:val="000000"/>
                <w:spacing w:val="0"/>
                <w:sz w:val="19"/>
                <w:szCs w:val="19"/>
              </w:rPr>
              <w:t>（一）</w:t>
            </w:r>
            <w:r>
              <w:rPr>
                <w:rFonts w:hint="eastAsia" w:ascii="宋体" w:hAnsi="宋体" w:eastAsia="宋体" w:cs="宋体"/>
                <w:i w:val="0"/>
                <w:iCs w:val="0"/>
                <w:caps w:val="0"/>
                <w:color w:val="000000"/>
                <w:spacing w:val="0"/>
                <w:kern w:val="0"/>
                <w:sz w:val="24"/>
                <w:szCs w:val="24"/>
                <w:lang w:val="en-US" w:eastAsia="zh-CN" w:bidi="ar"/>
              </w:rPr>
              <w:t>予以</w:t>
            </w:r>
            <w:r>
              <w:rPr>
                <w:rFonts w:ascii="楷体" w:hAnsi="楷体" w:eastAsia="楷体" w:cs="楷体"/>
                <w:i w:val="0"/>
                <w:iCs w:val="0"/>
                <w:caps w:val="0"/>
                <w:color w:val="000000"/>
                <w:spacing w:val="0"/>
                <w:sz w:val="19"/>
                <w:szCs w:val="19"/>
              </w:rPr>
              <w:t>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81FD5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5FA7F7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25488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2F74E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FE164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FC0FE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174CB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786F0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B4B10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BB4C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（二）部分公开（区分处理的，只计这一情形，不计其他情形）</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6DF4B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901ED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CDE10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08EC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4EBEA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47707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E9262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A7F8F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41EBC0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4449D4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（三）不予公开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32E25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1.属于国家秘密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D2794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48764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BC47A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64C12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006AF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29500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E059B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74B0C1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3F59B3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27F15C5">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9A0F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2.其他法律行政法规禁止公开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6D229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AD36D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7E0BF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098B3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AD557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4FF0C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2F3BB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33C033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CE98C6A">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CC271C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67F4F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3.危及“三安全一稳定”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3D801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190AD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D2B0C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3CADB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02D26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DABC1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8502B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641922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7BD6DF">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6FC16DA">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777C8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4.保护第三方合法权益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ECDB6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C188D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61186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4B6EC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D214E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36B42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099C0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9645E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95EE29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98BC2E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601E0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5.属于三类内部事务信息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0FECA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CAE4A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FFFDB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8556C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4A818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5A1BC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94C4E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6A29E7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12898F">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2767B65">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3F448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6.属于四类过程性信息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D9D4B6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722AC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B2D01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36165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16653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19CA6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9DDE2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205BDB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CE2C6E9">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0AECD64">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71AF8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7.属于行政执法案卷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B0ABB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E9BF0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EC122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4175C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70394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0FD77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194D8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7630C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9449FE">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5EC716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989A7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8.属于行政查询事项</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28048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888AF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D44C8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39F2A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EEC62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96DD0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5C669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765B20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DDCB2F4">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DC94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（四）无法提供</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5CB4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1.本机关不掌握相关政府信息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98329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3B2EC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1816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16DF6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FEC3B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81AD6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64A9B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r>
      <w:tr w14:paraId="566109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CD00C7F">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E0C41F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542B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2.没有现成信息需要另行制作</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F259B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EC1CC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3A3A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9A736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B95E7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D70CE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E7102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076AE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0F062A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2A5F76B">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9DC78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3.补正后申请内容仍不明确</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9D34D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9F1EE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ED42A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F00C1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953F9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E38D9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6EC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038366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DE31BA">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13FCC2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（五）不予处理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8B27D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1.信访举报投诉类申请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B2FD5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E89DD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F1400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6AF5F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E7C6D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15FA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D847A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0F7EA6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072CF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2FCEC0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C33D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2.重复申请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439F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C9CA3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C5F51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3ED50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12E42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17E55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EDF18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7C9087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6D3B9E">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6A506CC9">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6AF7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3.要求提供公开出版物</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C3AD8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B182D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DBD5D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5698C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43ED3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8EDCF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167B7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532C99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2164989">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EBC3A7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73EFE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4.无正当理由大量反复申请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1B300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D8183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202C2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DF659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25BB2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8E4A8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97B97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298E4E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AB704B">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AB37E49">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7C6AE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5.要求行政机关确认或重新出具已获取信息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7511C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1AF73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DDFE5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FAE92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DB289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7BF18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05292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292915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2616D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9BCF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（六）其他处理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970E02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A55C8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4EB8D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37625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505B8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55248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13BBF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60FA29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C82C8B">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B0EB3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（七）总计</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88807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9D125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7816F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94E42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81D1B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A7B25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F4BAA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r>
      <w:tr w14:paraId="2B0782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107B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四、结转下年度继续办理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1B19D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F65E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CF8D6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849D4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E03D47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CD1A2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08381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bl>
    <w:p w14:paraId="03D3B7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pPr w:vertAnchor="text" w:tblpXSpec="left"/>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6"/>
        <w:gridCol w:w="576"/>
        <w:gridCol w:w="576"/>
        <w:gridCol w:w="576"/>
        <w:gridCol w:w="642"/>
        <w:gridCol w:w="536"/>
        <w:gridCol w:w="577"/>
        <w:gridCol w:w="577"/>
        <w:gridCol w:w="577"/>
        <w:gridCol w:w="590"/>
        <w:gridCol w:w="577"/>
        <w:gridCol w:w="577"/>
        <w:gridCol w:w="577"/>
        <w:gridCol w:w="577"/>
        <w:gridCol w:w="603"/>
      </w:tblGrid>
      <w:tr w14:paraId="513874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4D8A0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E218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行政诉讼</w:t>
            </w:r>
          </w:p>
        </w:tc>
      </w:tr>
      <w:tr w14:paraId="1D820F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10E8F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29AF29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A1A1B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6F673A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6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F3ABE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c>
          <w:tcPr>
            <w:tcW w:w="297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0733C2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未经复议直接起诉</w:t>
            </w:r>
          </w:p>
        </w:tc>
        <w:tc>
          <w:tcPr>
            <w:tcW w:w="303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223B38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复议后起诉</w:t>
            </w:r>
          </w:p>
        </w:tc>
      </w:tr>
      <w:tr w14:paraId="11195C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6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9542AD">
            <w:pPr>
              <w:rPr>
                <w:rFonts w:hint="eastAsia"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6B44F27">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BF044E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E7F4667">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ED69FA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14:paraId="1F1A4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79F33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2D5F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25D57B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3E62B9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3A7161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370A9D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A3E4D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E8676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7B354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r>
      <w:tr w14:paraId="1AFE61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6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B82C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F37FB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724E8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C5DA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14:paraId="52442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14:paraId="7B1F7D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2826A2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5E255A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450B5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7A52E6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548CA0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6D1A8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D24B9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248E1D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8C71B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r>
    </w:tbl>
    <w:p w14:paraId="179807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黑体" w:hAnsi="黑体" w:eastAsia="黑体" w:cs="黑体"/>
          <w:sz w:val="32"/>
          <w:szCs w:val="32"/>
        </w:rPr>
        <w:t>五、存在的主要问题及改进情况</w:t>
      </w:r>
    </w:p>
    <w:p w14:paraId="4ACF2B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滕州市城乡水务局在政府信息公开工作上虽然取得了一定成效，但工作中还存在几点不足，还需要进一步改进，主要包括：运行机制还不健全、主动向社会公开信息的内容需要进一步拓展等。改进措施：一、完善政府信息公开工作日常机制，建立审核、考评、检查评议等工作制度，规范和优化政府信息公开工作流程，加强对信息公开工作的督促力度，确保政府信息公开工作常态化、制度化、规范化。二、全方位、多渠道为公众提供信息服务，进一步拓展丰富政府信息公开内容。</w:t>
      </w:r>
    </w:p>
    <w:p w14:paraId="45E95E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3DBBE8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1.收取信息处理费情况方面。2022年，滕州市城乡水务局未收取信息处理费。</w:t>
      </w:r>
    </w:p>
    <w:p w14:paraId="6A4685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2.落实上级年度政务公开工作要点情况。2022年，滕州市城乡水务局认真按照《枣庄市2022年</w:t>
      </w:r>
      <w:bookmarkStart w:id="0" w:name="_GoBack"/>
      <w:bookmarkEnd w:id="0"/>
      <w:r>
        <w:rPr>
          <w:rFonts w:hint="eastAsia" w:ascii="仿宋_GB2312" w:hAnsi="仿宋_GB2312" w:eastAsia="仿宋_GB2312" w:cs="仿宋_GB2312"/>
          <w:sz w:val="32"/>
          <w:szCs w:val="32"/>
        </w:rPr>
        <w:t>政务公开工作要点》、《滕州市2022年政务公开工作要点》等工作任务、时间节点开展工作。</w:t>
      </w:r>
    </w:p>
    <w:p w14:paraId="0C1A5B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3.人大代表建议和政协提案办理情况方面。2022年，滕州市城乡水务局共办理建议提案16件，已办结，并将办理结果在政务公开网站进行了公开。</w:t>
      </w:r>
    </w:p>
    <w:p w14:paraId="423BB8E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4.开展政务公开创新方面。滕州市城乡水务局采取多种方式，不断创新公开形式，完善公开目录，不断提升创新政务公开工作。</w:t>
      </w:r>
    </w:p>
    <w:p w14:paraId="06747D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5.本单位政府信息公开工作年度报告数据统计需要说明的事项：无。</w:t>
      </w:r>
    </w:p>
    <w:p w14:paraId="4CEDAA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6.其他有关文件专门要求通过政府信息公开工作年度报告予以报告的事项：无。</w:t>
      </w:r>
    </w:p>
    <w:p w14:paraId="0720E2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eastAsia="仿宋_GB2312" w:asciiTheme="majorEastAsia" w:hAnsiTheme="majorEastAsia" w:cstheme="majorEastAsia"/>
          <w:sz w:val="32"/>
          <w:szCs w:val="32"/>
          <w:lang w:val="en-US" w:eastAsia="zh-CN"/>
        </w:rPr>
      </w:pPr>
      <w:r>
        <w:rPr>
          <w:rFonts w:hint="eastAsia" w:ascii="仿宋_GB2312" w:hAnsi="仿宋_GB2312" w:eastAsia="仿宋_GB2312" w:cs="仿宋_GB2312"/>
          <w:sz w:val="32"/>
          <w:szCs w:val="32"/>
        </w:rPr>
        <w:t>7.如对本报告有任何疑问，请与滕州市城乡水务局联系（地址：滕州市学院东路2199号，电话：0632-5691310；电子邮箱：tzswjdys@zz.shandong.cn）</w:t>
      </w:r>
      <w:r>
        <w:rPr>
          <w:rFonts w:hint="eastAsia" w:ascii="仿宋_GB2312" w:hAnsi="仿宋_GB2312" w:eastAsia="仿宋_GB2312" w:cs="仿宋_GB2312"/>
          <w:sz w:val="32"/>
          <w:szCs w:val="32"/>
          <w:lang w:eastAsia="zh-CN"/>
        </w:rPr>
        <w:t>。</w:t>
      </w:r>
    </w:p>
    <w:sectPr>
      <w:footerReference r:id="rId3" w:type="default"/>
      <w:pgSz w:w="11906" w:h="16838"/>
      <w:pgMar w:top="1701"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ÃƒÂ¥Ã‚Â¾Ã‚Â®ÃƒÂ¨Ã‚Â½Ã‚Â¯ÃƒÂ©Ã¢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14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B0A68">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AB0A68">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YzgxODU3YWFhNGI1MTI5MDZjZmMxY2VlMGMyYmIifQ=="/>
  </w:docVars>
  <w:rsids>
    <w:rsidRoot w:val="75123935"/>
    <w:rsid w:val="03391357"/>
    <w:rsid w:val="06BA22A5"/>
    <w:rsid w:val="07FA1055"/>
    <w:rsid w:val="09AC6AC4"/>
    <w:rsid w:val="173E5194"/>
    <w:rsid w:val="1AA655B1"/>
    <w:rsid w:val="27FC00DA"/>
    <w:rsid w:val="32091685"/>
    <w:rsid w:val="334E24EC"/>
    <w:rsid w:val="33E30C00"/>
    <w:rsid w:val="34B07982"/>
    <w:rsid w:val="36C36D24"/>
    <w:rsid w:val="43F72B79"/>
    <w:rsid w:val="49BF133E"/>
    <w:rsid w:val="4B8D35BB"/>
    <w:rsid w:val="504B6A9D"/>
    <w:rsid w:val="51A01B42"/>
    <w:rsid w:val="520914C1"/>
    <w:rsid w:val="57180CC5"/>
    <w:rsid w:val="59213252"/>
    <w:rsid w:val="5BC0334D"/>
    <w:rsid w:val="5F360164"/>
    <w:rsid w:val="5FD3D190"/>
    <w:rsid w:val="670822FF"/>
    <w:rsid w:val="67BA0E3C"/>
    <w:rsid w:val="69C61FB9"/>
    <w:rsid w:val="6A274783"/>
    <w:rsid w:val="6AE83F12"/>
    <w:rsid w:val="70C2134D"/>
    <w:rsid w:val="75123935"/>
    <w:rsid w:val="76320BBA"/>
    <w:rsid w:val="77F5684C"/>
    <w:rsid w:val="7E0A5DEF"/>
    <w:rsid w:val="7E2146A1"/>
    <w:rsid w:val="7EE8326D"/>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1386</Words>
  <Characters>1419</Characters>
  <Lines>0</Lines>
  <Paragraphs>0</Paragraphs>
  <TotalTime>1517</TotalTime>
  <ScaleCrop>false</ScaleCrop>
  <LinksUpToDate>false</LinksUpToDate>
  <CharactersWithSpaces>1430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2023-01-09T13:03:00Z</dcterms:created>
  <dc:creator>tengzhou</dc:creator>
  <cp:lastModifiedBy>guoguo</cp:lastModifiedBy>
  <dcterms:modified xsi:type="dcterms:W3CDTF">2026-02-11T02:36:41Z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5EF73FA11005470ABBE6A3F960DDB490_13</vt:lpwstr>
  </property>
  <property fmtid="{D5CDD505-2E9C-101B-9397-08002B2CF9AE}" pid="4" name="KSOTemplateDocerSaveRecord">
    <vt:lpwstr>eyJoZGlkIjoiMjU1OWIwOGExMDdlNTc4NGUyY2MyNzViYmE0MTk0MWYiLCJ1c2VySWQiOiIyMDY0OTE2ODgifQ==</vt:lpwstr>
  </property>
</Properties>
</file>