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right"/>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滕州市人民政府办公室2022年政府信息公开工作年度报告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按照《中华人民共和国政府信息公开条例》和《国务院办公厅政府信息与政务公开办公室关于印发</w:t>
      </w:r>
      <w:r>
        <w:rPr>
          <w:rFonts w:hint="default" w:ascii="仿宋_GB2312" w:eastAsia="仿宋_GB2312" w:cstheme="minorBidi"/>
          <w:kern w:val="2"/>
          <w:sz w:val="32"/>
          <w:szCs w:val="32"/>
          <w:lang w:val="en" w:eastAsia="zh-CN" w:bidi="ar-SA"/>
        </w:rPr>
        <w:t>&lt;</w:t>
      </w:r>
      <w:r>
        <w:rPr>
          <w:rFonts w:hint="eastAsia" w:ascii="仿宋_GB2312" w:eastAsia="仿宋_GB2312" w:hAnsiTheme="minorHAnsi" w:cstheme="minorBidi"/>
          <w:kern w:val="2"/>
          <w:sz w:val="32"/>
          <w:szCs w:val="32"/>
          <w:lang w:val="en-US" w:eastAsia="zh-CN" w:bidi="ar-SA"/>
        </w:rPr>
        <w:t>中华人民共和国政府信息公开工作年度报告格式</w:t>
      </w:r>
      <w:r>
        <w:rPr>
          <w:rFonts w:hint="default" w:ascii="仿宋_GB2312" w:eastAsia="仿宋_GB2312" w:cstheme="minorBidi"/>
          <w:kern w:val="2"/>
          <w:sz w:val="32"/>
          <w:szCs w:val="32"/>
          <w:lang w:val="en" w:eastAsia="zh-CN" w:bidi="ar-SA"/>
        </w:rPr>
        <w:t>&gt;</w:t>
      </w:r>
      <w:r>
        <w:rPr>
          <w:rFonts w:hint="eastAsia" w:ascii="仿宋_GB2312" w:eastAsia="仿宋_GB2312" w:hAnsiTheme="minorHAnsi" w:cstheme="minorBidi"/>
          <w:kern w:val="2"/>
          <w:sz w:val="32"/>
          <w:szCs w:val="32"/>
          <w:lang w:val="en-US" w:eastAsia="zh-CN" w:bidi="ar-SA"/>
        </w:rPr>
        <w:t>的通知》（国办公开办函〔</w:t>
      </w:r>
      <w:r>
        <w:rPr>
          <w:rFonts w:hint="eastAsia" w:ascii="仿宋_GB2312" w:eastAsia="仿宋_GB2312" w:cstheme="minorBidi"/>
          <w:kern w:val="2"/>
          <w:sz w:val="32"/>
          <w:szCs w:val="32"/>
          <w:lang w:val="en-US" w:eastAsia="zh-CN" w:bidi="ar-SA"/>
        </w:rPr>
        <w:t>202</w:t>
      </w:r>
      <w:r>
        <w:rPr>
          <w:rFonts w:hint="default" w:ascii="仿宋_GB2312" w:eastAsia="仿宋_GB2312" w:cstheme="minorBidi"/>
          <w:kern w:val="2"/>
          <w:sz w:val="32"/>
          <w:szCs w:val="32"/>
          <w:lang w:val="en" w:eastAsia="zh-CN" w:bidi="ar-SA"/>
        </w:rPr>
        <w:t>1</w:t>
      </w:r>
      <w:r>
        <w:rPr>
          <w:rFonts w:hint="eastAsia" w:ascii="仿宋_GB2312" w:eastAsia="仿宋_GB2312" w:hAnsiTheme="minorHAnsi" w:cstheme="minorBidi"/>
          <w:kern w:val="2"/>
          <w:sz w:val="32"/>
          <w:szCs w:val="32"/>
          <w:lang w:val="en-US" w:eastAsia="zh-CN" w:bidi="ar-SA"/>
        </w:rPr>
        <w:t>〕</w:t>
      </w:r>
      <w:r>
        <w:rPr>
          <w:rFonts w:hint="default" w:ascii="仿宋_GB2312" w:eastAsia="仿宋_GB2312" w:cstheme="minorBidi"/>
          <w:kern w:val="2"/>
          <w:sz w:val="32"/>
          <w:szCs w:val="32"/>
          <w:lang w:val="en" w:eastAsia="zh-CN" w:bidi="ar-SA"/>
        </w:rPr>
        <w:t>30</w:t>
      </w:r>
      <w:r>
        <w:rPr>
          <w:rFonts w:hint="eastAsia" w:ascii="仿宋_GB2312" w:eastAsia="仿宋_GB2312" w:hAnsiTheme="minorHAnsi" w:cstheme="minorBidi"/>
          <w:kern w:val="2"/>
          <w:sz w:val="32"/>
          <w:szCs w:val="32"/>
          <w:lang w:val="en-US" w:eastAsia="zh-CN" w:bidi="ar-SA"/>
        </w:rPr>
        <w:t>号）</w:t>
      </w:r>
      <w:r>
        <w:rPr>
          <w:rFonts w:hint="eastAsia" w:ascii="仿宋_GB2312" w:eastAsia="仿宋_GB2312" w:cstheme="minorBidi"/>
          <w:kern w:val="2"/>
          <w:sz w:val="32"/>
          <w:szCs w:val="32"/>
          <w:lang w:val="en-US" w:eastAsia="zh-CN" w:bidi="ar-SA"/>
        </w:rPr>
        <w:t>以及</w:t>
      </w:r>
      <w:r>
        <w:rPr>
          <w:rFonts w:hint="eastAsia" w:ascii="仿宋_GB2312" w:eastAsia="仿宋_GB2312" w:hAnsiTheme="minorHAnsi" w:cstheme="minorBidi"/>
          <w:kern w:val="2"/>
          <w:sz w:val="32"/>
          <w:szCs w:val="32"/>
          <w:lang w:val="en-US" w:eastAsia="zh-CN" w:bidi="ar-SA"/>
        </w:rPr>
        <w:t>有关文件要求，</w:t>
      </w:r>
      <w:r>
        <w:rPr>
          <w:rFonts w:hint="eastAsia" w:ascii="仿宋_GB2312" w:eastAsia="仿宋_GB2312" w:cstheme="minorBidi"/>
          <w:kern w:val="2"/>
          <w:sz w:val="32"/>
          <w:szCs w:val="32"/>
          <w:lang w:val="en-US" w:eastAsia="zh-CN" w:bidi="ar-SA"/>
        </w:rPr>
        <w:t>结合</w:t>
      </w:r>
      <w:r>
        <w:rPr>
          <w:rFonts w:hint="eastAsia" w:ascii="仿宋_GB2312" w:eastAsia="仿宋_GB2312" w:hAnsiTheme="minorHAnsi" w:cstheme="minorBidi"/>
          <w:kern w:val="2"/>
          <w:sz w:val="32"/>
          <w:szCs w:val="32"/>
          <w:lang w:val="en-US" w:eastAsia="zh-CN" w:bidi="ar-SA"/>
        </w:rPr>
        <w:t>滕州市人民政府办公室202</w:t>
      </w: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年度信息公开工作实际，编制了本报告。报告主要内容包括：总体情况、主动公开政府信息情况、收到和处理政府信息公开申请情况、政府信息公开行政复议、行政诉讼情况、存在的主要问题和改进情况</w:t>
      </w:r>
      <w:r>
        <w:rPr>
          <w:rFonts w:hint="eastAsia" w:ascii="仿宋_GB2312" w:eastAsia="仿宋_GB2312" w:cstheme="minorBidi"/>
          <w:kern w:val="2"/>
          <w:sz w:val="32"/>
          <w:szCs w:val="32"/>
          <w:lang w:val="en-US" w:eastAsia="zh-CN" w:bidi="ar-SA"/>
        </w:rPr>
        <w:t>和</w:t>
      </w:r>
      <w:r>
        <w:rPr>
          <w:rFonts w:hint="eastAsia" w:ascii="仿宋_GB2312" w:eastAsia="仿宋_GB2312" w:hAnsiTheme="minorHAnsi" w:cstheme="minorBidi"/>
          <w:kern w:val="2"/>
          <w:sz w:val="32"/>
          <w:szCs w:val="32"/>
          <w:lang w:val="en-US" w:eastAsia="zh-CN" w:bidi="ar-SA"/>
        </w:rPr>
        <w:t>其他需要报告的事项。本报告所列数据的统计时限自</w:t>
      </w:r>
      <w:r>
        <w:rPr>
          <w:rFonts w:hint="eastAsia" w:ascii="仿宋_GB2312" w:eastAsia="仿宋_GB2312" w:cstheme="minorBidi"/>
          <w:kern w:val="2"/>
          <w:sz w:val="32"/>
          <w:szCs w:val="32"/>
          <w:lang w:val="en-US" w:eastAsia="zh-CN" w:bidi="ar-SA"/>
        </w:rPr>
        <w:t>2022</w:t>
      </w:r>
      <w:r>
        <w:rPr>
          <w:rFonts w:hint="eastAsia" w:ascii="仿宋_GB2312" w:eastAsia="仿宋_GB2312" w:hAnsiTheme="minorHAnsi" w:cstheme="minorBidi"/>
          <w:kern w:val="2"/>
          <w:sz w:val="32"/>
          <w:szCs w:val="32"/>
          <w:lang w:val="en-US" w:eastAsia="zh-CN" w:bidi="ar-SA"/>
        </w:rPr>
        <w:t>年1月1日起至</w:t>
      </w:r>
      <w:r>
        <w:rPr>
          <w:rFonts w:hint="eastAsia" w:ascii="仿宋_GB2312" w:eastAsia="仿宋_GB2312" w:cstheme="minorBidi"/>
          <w:kern w:val="2"/>
          <w:sz w:val="32"/>
          <w:szCs w:val="32"/>
          <w:lang w:val="en-US" w:eastAsia="zh-CN" w:bidi="ar-SA"/>
        </w:rPr>
        <w:t>2022</w:t>
      </w:r>
      <w:r>
        <w:rPr>
          <w:rFonts w:hint="eastAsia" w:ascii="仿宋_GB2312" w:eastAsia="仿宋_GB2312" w:hAnsiTheme="minorHAnsi" w:cstheme="minorBidi"/>
          <w:kern w:val="2"/>
          <w:sz w:val="32"/>
          <w:szCs w:val="32"/>
          <w:lang w:val="en-US" w:eastAsia="zh-CN" w:bidi="ar-SA"/>
        </w:rPr>
        <w:t>年12月31日止。</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（一）主动公开情况。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eastAsia="仿宋_GB2312" w:cstheme="minorBidi"/>
          <w:kern w:val="2"/>
          <w:sz w:val="32"/>
          <w:szCs w:val="32"/>
          <w:highlight w:val="none"/>
          <w:lang w:val="en-US" w:eastAsia="zh-CN" w:bidi="ar-SA"/>
        </w:rPr>
        <w:t>滕州市人民政府办公室按照上级要求及部署，积极履行政务公开工作主管部门职责，</w:t>
      </w:r>
      <w:r>
        <w:rPr>
          <w:rFonts w:hint="eastAsia" w:ascii="仿宋_GB2312" w:hAnsi="宋体" w:eastAsia="仿宋_GB2312" w:cs="宋体"/>
          <w:kern w:val="0"/>
          <w:sz w:val="32"/>
          <w:szCs w:val="32"/>
          <w:lang w:val="en-US" w:eastAsia="zh-CN" w:bidi="ar-SA"/>
        </w:rPr>
        <w:t>结合我市实际，制定并发布了滕州市2022年政务公开工作要点及工作台账，明确任务具体要求、责任单位，为政务公开工作奠定基础。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一是</w:t>
      </w:r>
      <w:r>
        <w:rPr>
          <w:rFonts w:hint="eastAsia" w:ascii="仿宋_GB2312" w:hAnsi="宋体" w:eastAsia="仿宋_GB2312" w:cs="宋体"/>
          <w:kern w:val="0"/>
          <w:sz w:val="32"/>
          <w:szCs w:val="32"/>
          <w:lang w:val="en-US" w:eastAsia="zh-CN" w:bidi="ar-SA"/>
        </w:rPr>
        <w:t>做好基础信息公开。按时发布机构职能、领导信息、政府文件、政府工作报告、本单位财政预决算等，全年共发布信息846条。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pPr>
      <w:r>
        <w:rPr>
          <w:rFonts w:hint="eastAsia" w:ascii="仿宋_GB2312" w:eastAsia="仿宋_GB2312" w:cstheme="minorBidi"/>
          <w:b/>
          <w:bCs/>
          <w:kern w:val="2"/>
          <w:sz w:val="32"/>
          <w:szCs w:val="32"/>
          <w:highlight w:val="none"/>
          <w:lang w:val="en-US" w:eastAsia="zh-CN" w:bidi="ar-SA"/>
        </w:rPr>
        <w:t>二是</w:t>
      </w:r>
      <w:r>
        <w:rPr>
          <w:rFonts w:hint="eastAsia" w:ascii="仿宋_GB2312" w:eastAsia="仿宋_GB2312" w:cstheme="minorBidi"/>
          <w:b w:val="0"/>
          <w:bCs w:val="0"/>
          <w:kern w:val="2"/>
          <w:sz w:val="32"/>
          <w:szCs w:val="32"/>
          <w:highlight w:val="none"/>
          <w:lang w:val="en-US" w:eastAsia="zh-CN" w:bidi="ar-SA"/>
        </w:rPr>
        <w:t>丰富政策解读形式。</w:t>
      </w:r>
      <w:r>
        <w:rPr>
          <w:rFonts w:ascii="仿宋_GB2312" w:hAnsi="宋体" w:eastAsia="仿宋_GB2312" w:cs="仿宋_GB2312"/>
          <w:i w:val="0"/>
          <w:caps w:val="0"/>
          <w:color w:val="000000"/>
          <w:spacing w:val="0"/>
          <w:kern w:val="0"/>
          <w:sz w:val="32"/>
          <w:szCs w:val="32"/>
          <w:lang w:val="en-US" w:eastAsia="zh-CN" w:bidi="ar"/>
        </w:rPr>
        <w:t>明确主要负责人解读、动漫解读、政策简明问答、数字图文解读、新闻发布会解读</w:t>
      </w:r>
      <w:r>
        <w:rPr>
          <w:rFonts w:hint="eastAsia" w:ascii="仿宋_GB2312" w:hAnsi="宋体" w:eastAsia="仿宋_GB2312" w:cs="仿宋_GB2312"/>
          <w:i w:val="0"/>
          <w:caps w:val="0"/>
          <w:color w:val="000000"/>
          <w:spacing w:val="0"/>
          <w:kern w:val="0"/>
          <w:sz w:val="32"/>
          <w:szCs w:val="32"/>
          <w:lang w:val="en-US" w:eastAsia="zh-CN" w:bidi="ar"/>
        </w:rPr>
        <w:t>等</w:t>
      </w:r>
      <w:r>
        <w:rPr>
          <w:rFonts w:ascii="仿宋_GB2312" w:hAnsi="宋体" w:eastAsia="仿宋_GB2312" w:cs="仿宋_GB2312"/>
          <w:i w:val="0"/>
          <w:caps w:val="0"/>
          <w:color w:val="000000"/>
          <w:spacing w:val="0"/>
          <w:kern w:val="0"/>
          <w:sz w:val="32"/>
          <w:szCs w:val="32"/>
          <w:lang w:val="en-US" w:eastAsia="zh-CN" w:bidi="ar"/>
        </w:rPr>
        <w:t>方式</w:t>
      </w:r>
      <w:r>
        <w:rPr>
          <w:rFonts w:hint="eastAsia" w:ascii="仿宋_GB2312" w:hAnsi="宋体" w:eastAsia="仿宋_GB2312" w:cs="仿宋_GB2312"/>
          <w:i w:val="0"/>
          <w:caps w:val="0"/>
          <w:color w:val="000000"/>
          <w:spacing w:val="0"/>
          <w:kern w:val="0"/>
          <w:sz w:val="32"/>
          <w:szCs w:val="32"/>
          <w:lang w:val="en-US" w:eastAsia="zh-CN" w:bidi="a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1647825</wp:posOffset>
            </wp:positionV>
            <wp:extent cx="5080000" cy="3810000"/>
            <wp:effectExtent l="4445" t="4445" r="20955" b="52705"/>
            <wp:wrapTopAndBottom/>
            <wp:docPr id="3" name="图表 3" descr="7b0a202020202263686172745265734964223a20223230343734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_GB2312" w:hAnsi="宋体" w:eastAsia="仿宋_GB2312" w:cs="仿宋_GB2312"/>
          <w:i w:val="0"/>
          <w:caps w:val="0"/>
          <w:color w:val="000000"/>
          <w:spacing w:val="0"/>
          <w:kern w:val="0"/>
          <w:sz w:val="32"/>
          <w:szCs w:val="32"/>
          <w:lang w:val="en-US" w:eastAsia="zh-CN" w:bidi="ar"/>
        </w:rPr>
        <w:t>要求和发布时限，</w:t>
      </w:r>
      <w:r>
        <w:rPr>
          <w:rFonts w:hint="eastAsia" w:ascii="仿宋_GB2312" w:eastAsia="仿宋_GB2312"/>
          <w:snapToGrid w:val="0"/>
          <w:kern w:val="0"/>
          <w:sz w:val="32"/>
          <w:szCs w:val="32"/>
        </w:rPr>
        <w:t>全面精准解读相关政策</w:t>
      </w:r>
      <w:r>
        <w:rPr>
          <w:rFonts w:hint="eastAsia" w:ascii="仿宋_GB2312" w:eastAsia="仿宋_GB2312"/>
          <w:snapToGrid w:val="0"/>
          <w:kern w:val="0"/>
          <w:sz w:val="32"/>
          <w:szCs w:val="32"/>
          <w:lang w:eastAsia="zh-CN"/>
        </w:rPr>
        <w:t>。</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全年解读会议</w:t>
      </w:r>
      <w:r>
        <w:rPr>
          <w:rFonts w:hint="eastAsia" w:ascii="仿宋_GB2312" w:hAnsi="Calibri" w:eastAsia="仿宋_GB2312" w:cs="仿宋_GB2312"/>
          <w:i w:val="0"/>
          <w:caps w:val="0"/>
          <w:color w:val="000000"/>
          <w:spacing w:val="0"/>
          <w:kern w:val="0"/>
          <w:sz w:val="32"/>
          <w:szCs w:val="32"/>
          <w:shd w:val="clear" w:fill="FFFFFF"/>
          <w:lang w:val="en-US" w:eastAsia="zh-CN" w:bidi="ar"/>
        </w:rPr>
        <w:t>19</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次。解读政策</w:t>
      </w:r>
      <w:r>
        <w:rPr>
          <w:rFonts w:hint="eastAsia" w:ascii="仿宋_GB2312" w:hAnsi="Calibri" w:eastAsia="仿宋_GB2312" w:cs="仿宋_GB2312"/>
          <w:i w:val="0"/>
          <w:caps w:val="0"/>
          <w:color w:val="000000"/>
          <w:spacing w:val="0"/>
          <w:kern w:val="0"/>
          <w:sz w:val="32"/>
          <w:szCs w:val="32"/>
          <w:shd w:val="clear" w:fill="FFFFFF"/>
          <w:lang w:val="en-US" w:eastAsia="zh-CN" w:bidi="ar"/>
        </w:rPr>
        <w:t>61</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篇，其中文字解读</w:t>
      </w:r>
      <w:r>
        <w:rPr>
          <w:rFonts w:hint="eastAsia" w:ascii="仿宋_GB2312" w:hAnsi="Calibri" w:eastAsia="仿宋_GB2312" w:cs="仿宋_GB2312"/>
          <w:i w:val="0"/>
          <w:caps w:val="0"/>
          <w:color w:val="000000"/>
          <w:spacing w:val="0"/>
          <w:kern w:val="0"/>
          <w:sz w:val="32"/>
          <w:szCs w:val="32"/>
          <w:shd w:val="clear" w:fill="FFFFFF"/>
          <w:lang w:val="en-US" w:eastAsia="zh-CN" w:bidi="ar"/>
        </w:rPr>
        <w:t>31</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篇，主要负责人解读</w:t>
      </w:r>
      <w:r>
        <w:rPr>
          <w:rFonts w:hint="eastAsia" w:ascii="仿宋_GB2312" w:hAnsi="Calibri" w:eastAsia="仿宋_GB2312" w:cs="仿宋_GB2312"/>
          <w:i w:val="0"/>
          <w:caps w:val="0"/>
          <w:color w:val="000000"/>
          <w:spacing w:val="0"/>
          <w:kern w:val="0"/>
          <w:sz w:val="32"/>
          <w:szCs w:val="32"/>
          <w:shd w:val="clear" w:fill="FFFFFF"/>
          <w:lang w:val="en-US" w:eastAsia="zh-CN" w:bidi="ar"/>
        </w:rPr>
        <w:t>4</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篇，新闻发布会</w:t>
      </w:r>
      <w:r>
        <w:rPr>
          <w:rFonts w:hint="eastAsia" w:ascii="仿宋_GB2312" w:hAnsi="Calibri" w:eastAsia="仿宋_GB2312" w:cs="仿宋_GB2312"/>
          <w:i w:val="0"/>
          <w:caps w:val="0"/>
          <w:color w:val="000000"/>
          <w:spacing w:val="0"/>
          <w:kern w:val="0"/>
          <w:sz w:val="32"/>
          <w:szCs w:val="32"/>
          <w:shd w:val="clear" w:fill="FFFFFF"/>
          <w:lang w:val="en-US" w:eastAsia="zh-CN" w:bidi="ar"/>
        </w:rPr>
        <w:t>9</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篇，简明问答</w:t>
      </w:r>
      <w:r>
        <w:rPr>
          <w:rFonts w:hint="eastAsia" w:ascii="仿宋_GB2312" w:hAnsi="Calibri" w:eastAsia="仿宋_GB2312" w:cs="仿宋_GB2312"/>
          <w:i w:val="0"/>
          <w:caps w:val="0"/>
          <w:color w:val="000000"/>
          <w:spacing w:val="0"/>
          <w:kern w:val="0"/>
          <w:sz w:val="32"/>
          <w:szCs w:val="32"/>
          <w:shd w:val="clear" w:fill="FFFFFF"/>
          <w:lang w:val="en-US" w:eastAsia="zh-CN" w:bidi="ar"/>
        </w:rPr>
        <w:t>2</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篇，图文解读</w:t>
      </w:r>
      <w:r>
        <w:rPr>
          <w:rFonts w:hint="eastAsia" w:ascii="仿宋_GB2312" w:hAnsi="Calibri" w:eastAsia="仿宋_GB2312" w:cs="仿宋_GB2312"/>
          <w:i w:val="0"/>
          <w:caps w:val="0"/>
          <w:color w:val="000000"/>
          <w:spacing w:val="0"/>
          <w:kern w:val="0"/>
          <w:sz w:val="32"/>
          <w:szCs w:val="32"/>
          <w:shd w:val="clear" w:fill="FFFFFF"/>
          <w:lang w:val="en-US" w:eastAsia="zh-CN" w:bidi="ar"/>
        </w:rPr>
        <w:t>10</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篇，视频解读</w:t>
      </w:r>
      <w:r>
        <w:rPr>
          <w:rFonts w:hint="eastAsia" w:ascii="仿宋_GB2312" w:hAnsi="Calibri" w:eastAsia="仿宋_GB2312" w:cs="仿宋_GB2312"/>
          <w:i w:val="0"/>
          <w:caps w:val="0"/>
          <w:color w:val="000000"/>
          <w:spacing w:val="0"/>
          <w:kern w:val="0"/>
          <w:sz w:val="32"/>
          <w:szCs w:val="32"/>
          <w:shd w:val="clear" w:fill="FFFFFF"/>
          <w:lang w:val="en-US" w:eastAsia="zh-CN" w:bidi="ar"/>
        </w:rPr>
        <w:t>5</w:t>
      </w:r>
      <w:r>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t>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ÃƒÂ¥Ã‚Â¾Ã‚Â®ÃƒÂ¨Ã‚Â½Ã‚Â¯ÃƒÂ©Ã¢â"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b/>
          <w:bCs/>
          <w:i w:val="0"/>
          <w:caps w:val="0"/>
          <w:color w:val="000000"/>
          <w:spacing w:val="0"/>
          <w:kern w:val="0"/>
          <w:sz w:val="32"/>
          <w:szCs w:val="32"/>
          <w:lang w:val="en-US" w:eastAsia="zh-CN" w:bidi="ar"/>
        </w:rPr>
        <w:t>三是</w:t>
      </w:r>
      <w:r>
        <w:rPr>
          <w:rFonts w:ascii="仿宋_GB2312" w:hAnsi="宋体" w:eastAsia="仿宋_GB2312" w:cs="仿宋_GB2312"/>
          <w:i w:val="0"/>
          <w:caps w:val="0"/>
          <w:color w:val="000000"/>
          <w:spacing w:val="0"/>
          <w:kern w:val="0"/>
          <w:sz w:val="32"/>
          <w:szCs w:val="32"/>
          <w:lang w:val="en-US" w:eastAsia="zh-CN" w:bidi="ar"/>
        </w:rPr>
        <w:t>升级政策文件集中发布平台。优化政策文件平台，将文件按照类型、主题、体裁、年份、特色进行多维度分类，</w:t>
      </w:r>
      <w:r>
        <w:rPr>
          <w:rFonts w:hint="eastAsia" w:ascii="仿宋_GB2312" w:hAnsi="宋体" w:eastAsia="仿宋_GB2312" w:cs="仿宋_GB2312"/>
          <w:i w:val="0"/>
          <w:caps w:val="0"/>
          <w:color w:val="000000"/>
          <w:spacing w:val="0"/>
          <w:kern w:val="0"/>
          <w:sz w:val="32"/>
          <w:szCs w:val="32"/>
          <w:lang w:val="en-US" w:eastAsia="zh-CN" w:bidi="ar"/>
        </w:rPr>
        <w:t>为下步</w:t>
      </w:r>
      <w:r>
        <w:rPr>
          <w:rFonts w:ascii="仿宋_GB2312" w:hAnsi="宋体" w:eastAsia="仿宋_GB2312" w:cs="仿宋_GB2312"/>
          <w:i w:val="0"/>
          <w:caps w:val="0"/>
          <w:color w:val="000000"/>
          <w:spacing w:val="0"/>
          <w:kern w:val="0"/>
          <w:sz w:val="32"/>
          <w:szCs w:val="32"/>
          <w:lang w:val="en-US" w:eastAsia="zh-CN" w:bidi="ar"/>
        </w:rPr>
        <w:t>实现</w:t>
      </w:r>
      <w:r>
        <w:rPr>
          <w:rFonts w:hint="eastAsia" w:ascii="仿宋_GB2312" w:hAnsi="宋体" w:eastAsia="仿宋_GB2312" w:cs="仿宋_GB2312"/>
          <w:i w:val="0"/>
          <w:caps w:val="0"/>
          <w:color w:val="000000"/>
          <w:spacing w:val="0"/>
          <w:kern w:val="0"/>
          <w:sz w:val="32"/>
          <w:szCs w:val="32"/>
          <w:lang w:val="en-US" w:eastAsia="zh-CN" w:bidi="ar"/>
        </w:rPr>
        <w:t>按需</w:t>
      </w:r>
      <w:r>
        <w:rPr>
          <w:rFonts w:ascii="仿宋_GB2312" w:hAnsi="宋体" w:eastAsia="仿宋_GB2312" w:cs="仿宋_GB2312"/>
          <w:i w:val="0"/>
          <w:caps w:val="0"/>
          <w:color w:val="000000"/>
          <w:spacing w:val="0"/>
          <w:kern w:val="0"/>
          <w:sz w:val="32"/>
          <w:szCs w:val="32"/>
          <w:lang w:val="en-US" w:eastAsia="zh-CN" w:bidi="ar"/>
        </w:rPr>
        <w:t>主动推送</w:t>
      </w:r>
      <w:r>
        <w:rPr>
          <w:rFonts w:hint="eastAsia" w:ascii="仿宋_GB2312" w:hAnsi="宋体" w:eastAsia="仿宋_GB2312" w:cs="仿宋_GB2312"/>
          <w:i w:val="0"/>
          <w:caps w:val="0"/>
          <w:color w:val="000000"/>
          <w:spacing w:val="0"/>
          <w:kern w:val="0"/>
          <w:sz w:val="32"/>
          <w:szCs w:val="32"/>
          <w:lang w:val="en-US" w:eastAsia="zh-CN" w:bidi="ar"/>
        </w:rPr>
        <w:t>做好准备。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b/>
          <w:bCs/>
          <w:i w:val="0"/>
          <w:caps w:val="0"/>
          <w:color w:val="000000"/>
          <w:spacing w:val="0"/>
          <w:kern w:val="0"/>
          <w:sz w:val="32"/>
          <w:szCs w:val="32"/>
          <w:lang w:val="en-US" w:eastAsia="zh-CN" w:bidi="ar"/>
        </w:rPr>
        <w:t>四是</w:t>
      </w:r>
      <w:r>
        <w:rPr>
          <w:rFonts w:hint="eastAsia" w:ascii="仿宋_GB2312" w:hAnsi="宋体" w:eastAsia="仿宋_GB2312" w:cs="仿宋_GB2312"/>
          <w:i w:val="0"/>
          <w:caps w:val="0"/>
          <w:color w:val="000000"/>
          <w:spacing w:val="0"/>
          <w:kern w:val="0"/>
          <w:sz w:val="32"/>
          <w:szCs w:val="32"/>
          <w:lang w:val="en-US" w:eastAsia="zh-CN" w:bidi="ar"/>
        </w:rPr>
        <w:t>加大决策公开力度。联合司法局及时发布、调整重大行政决策事项目录，归集以市政府、政府办公室名义印发的重大决策事项意见征集、会议审议、决策及解读全流程。</w:t>
      </w:r>
    </w:p>
    <w:p>
      <w:pPr>
        <w:pStyle w:val="2"/>
        <w:rPr>
          <w:rFonts w:hint="eastAsia" w:ascii="仿宋_GB2312" w:hAnsi="宋体" w:eastAsia="仿宋_GB2312" w:cs="仿宋_GB2312"/>
          <w:i w:val="0"/>
          <w:caps w:val="0"/>
          <w:color w:val="000000"/>
          <w:spacing w:val="0"/>
          <w:kern w:val="0"/>
          <w:sz w:val="32"/>
          <w:szCs w:val="32"/>
          <w:lang w:val="en-US" w:eastAsia="zh-CN" w:bidi="ar"/>
        </w:rPr>
      </w:pPr>
    </w:p>
    <w:p>
      <w:pPr>
        <w:pStyle w:val="2"/>
        <w:ind w:left="0" w:leftChars="0" w:firstLine="0" w:firstLineChars="0"/>
        <w:rPr>
          <w:rFonts w:hint="eastAsia"/>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（二）依申请公开情况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2022年，滕州市人民政府办公室共受理48件政府信息公开申请，其中当面申请1件，信函邮寄37件，平台申请10件,已全部办结。其中予以公开14件，部分公开24件，不予公开1件，无法提供8件，其他处理1件。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drawing>
          <wp:anchor distT="0" distB="0" distL="114300" distR="114300" simplePos="0" relativeHeight="251660288" behindDoc="0" locked="0" layoutInCell="1" allowOverlap="1">
            <wp:simplePos x="0" y="0"/>
            <wp:positionH relativeFrom="column">
              <wp:posOffset>105410</wp:posOffset>
            </wp:positionH>
            <wp:positionV relativeFrom="paragraph">
              <wp:posOffset>365125</wp:posOffset>
            </wp:positionV>
            <wp:extent cx="4779010" cy="3635375"/>
            <wp:effectExtent l="0" t="0" r="2540" b="3175"/>
            <wp:wrapTopAndBottom/>
            <wp:docPr id="2" name="图表 2" descr="7b0a202020202263686172745265734964223a202232303437323331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2022年，政府办公室因信息公开被行政复议1次，结果维持。未经行政复议直接诉讼1次，结果维持。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（三）政府信息管理情况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lang w:val="en-US" w:eastAsia="zh-CN"/>
        </w:rPr>
      </w:pPr>
      <w:r>
        <w:rPr>
          <w:rFonts w:ascii="仿宋_GB2312" w:hAnsi="宋体" w:eastAsia="仿宋_GB2312" w:cs="仿宋_GB2312"/>
          <w:b/>
          <w:bCs/>
          <w:i w:val="0"/>
          <w:caps w:val="0"/>
          <w:color w:val="000000"/>
          <w:spacing w:val="0"/>
          <w:kern w:val="0"/>
          <w:sz w:val="32"/>
          <w:szCs w:val="32"/>
          <w:lang w:val="en-US" w:eastAsia="zh-CN" w:bidi="ar"/>
        </w:rPr>
        <w:t>一是</w:t>
      </w:r>
      <w:r>
        <w:rPr>
          <w:rFonts w:ascii="仿宋_GB2312" w:hAnsi="宋体" w:eastAsia="仿宋_GB2312" w:cs="仿宋_GB2312"/>
          <w:i w:val="0"/>
          <w:caps w:val="0"/>
          <w:color w:val="000000"/>
          <w:spacing w:val="0"/>
          <w:kern w:val="0"/>
          <w:sz w:val="32"/>
          <w:szCs w:val="32"/>
          <w:lang w:val="en-US" w:eastAsia="zh-CN" w:bidi="ar"/>
        </w:rPr>
        <w:t>严格落实保密审查工作机制。严格落实信息发布协调机制和保密审查工作流程，确保应公开尽公开的同时不泄密。</w:t>
      </w:r>
      <w:r>
        <w:rPr>
          <w:rFonts w:ascii="仿宋_GB2312" w:hAnsi="宋体" w:eastAsia="仿宋_GB2312" w:cs="仿宋_GB2312"/>
          <w:b/>
          <w:bCs/>
          <w:i w:val="0"/>
          <w:caps w:val="0"/>
          <w:color w:val="000000"/>
          <w:spacing w:val="0"/>
          <w:kern w:val="0"/>
          <w:sz w:val="32"/>
          <w:szCs w:val="32"/>
          <w:lang w:val="en-US" w:eastAsia="zh-CN" w:bidi="ar"/>
        </w:rPr>
        <w:t>二是</w:t>
      </w:r>
      <w:r>
        <w:rPr>
          <w:rFonts w:ascii="仿宋_GB2312" w:hAnsi="宋体" w:eastAsia="仿宋_GB2312" w:cs="仿宋_GB2312"/>
          <w:i w:val="0"/>
          <w:caps w:val="0"/>
          <w:color w:val="000000"/>
          <w:spacing w:val="0"/>
          <w:kern w:val="0"/>
          <w:sz w:val="32"/>
          <w:szCs w:val="32"/>
          <w:lang w:val="en-US" w:eastAsia="zh-CN" w:bidi="ar"/>
        </w:rPr>
        <w:t>做好政府信息关联工作。优化政府文件、重要会议发布</w:t>
      </w:r>
      <w:r>
        <w:rPr>
          <w:rFonts w:hint="eastAsia" w:ascii="仿宋_GB2312" w:hAnsi="宋体" w:eastAsia="仿宋_GB2312" w:cs="仿宋_GB2312"/>
          <w:i w:val="0"/>
          <w:caps w:val="0"/>
          <w:color w:val="000000"/>
          <w:spacing w:val="0"/>
          <w:kern w:val="0"/>
          <w:sz w:val="32"/>
          <w:szCs w:val="32"/>
          <w:lang w:val="en-US" w:eastAsia="zh-CN" w:bidi="ar"/>
        </w:rPr>
        <w:t>形式</w:t>
      </w:r>
      <w:r>
        <w:rPr>
          <w:rFonts w:ascii="仿宋_GB2312" w:hAnsi="宋体" w:eastAsia="仿宋_GB2312" w:cs="仿宋_GB2312"/>
          <w:i w:val="0"/>
          <w:caps w:val="0"/>
          <w:color w:val="000000"/>
          <w:spacing w:val="0"/>
          <w:kern w:val="0"/>
          <w:sz w:val="32"/>
          <w:szCs w:val="32"/>
          <w:lang w:val="en-US" w:eastAsia="zh-CN" w:bidi="ar"/>
        </w:rPr>
        <w:t>，做好原文、解读关联工作</w:t>
      </w:r>
      <w:r>
        <w:rPr>
          <w:rFonts w:hint="eastAsia" w:ascii="仿宋_GB2312" w:hAnsi="宋体" w:eastAsia="仿宋_GB2312" w:cs="仿宋_GB2312"/>
          <w:i w:val="0"/>
          <w:caps w:val="0"/>
          <w:color w:val="000000"/>
          <w:spacing w:val="0"/>
          <w:kern w:val="0"/>
          <w:sz w:val="32"/>
          <w:szCs w:val="32"/>
          <w:lang w:val="en-US" w:eastAsia="zh-CN" w:bidi="ar"/>
        </w:rPr>
        <w:t>，做到</w:t>
      </w:r>
      <w:r>
        <w:rPr>
          <w:rFonts w:hint="eastAsia" w:ascii="仿宋_GB2312" w:hAnsi="仿宋_GB2312" w:eastAsia="仿宋_GB2312" w:cs="仿宋_GB2312"/>
          <w:i w:val="0"/>
          <w:caps w:val="0"/>
          <w:color w:val="000000"/>
          <w:spacing w:val="0"/>
          <w:sz w:val="32"/>
          <w:szCs w:val="32"/>
          <w:shd w:val="clear" w:color="auto" w:fill="FFFFFF"/>
          <w:lang w:eastAsia="zh-CN"/>
        </w:rPr>
        <w:t>同步解读、同步发布、互链互达。</w:t>
      </w:r>
      <w:r>
        <w:rPr>
          <w:rFonts w:ascii="仿宋_GB2312" w:hAnsi="宋体" w:eastAsia="仿宋_GB2312" w:cs="仿宋_GB2312"/>
          <w:b/>
          <w:bCs/>
          <w:i w:val="0"/>
          <w:caps w:val="0"/>
          <w:color w:val="000000"/>
          <w:spacing w:val="0"/>
          <w:kern w:val="0"/>
          <w:sz w:val="32"/>
          <w:szCs w:val="32"/>
          <w:lang w:val="en-US" w:eastAsia="zh-CN" w:bidi="ar"/>
        </w:rPr>
        <w:t>三是</w:t>
      </w:r>
      <w:r>
        <w:rPr>
          <w:rFonts w:ascii="仿宋_GB2312" w:hAnsi="宋体" w:eastAsia="仿宋_GB2312" w:cs="仿宋_GB2312"/>
          <w:i w:val="0"/>
          <w:caps w:val="0"/>
          <w:color w:val="000000"/>
          <w:spacing w:val="0"/>
          <w:kern w:val="0"/>
          <w:sz w:val="32"/>
          <w:szCs w:val="32"/>
          <w:lang w:val="en-US" w:eastAsia="zh-CN" w:bidi="ar"/>
        </w:rPr>
        <w:t>优化政府公报功能。</w:t>
      </w:r>
      <w:r>
        <w:rPr>
          <w:rFonts w:hint="eastAsia" w:ascii="仿宋_GB2312" w:hAnsi="宋体" w:eastAsia="仿宋_GB2312" w:cs="仿宋_GB2312"/>
          <w:i w:val="0"/>
          <w:caps w:val="0"/>
          <w:color w:val="000000"/>
          <w:spacing w:val="0"/>
          <w:kern w:val="0"/>
          <w:sz w:val="32"/>
          <w:szCs w:val="32"/>
          <w:lang w:val="en-US" w:eastAsia="zh-CN" w:bidi="ar"/>
        </w:rPr>
        <w:t>持续做好政府公报的印发、上网工作。2022年度，编制印</w:t>
      </w:r>
      <w:r>
        <w:rPr>
          <w:rFonts w:hint="eastAsia" w:ascii="仿宋_GB2312" w:hAnsi="宋体" w:eastAsia="仿宋_GB2312" w:cs="仿宋_GB2312"/>
          <w:i w:val="0"/>
          <w:caps w:val="0"/>
          <w:color w:val="000000"/>
          <w:spacing w:val="0"/>
          <w:kern w:val="0"/>
          <w:sz w:val="32"/>
          <w:szCs w:val="32"/>
          <w:highlight w:val="none"/>
          <w:lang w:val="en-US" w:eastAsia="zh-CN" w:bidi="ar"/>
        </w:rPr>
        <w:t>发了9期政府公</w:t>
      </w:r>
      <w:r>
        <w:rPr>
          <w:rFonts w:hint="eastAsia" w:ascii="仿宋_GB2312" w:hAnsi="宋体" w:eastAsia="仿宋_GB2312" w:cs="仿宋_GB2312"/>
          <w:i w:val="0"/>
          <w:caps w:val="0"/>
          <w:color w:val="000000"/>
          <w:spacing w:val="0"/>
          <w:kern w:val="0"/>
          <w:sz w:val="32"/>
          <w:szCs w:val="32"/>
          <w:lang w:val="en-US" w:eastAsia="zh-CN" w:bidi="ar"/>
        </w:rPr>
        <w:t>报，除在政府公报专题页面和微信公众号发布外，及时送至各政务公开体验区、档案馆和图书馆政府信息公开查阅中心，实现“网上”“网下”同步发布。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（四）平台建设情况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 w:hAnsi="楷体" w:eastAsia="楷体" w:cs="楷体"/>
          <w:kern w:val="2"/>
          <w:sz w:val="32"/>
          <w:szCs w:val="32"/>
          <w:lang w:val="en-US" w:eastAsia="zh-CN" w:bidi="ar-SA"/>
        </w:rPr>
      </w:pPr>
      <w:r>
        <w:rPr>
          <w:rFonts w:hint="eastAsia" w:ascii="仿宋_GB2312" w:hAnsi="Arial" w:eastAsia="仿宋_GB2312" w:cs="仿宋_GB2312"/>
          <w:b/>
          <w:bCs/>
          <w:i w:val="0"/>
          <w:caps w:val="0"/>
          <w:color w:val="000000"/>
          <w:spacing w:val="0"/>
          <w:sz w:val="32"/>
          <w:szCs w:val="32"/>
          <w:shd w:val="clear" w:color="auto" w:fill="FFFFFF"/>
          <w:lang w:eastAsia="zh-CN"/>
        </w:rPr>
        <w:t>政府网站方面</w:t>
      </w:r>
      <w:r>
        <w:rPr>
          <w:rFonts w:hint="eastAsia" w:ascii="仿宋_GB2312" w:hAnsi="Arial" w:eastAsia="仿宋_GB2312" w:cs="仿宋_GB2312"/>
          <w:i w:val="0"/>
          <w:caps w:val="0"/>
          <w:color w:val="000000"/>
          <w:spacing w:val="0"/>
          <w:sz w:val="32"/>
          <w:szCs w:val="32"/>
          <w:shd w:val="clear" w:color="auto" w:fill="FFFFFF"/>
          <w:lang w:eastAsia="zh-CN"/>
        </w:rPr>
        <w:t>，围绕网站布局、功能提升等全面改版升级，优化网站页面布局，细化目录指标设置，网站服务更加便民利民。</w:t>
      </w:r>
      <w:r>
        <w:rPr>
          <w:rFonts w:hint="eastAsia" w:ascii="仿宋_GB2312" w:hAnsi="Arial" w:eastAsia="仿宋_GB2312" w:cs="仿宋_GB2312"/>
          <w:b/>
          <w:bCs/>
          <w:i w:val="0"/>
          <w:caps w:val="0"/>
          <w:color w:val="000000"/>
          <w:spacing w:val="0"/>
          <w:sz w:val="32"/>
          <w:szCs w:val="32"/>
          <w:shd w:val="clear" w:color="auto" w:fill="FFFFFF"/>
          <w:lang w:eastAsia="zh-CN"/>
        </w:rPr>
        <w:t>政务新媒体方面</w:t>
      </w:r>
      <w:r>
        <w:rPr>
          <w:rFonts w:hint="eastAsia" w:ascii="仿宋_GB2312" w:hAnsi="Arial" w:eastAsia="仿宋_GB2312" w:cs="仿宋_GB2312"/>
          <w:i w:val="0"/>
          <w:caps w:val="0"/>
          <w:color w:val="000000"/>
          <w:spacing w:val="0"/>
          <w:sz w:val="32"/>
          <w:szCs w:val="32"/>
          <w:shd w:val="clear" w:color="auto" w:fill="FFFFFF"/>
          <w:lang w:eastAsia="zh-CN"/>
        </w:rPr>
        <w:t>，在“中国滕州”微信公众号增设“政府公报”、“政策库”版块，集中发布市政府政策文件。</w:t>
      </w:r>
      <w:r>
        <w:rPr>
          <w:rFonts w:hint="eastAsia" w:ascii="仿宋_GB2312" w:hAnsi="Arial" w:eastAsia="仿宋_GB2312" w:cs="仿宋_GB2312"/>
          <w:b/>
          <w:bCs/>
          <w:i w:val="0"/>
          <w:caps w:val="0"/>
          <w:color w:val="000000"/>
          <w:spacing w:val="0"/>
          <w:sz w:val="32"/>
          <w:szCs w:val="32"/>
          <w:shd w:val="clear" w:color="auto" w:fill="FFFFFF"/>
          <w:lang w:eastAsia="zh-CN"/>
        </w:rPr>
        <w:t>政务公开专区方面</w:t>
      </w:r>
      <w:r>
        <w:rPr>
          <w:rFonts w:hint="eastAsia" w:ascii="仿宋_GB2312" w:hAnsi="Arial" w:eastAsia="仿宋_GB2312" w:cs="仿宋_GB2312"/>
          <w:i w:val="0"/>
          <w:caps w:val="0"/>
          <w:color w:val="000000"/>
          <w:spacing w:val="0"/>
          <w:sz w:val="32"/>
          <w:szCs w:val="32"/>
          <w:shd w:val="clear" w:color="auto" w:fill="FFFFFF"/>
          <w:lang w:eastAsia="zh-CN"/>
        </w:rPr>
        <w:t>，今年不定期实地抽查了已建成的各镇街、村居政务公开体验区维护使用情况，切实发挥</w:t>
      </w:r>
      <w:r>
        <w:rPr>
          <w:rFonts w:hint="eastAsia" w:ascii="仿宋_GB2312" w:eastAsia="仿宋_GB2312"/>
          <w:sz w:val="32"/>
          <w:szCs w:val="32"/>
        </w:rPr>
        <w:t>专区信息公开、查阅办理、诉求处置</w:t>
      </w:r>
      <w:r>
        <w:rPr>
          <w:rFonts w:hint="eastAsia" w:ascii="仿宋_GB2312" w:eastAsia="仿宋_GB2312"/>
          <w:sz w:val="32"/>
          <w:szCs w:val="32"/>
          <w:lang w:eastAsia="zh-CN"/>
        </w:rPr>
        <w:t>的功能</w:t>
      </w:r>
      <w:r>
        <w:rPr>
          <w:rFonts w:hint="eastAsia" w:ascii="仿宋_GB2312" w:eastAsia="仿宋_GB2312"/>
          <w:sz w:val="32"/>
          <w:szCs w:val="32"/>
        </w:rPr>
        <w:t>，有效提高办事群众的获得感和满意度。</w:t>
      </w:r>
      <w:r>
        <w:rPr>
          <w:rFonts w:hint="eastAsia" w:ascii="仿宋_GB2312" w:hAnsi="Arial" w:eastAsia="仿宋_GB2312" w:cs="仿宋_GB2312"/>
          <w:b/>
          <w:bCs/>
          <w:i w:val="0"/>
          <w:caps w:val="0"/>
          <w:color w:val="000000"/>
          <w:spacing w:val="0"/>
          <w:sz w:val="32"/>
          <w:szCs w:val="32"/>
          <w:shd w:val="clear" w:color="auto" w:fill="FFFFFF"/>
          <w:lang w:val="en-US" w:eastAsia="zh-CN"/>
        </w:rPr>
        <w:t>政府开放日</w:t>
      </w:r>
      <w:r>
        <w:rPr>
          <w:rFonts w:hint="eastAsia" w:ascii="仿宋_GB2312" w:hAnsi="Arial" w:eastAsia="仿宋_GB2312" w:cs="仿宋_GB2312"/>
          <w:b/>
          <w:bCs/>
          <w:i w:val="0"/>
          <w:caps w:val="0"/>
          <w:color w:val="000000"/>
          <w:spacing w:val="0"/>
          <w:sz w:val="32"/>
          <w:szCs w:val="32"/>
          <w:shd w:val="clear" w:color="auto" w:fill="FFFFFF"/>
          <w:lang w:eastAsia="zh-CN"/>
        </w:rPr>
        <w:t>方面，</w:t>
      </w:r>
      <w:r>
        <w:rPr>
          <w:rFonts w:ascii="仿宋_GB2312" w:hAnsi="宋体" w:eastAsia="仿宋_GB2312" w:cs="仿宋_GB2312"/>
          <w:i w:val="0"/>
          <w:caps w:val="0"/>
          <w:color w:val="000000"/>
          <w:spacing w:val="0"/>
          <w:kern w:val="0"/>
          <w:sz w:val="32"/>
          <w:szCs w:val="32"/>
          <w:lang w:val="en-US" w:eastAsia="zh-CN" w:bidi="ar"/>
        </w:rPr>
        <w:t>畅通政民互动渠道，组织</w:t>
      </w:r>
      <w:r>
        <w:rPr>
          <w:rFonts w:hint="eastAsia" w:ascii="仿宋_GB2312" w:hAnsi="宋体" w:eastAsia="仿宋_GB2312" w:cs="仿宋_GB2312"/>
          <w:i w:val="0"/>
          <w:caps w:val="0"/>
          <w:color w:val="000000"/>
          <w:spacing w:val="0"/>
          <w:kern w:val="0"/>
          <w:sz w:val="32"/>
          <w:szCs w:val="32"/>
          <w:lang w:val="en-US" w:eastAsia="zh-CN" w:bidi="ar"/>
        </w:rPr>
        <w:t>镇街</w:t>
      </w:r>
      <w:r>
        <w:rPr>
          <w:rFonts w:ascii="仿宋_GB2312" w:hAnsi="宋体" w:eastAsia="仿宋_GB2312" w:cs="仿宋_GB2312"/>
          <w:i w:val="0"/>
          <w:caps w:val="0"/>
          <w:color w:val="000000"/>
          <w:spacing w:val="0"/>
          <w:kern w:val="0"/>
          <w:sz w:val="32"/>
          <w:szCs w:val="32"/>
          <w:lang w:val="en-US" w:eastAsia="zh-CN" w:bidi="ar"/>
        </w:rPr>
        <w:t>部门开展政府开放日活动，邀请市民代表走入政府机关，了解工作流程，表达自身诉求。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kern w:val="2"/>
          <w:sz w:val="32"/>
          <w:szCs w:val="32"/>
          <w:highlight w:val="none"/>
          <w:lang w:val="en-US" w:eastAsia="zh-CN" w:bidi="ar-SA"/>
        </w:rPr>
        <w:t>（五）监督保障情况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ascii="仿宋_GB2312" w:hAnsi="宋体" w:eastAsia="仿宋_GB2312" w:cs="仿宋_GB2312"/>
          <w:b/>
          <w:bCs/>
          <w:i w:val="0"/>
          <w:caps w:val="0"/>
          <w:color w:val="000000"/>
          <w:spacing w:val="0"/>
          <w:kern w:val="0"/>
          <w:sz w:val="32"/>
          <w:szCs w:val="32"/>
          <w:lang w:val="en-US" w:eastAsia="zh-CN" w:bidi="ar"/>
        </w:rPr>
        <w:t>一是加强组织领导。</w:t>
      </w:r>
      <w:r>
        <w:rPr>
          <w:rFonts w:ascii="仿宋_GB2312" w:hAnsi="宋体" w:eastAsia="仿宋_GB2312" w:cs="仿宋_GB2312"/>
          <w:i w:val="0"/>
          <w:caps w:val="0"/>
          <w:color w:val="000000"/>
          <w:spacing w:val="0"/>
          <w:kern w:val="0"/>
          <w:sz w:val="32"/>
          <w:szCs w:val="32"/>
          <w:lang w:val="en-US" w:eastAsia="zh-CN" w:bidi="ar"/>
        </w:rPr>
        <w:t>及时调整</w:t>
      </w:r>
      <w:r>
        <w:rPr>
          <w:rFonts w:hint="eastAsia" w:ascii="仿宋_GB2312" w:hAnsi="宋体" w:eastAsia="仿宋_GB2312" w:cs="仿宋_GB2312"/>
          <w:i w:val="0"/>
          <w:caps w:val="0"/>
          <w:color w:val="000000"/>
          <w:spacing w:val="0"/>
          <w:kern w:val="0"/>
          <w:sz w:val="32"/>
          <w:szCs w:val="32"/>
          <w:lang w:val="en-US" w:eastAsia="zh-CN" w:bidi="ar"/>
        </w:rPr>
        <w:t>政务公开工作领导小组，统筹推进、指导、协调、监督政务公开工作。在</w:t>
      </w:r>
      <w:r>
        <w:rPr>
          <w:rFonts w:hint="eastAsia" w:ascii="仿宋_GB2312" w:hAnsi="Arial" w:eastAsia="仿宋_GB2312" w:cs="仿宋_GB2312"/>
          <w:i w:val="0"/>
          <w:caps w:val="0"/>
          <w:color w:val="000000"/>
          <w:spacing w:val="0"/>
          <w:sz w:val="32"/>
          <w:szCs w:val="32"/>
          <w:shd w:val="clear" w:color="auto" w:fill="FFFFFF"/>
        </w:rPr>
        <w:t>市政府常务会议</w:t>
      </w:r>
      <w:r>
        <w:rPr>
          <w:rFonts w:hint="eastAsia" w:ascii="仿宋_GB2312" w:hAnsi="Arial" w:eastAsia="仿宋_GB2312" w:cs="仿宋_GB2312"/>
          <w:i w:val="0"/>
          <w:caps w:val="0"/>
          <w:color w:val="000000"/>
          <w:spacing w:val="0"/>
          <w:sz w:val="32"/>
          <w:szCs w:val="32"/>
          <w:shd w:val="clear" w:color="auto" w:fill="FFFFFF"/>
          <w:lang w:eastAsia="zh-CN"/>
        </w:rPr>
        <w:t>上</w:t>
      </w:r>
      <w:r>
        <w:rPr>
          <w:rFonts w:hint="eastAsia" w:ascii="仿宋_GB2312" w:hAnsi="Arial" w:eastAsia="仿宋_GB2312" w:cs="仿宋_GB2312"/>
          <w:i w:val="0"/>
          <w:caps w:val="0"/>
          <w:color w:val="000000"/>
          <w:spacing w:val="0"/>
          <w:sz w:val="32"/>
          <w:szCs w:val="32"/>
          <w:shd w:val="clear" w:color="auto" w:fill="FFFFFF"/>
        </w:rPr>
        <w:t>专题研究政务公开工作</w:t>
      </w:r>
      <w:r>
        <w:rPr>
          <w:rFonts w:hint="eastAsia" w:ascii="仿宋_GB2312" w:hAnsi="Arial" w:eastAsia="仿宋_GB2312" w:cs="仿宋_GB2312"/>
          <w:i w:val="0"/>
          <w:caps w:val="0"/>
          <w:color w:val="000000"/>
          <w:spacing w:val="0"/>
          <w:sz w:val="32"/>
          <w:szCs w:val="32"/>
          <w:shd w:val="clear" w:color="auto" w:fill="FFFFFF"/>
          <w:lang w:eastAsia="zh-CN"/>
        </w:rPr>
        <w:t>，指明了工作开展方向和根本遵循</w:t>
      </w:r>
      <w:r>
        <w:rPr>
          <w:rFonts w:hint="eastAsia" w:ascii="仿宋_GB2312" w:hAnsi="宋体" w:eastAsia="仿宋_GB2312" w:cs="仿宋_GB2312"/>
          <w:i w:val="0"/>
          <w:caps w:val="0"/>
          <w:color w:val="000000"/>
          <w:spacing w:val="0"/>
          <w:kern w:val="0"/>
          <w:sz w:val="32"/>
          <w:szCs w:val="32"/>
          <w:lang w:val="en-US" w:eastAsia="zh-CN" w:bidi="ar"/>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宋体" w:eastAsia="仿宋_GB2312" w:cs="仿宋_GB2312"/>
          <w:i w:val="0"/>
          <w:caps w:val="0"/>
          <w:color w:val="000000"/>
          <w:spacing w:val="0"/>
          <w:kern w:val="0"/>
          <w:sz w:val="32"/>
          <w:szCs w:val="32"/>
          <w:highlight w:val="none"/>
          <w:lang w:val="en-US" w:eastAsia="zh-CN" w:bidi="ar"/>
        </w:rPr>
      </w:pPr>
      <w:r>
        <w:rPr>
          <w:rFonts w:hint="eastAsia" w:ascii="仿宋_GB2312" w:hAnsi="宋体" w:eastAsia="仿宋_GB2312" w:cs="仿宋_GB2312"/>
          <w:b/>
          <w:bCs/>
          <w:i w:val="0"/>
          <w:caps w:val="0"/>
          <w:color w:val="000000"/>
          <w:spacing w:val="0"/>
          <w:kern w:val="0"/>
          <w:sz w:val="32"/>
          <w:szCs w:val="32"/>
          <w:lang w:val="en-US" w:eastAsia="zh-CN" w:bidi="ar"/>
        </w:rPr>
        <w:t>二是</w:t>
      </w:r>
      <w:r>
        <w:rPr>
          <w:rFonts w:hint="eastAsia" w:ascii="仿宋_GB2312" w:hAnsi="Arial" w:eastAsia="仿宋_GB2312" w:cs="仿宋_GB2312"/>
          <w:b/>
          <w:bCs/>
          <w:i w:val="0"/>
          <w:caps w:val="0"/>
          <w:color w:val="000000"/>
          <w:spacing w:val="0"/>
          <w:sz w:val="32"/>
          <w:szCs w:val="32"/>
          <w:shd w:val="clear" w:color="auto" w:fill="FFFFFF"/>
        </w:rPr>
        <w:t>突出机制建设。</w:t>
      </w:r>
      <w:r>
        <w:rPr>
          <w:rFonts w:hint="eastAsia" w:ascii="仿宋_GB2312" w:hAnsi="Arial" w:eastAsia="仿宋_GB2312" w:cs="仿宋_GB2312"/>
          <w:i w:val="0"/>
          <w:caps w:val="0"/>
          <w:color w:val="000000"/>
          <w:spacing w:val="0"/>
          <w:sz w:val="32"/>
          <w:szCs w:val="32"/>
          <w:shd w:val="clear" w:color="auto" w:fill="FFFFFF"/>
        </w:rPr>
        <w:t>结合日常巡查、网站普查等，推进政务公开测评工作常态化开展</w:t>
      </w:r>
      <w:r>
        <w:rPr>
          <w:rFonts w:hint="eastAsia" w:ascii="仿宋_GB2312" w:hAnsi="Arial" w:eastAsia="仿宋_GB2312" w:cs="仿宋_GB2312"/>
          <w:i w:val="0"/>
          <w:caps w:val="0"/>
          <w:color w:val="000000"/>
          <w:spacing w:val="0"/>
          <w:sz w:val="32"/>
          <w:szCs w:val="32"/>
          <w:shd w:val="clear" w:color="auto" w:fill="FFFFFF"/>
          <w:lang w:eastAsia="zh-CN"/>
        </w:rPr>
        <w:t>。</w:t>
      </w:r>
      <w:r>
        <w:rPr>
          <w:rFonts w:hint="eastAsia" w:ascii="仿宋_GB2312" w:hAnsi="Arial" w:eastAsia="仿宋_GB2312" w:cs="仿宋_GB2312"/>
          <w:i w:val="0"/>
          <w:caps w:val="0"/>
          <w:color w:val="000000"/>
          <w:spacing w:val="0"/>
          <w:sz w:val="32"/>
          <w:szCs w:val="32"/>
          <w:shd w:val="clear" w:color="auto" w:fill="FFFFFF"/>
        </w:rPr>
        <w:t>建立“一</w:t>
      </w:r>
      <w:r>
        <w:rPr>
          <w:rFonts w:hint="eastAsia" w:ascii="仿宋_GB2312" w:hAnsi="Arial" w:eastAsia="仿宋_GB2312" w:cs="仿宋_GB2312"/>
          <w:i w:val="0"/>
          <w:caps w:val="0"/>
          <w:color w:val="000000"/>
          <w:spacing w:val="0"/>
          <w:sz w:val="32"/>
          <w:szCs w:val="32"/>
          <w:shd w:val="clear" w:color="auto" w:fill="FFFFFF"/>
          <w:lang w:eastAsia="zh-CN"/>
        </w:rPr>
        <w:t>季</w:t>
      </w:r>
      <w:r>
        <w:rPr>
          <w:rFonts w:hint="eastAsia" w:ascii="仿宋_GB2312" w:hAnsi="Arial" w:eastAsia="仿宋_GB2312" w:cs="仿宋_GB2312"/>
          <w:i w:val="0"/>
          <w:caps w:val="0"/>
          <w:color w:val="000000"/>
          <w:spacing w:val="0"/>
          <w:sz w:val="32"/>
          <w:szCs w:val="32"/>
          <w:shd w:val="clear" w:color="auto" w:fill="FFFFFF"/>
        </w:rPr>
        <w:t>一</w:t>
      </w:r>
      <w:r>
        <w:rPr>
          <w:rFonts w:hint="eastAsia" w:ascii="仿宋_GB2312" w:hAnsi="Arial" w:eastAsia="仿宋_GB2312" w:cs="仿宋_GB2312"/>
          <w:i w:val="0"/>
          <w:caps w:val="0"/>
          <w:color w:val="000000"/>
          <w:spacing w:val="0"/>
          <w:sz w:val="32"/>
          <w:szCs w:val="32"/>
          <w:shd w:val="clear" w:color="auto" w:fill="FFFFFF"/>
          <w:lang w:eastAsia="zh-CN"/>
        </w:rPr>
        <w:t>巡查</w:t>
      </w:r>
      <w:r>
        <w:rPr>
          <w:rFonts w:hint="eastAsia" w:ascii="仿宋_GB2312" w:hAnsi="Arial" w:eastAsia="仿宋_GB2312" w:cs="仿宋_GB2312"/>
          <w:i w:val="0"/>
          <w:caps w:val="0"/>
          <w:color w:val="000000"/>
          <w:spacing w:val="0"/>
          <w:sz w:val="32"/>
          <w:szCs w:val="32"/>
          <w:shd w:val="clear" w:color="auto" w:fill="FFFFFF"/>
        </w:rPr>
        <w:t>”“一</w:t>
      </w:r>
      <w:r>
        <w:rPr>
          <w:rFonts w:hint="eastAsia" w:ascii="仿宋_GB2312" w:hAnsi="Arial" w:eastAsia="仿宋_GB2312" w:cs="仿宋_GB2312"/>
          <w:i w:val="0"/>
          <w:caps w:val="0"/>
          <w:color w:val="000000"/>
          <w:spacing w:val="0"/>
          <w:sz w:val="32"/>
          <w:szCs w:val="32"/>
          <w:shd w:val="clear" w:color="auto" w:fill="FFFFFF"/>
          <w:lang w:eastAsia="zh-CN"/>
        </w:rPr>
        <w:t>季</w:t>
      </w:r>
      <w:r>
        <w:rPr>
          <w:rFonts w:hint="eastAsia" w:ascii="仿宋_GB2312" w:hAnsi="Arial" w:eastAsia="仿宋_GB2312" w:cs="仿宋_GB2312"/>
          <w:i w:val="0"/>
          <w:caps w:val="0"/>
          <w:color w:val="000000"/>
          <w:spacing w:val="0"/>
          <w:sz w:val="32"/>
          <w:szCs w:val="32"/>
          <w:shd w:val="clear" w:color="auto" w:fill="FFFFFF"/>
        </w:rPr>
        <w:t>一通报”</w:t>
      </w:r>
      <w:r>
        <w:rPr>
          <w:rFonts w:hint="eastAsia" w:ascii="仿宋_GB2312" w:hAnsi="Arial" w:eastAsia="仿宋_GB2312" w:cs="仿宋_GB2312"/>
          <w:i w:val="0"/>
          <w:caps w:val="0"/>
          <w:color w:val="000000"/>
          <w:spacing w:val="0"/>
          <w:sz w:val="32"/>
          <w:szCs w:val="32"/>
          <w:shd w:val="clear" w:color="auto" w:fill="FFFFFF"/>
          <w:lang w:eastAsia="zh-CN"/>
        </w:rPr>
        <w:t>的</w:t>
      </w:r>
      <w:r>
        <w:rPr>
          <w:rFonts w:hint="eastAsia" w:ascii="仿宋_GB2312" w:hAnsi="Arial" w:eastAsia="仿宋_GB2312" w:cs="仿宋_GB2312"/>
          <w:i w:val="0"/>
          <w:caps w:val="0"/>
          <w:color w:val="000000"/>
          <w:spacing w:val="0"/>
          <w:sz w:val="32"/>
          <w:szCs w:val="32"/>
          <w:shd w:val="clear" w:color="auto" w:fill="FFFFFF"/>
        </w:rPr>
        <w:t>工作机制</w:t>
      </w:r>
      <w:r>
        <w:rPr>
          <w:rFonts w:hint="eastAsia" w:ascii="仿宋_GB2312" w:hAnsi="Arial" w:eastAsia="仿宋_GB2312" w:cs="仿宋_GB2312"/>
          <w:i w:val="0"/>
          <w:caps w:val="0"/>
          <w:color w:val="000000"/>
          <w:spacing w:val="0"/>
          <w:sz w:val="32"/>
          <w:szCs w:val="32"/>
          <w:shd w:val="clear" w:color="auto" w:fill="FFFFFF"/>
          <w:lang w:eastAsia="zh-CN"/>
        </w:rPr>
        <w:t>，确保政务公开</w:t>
      </w:r>
      <w:r>
        <w:rPr>
          <w:rFonts w:hint="eastAsia" w:ascii="仿宋_GB2312" w:hAnsi="Arial" w:eastAsia="仿宋_GB2312" w:cs="仿宋_GB2312"/>
          <w:i w:val="0"/>
          <w:caps w:val="0"/>
          <w:color w:val="000000"/>
          <w:spacing w:val="0"/>
          <w:sz w:val="32"/>
          <w:szCs w:val="32"/>
          <w:shd w:val="clear" w:color="auto" w:fill="FFFFFF"/>
        </w:rPr>
        <w:t>工作推进有部署、有检查、有落实。</w:t>
      </w:r>
      <w:r>
        <w:rPr>
          <w:rFonts w:hint="eastAsia" w:ascii="仿宋_GB2312" w:hAnsi="宋体" w:eastAsia="仿宋_GB2312" w:cs="仿宋_GB2312"/>
          <w:i w:val="0"/>
          <w:caps w:val="0"/>
          <w:color w:val="000000"/>
          <w:spacing w:val="0"/>
          <w:kern w:val="0"/>
          <w:sz w:val="32"/>
          <w:szCs w:val="32"/>
          <w:lang w:val="en-US" w:eastAsia="zh-CN" w:bidi="ar"/>
        </w:rPr>
        <w:t>2022年，</w:t>
      </w:r>
      <w:r>
        <w:rPr>
          <w:rFonts w:hint="eastAsia" w:ascii="仿宋_GB2312" w:hAnsi="宋体" w:eastAsia="仿宋_GB2312" w:cs="仿宋_GB2312"/>
          <w:i w:val="0"/>
          <w:caps w:val="0"/>
          <w:color w:val="000000"/>
          <w:spacing w:val="0"/>
          <w:kern w:val="0"/>
          <w:sz w:val="32"/>
          <w:szCs w:val="32"/>
          <w:highlight w:val="none"/>
          <w:lang w:val="en-US" w:eastAsia="zh-CN" w:bidi="ar"/>
        </w:rPr>
        <w:t>开展专项督查5次。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i w:val="0"/>
          <w:caps w:val="0"/>
          <w:color w:val="000000"/>
          <w:spacing w:val="0"/>
          <w:kern w:val="0"/>
          <w:sz w:val="32"/>
          <w:szCs w:val="32"/>
          <w:lang w:val="en-US" w:eastAsia="zh-CN" w:bidi="ar"/>
        </w:rPr>
        <w:t>三是</w:t>
      </w:r>
      <w:r>
        <w:rPr>
          <w:rFonts w:hint="eastAsia" w:ascii="仿宋_GB2312" w:hAnsi="仿宋_GB2312" w:eastAsia="仿宋_GB2312" w:cs="仿宋_GB2312"/>
          <w:b/>
          <w:bCs/>
          <w:i w:val="0"/>
          <w:caps w:val="0"/>
          <w:color w:val="auto"/>
          <w:spacing w:val="0"/>
          <w:sz w:val="32"/>
          <w:szCs w:val="32"/>
          <w:shd w:val="clear" w:color="auto" w:fill="FFFFFF"/>
          <w:lang w:eastAsia="zh-CN"/>
        </w:rPr>
        <w:t>抓好</w:t>
      </w:r>
      <w:r>
        <w:rPr>
          <w:rFonts w:hint="eastAsia" w:ascii="仿宋_GB2312" w:hAnsi="仿宋_GB2312" w:eastAsia="仿宋_GB2312" w:cs="仿宋_GB2312"/>
          <w:b/>
          <w:bCs/>
          <w:i w:val="0"/>
          <w:caps w:val="0"/>
          <w:color w:val="auto"/>
          <w:spacing w:val="0"/>
          <w:sz w:val="32"/>
          <w:szCs w:val="32"/>
          <w:shd w:val="clear" w:color="auto" w:fill="FFFFFF"/>
        </w:rPr>
        <w:t>队伍建设</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Arial" w:eastAsia="仿宋_GB2312" w:cs="仿宋_GB2312"/>
          <w:i w:val="0"/>
          <w:caps w:val="0"/>
          <w:color w:val="000000"/>
          <w:spacing w:val="0"/>
          <w:sz w:val="32"/>
          <w:szCs w:val="32"/>
          <w:shd w:val="clear" w:color="auto" w:fill="FFFFFF"/>
          <w:lang w:val="en-US" w:eastAsia="zh-CN"/>
        </w:rPr>
        <w:t>邀请法律顾问召开了</w:t>
      </w:r>
      <w:r>
        <w:rPr>
          <w:rFonts w:hint="eastAsia" w:ascii="仿宋_GB2312" w:hAnsi="Arial" w:eastAsia="仿宋_GB2312" w:cs="仿宋_GB2312"/>
          <w:i w:val="0"/>
          <w:caps w:val="0"/>
          <w:color w:val="000000"/>
          <w:spacing w:val="0"/>
          <w:sz w:val="32"/>
          <w:szCs w:val="32"/>
          <w:shd w:val="clear" w:color="auto" w:fill="FFFFFF"/>
        </w:rPr>
        <w:t>《中华人民共和国</w:t>
      </w:r>
      <w:r>
        <w:rPr>
          <w:rFonts w:hint="eastAsia" w:ascii="仿宋_GB2312" w:hAnsi="Arial" w:eastAsia="仿宋_GB2312" w:cs="仿宋_GB2312"/>
          <w:i w:val="0"/>
          <w:caps w:val="0"/>
          <w:color w:val="000000"/>
          <w:spacing w:val="0"/>
          <w:sz w:val="32"/>
          <w:szCs w:val="32"/>
          <w:shd w:val="clear" w:color="auto" w:fill="FFFFFF"/>
          <w:lang w:eastAsia="zh-CN"/>
        </w:rPr>
        <w:t>政府</w:t>
      </w:r>
      <w:r>
        <w:rPr>
          <w:rFonts w:hint="eastAsia" w:ascii="仿宋_GB2312" w:hAnsi="Arial" w:eastAsia="仿宋_GB2312" w:cs="仿宋_GB2312"/>
          <w:i w:val="0"/>
          <w:caps w:val="0"/>
          <w:color w:val="000000"/>
          <w:spacing w:val="0"/>
          <w:sz w:val="32"/>
          <w:szCs w:val="32"/>
          <w:shd w:val="clear" w:color="auto" w:fill="FFFFFF"/>
        </w:rPr>
        <w:t>信息公开条例》解析暨依申</w:t>
      </w:r>
      <w:bookmarkStart w:id="10" w:name="_GoBack"/>
      <w:bookmarkEnd w:id="10"/>
      <w:r>
        <w:rPr>
          <w:rFonts w:hint="eastAsia" w:ascii="仿宋_GB2312" w:hAnsi="Arial" w:eastAsia="仿宋_GB2312" w:cs="仿宋_GB2312"/>
          <w:i w:val="0"/>
          <w:caps w:val="0"/>
          <w:color w:val="000000"/>
          <w:spacing w:val="0"/>
          <w:sz w:val="32"/>
          <w:szCs w:val="32"/>
          <w:shd w:val="clear" w:color="auto" w:fill="FFFFFF"/>
        </w:rPr>
        <w:t>请公开业务培训会议。</w:t>
      </w:r>
      <w:r>
        <w:rPr>
          <w:rFonts w:hint="eastAsia" w:ascii="仿宋_GB2312" w:hAnsi="Arial" w:eastAsia="仿宋_GB2312" w:cs="仿宋_GB2312"/>
          <w:i w:val="0"/>
          <w:caps w:val="0"/>
          <w:color w:val="000000"/>
          <w:spacing w:val="0"/>
          <w:sz w:val="32"/>
          <w:szCs w:val="32"/>
          <w:shd w:val="clear" w:color="auto" w:fill="FFFFFF"/>
          <w:lang w:eastAsia="zh-CN"/>
        </w:rPr>
        <w:t>同时</w:t>
      </w:r>
      <w:r>
        <w:rPr>
          <w:rFonts w:hint="eastAsia" w:ascii="仿宋_GB2312" w:hAnsi="Arial" w:eastAsia="仿宋_GB2312" w:cs="仿宋_GB2312"/>
          <w:i w:val="0"/>
          <w:caps w:val="0"/>
          <w:color w:val="000000"/>
          <w:spacing w:val="0"/>
          <w:sz w:val="32"/>
          <w:szCs w:val="32"/>
          <w:shd w:val="clear" w:color="auto" w:fill="FFFFFF"/>
        </w:rPr>
        <w:t>积极</w:t>
      </w:r>
      <w:r>
        <w:rPr>
          <w:rFonts w:hint="eastAsia" w:ascii="仿宋_GB2312" w:hAnsi="Arial" w:eastAsia="仿宋_GB2312" w:cs="仿宋_GB2312"/>
          <w:i w:val="0"/>
          <w:caps w:val="0"/>
          <w:color w:val="000000"/>
          <w:spacing w:val="0"/>
          <w:sz w:val="32"/>
          <w:szCs w:val="32"/>
          <w:shd w:val="clear" w:color="auto" w:fill="FFFFFF"/>
          <w:lang w:eastAsia="zh-CN"/>
        </w:rPr>
        <w:t>通过</w:t>
      </w:r>
      <w:r>
        <w:rPr>
          <w:rFonts w:hint="eastAsia" w:ascii="仿宋_GB2312" w:hAnsi="Arial" w:eastAsia="仿宋_GB2312" w:cs="仿宋_GB2312"/>
          <w:i w:val="0"/>
          <w:caps w:val="0"/>
          <w:color w:val="000000"/>
          <w:spacing w:val="0"/>
          <w:sz w:val="32"/>
          <w:szCs w:val="32"/>
          <w:shd w:val="clear" w:color="auto" w:fill="FFFFFF"/>
        </w:rPr>
        <w:t>现场教学、“点对点”</w:t>
      </w:r>
      <w:r>
        <w:rPr>
          <w:rFonts w:hint="eastAsia" w:ascii="仿宋_GB2312" w:hAnsi="Arial" w:eastAsia="仿宋_GB2312" w:cs="仿宋_GB2312"/>
          <w:i w:val="0"/>
          <w:caps w:val="0"/>
          <w:color w:val="000000"/>
          <w:spacing w:val="0"/>
          <w:sz w:val="32"/>
          <w:szCs w:val="32"/>
          <w:shd w:val="clear" w:color="auto" w:fill="FFFFFF"/>
          <w:lang w:eastAsia="zh-CN"/>
        </w:rPr>
        <w:t>“一对一”模式</w:t>
      </w:r>
      <w:r>
        <w:rPr>
          <w:rFonts w:hint="eastAsia" w:ascii="仿宋_GB2312" w:hAnsi="Arial" w:eastAsia="仿宋_GB2312" w:cs="仿宋_GB2312"/>
          <w:i w:val="0"/>
          <w:caps w:val="0"/>
          <w:color w:val="000000"/>
          <w:spacing w:val="0"/>
          <w:sz w:val="32"/>
          <w:szCs w:val="32"/>
          <w:shd w:val="clear" w:color="auto" w:fill="FFFFFF"/>
        </w:rPr>
        <w:t>，及时解决</w:t>
      </w:r>
      <w:r>
        <w:rPr>
          <w:rFonts w:hint="eastAsia" w:ascii="仿宋_GB2312" w:hAnsi="Arial" w:eastAsia="仿宋_GB2312" w:cs="仿宋_GB2312"/>
          <w:i w:val="0"/>
          <w:caps w:val="0"/>
          <w:color w:val="000000"/>
          <w:spacing w:val="0"/>
          <w:sz w:val="32"/>
          <w:szCs w:val="32"/>
          <w:shd w:val="clear" w:color="auto" w:fill="FFFFFF"/>
          <w:lang w:eastAsia="zh-CN"/>
        </w:rPr>
        <w:t>各部门镇街</w:t>
      </w:r>
      <w:r>
        <w:rPr>
          <w:rFonts w:hint="eastAsia" w:ascii="仿宋_GB2312" w:hAnsi="Arial" w:eastAsia="仿宋_GB2312" w:cs="仿宋_GB2312"/>
          <w:i w:val="0"/>
          <w:caps w:val="0"/>
          <w:color w:val="000000"/>
          <w:spacing w:val="0"/>
          <w:sz w:val="32"/>
          <w:szCs w:val="32"/>
          <w:shd w:val="clear" w:color="auto" w:fill="FFFFFF"/>
        </w:rPr>
        <w:t>政务公开重点难点问题。</w:t>
      </w:r>
    </w:p>
    <w:p>
      <w:pPr>
        <w:pStyle w:val="7"/>
        <w:widowControl/>
        <w:shd w:val="clear" w:color="auto" w:fill="FFFFFF"/>
        <w:spacing w:beforeAutospacing="0" w:after="24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2206" w:type="dxa"/>
            <w:tcBorders>
              <w:top w:val="nil"/>
              <w:left w:val="single" w:color="auto" w:sz="8" w:space="0"/>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4"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rPr>
          <w:trHeight w:val="567" w:hRule="atLeast"/>
        </w:trPr>
        <w:tc>
          <w:tcPr>
            <w:tcW w:w="8824" w:type="dxa"/>
            <w:gridSpan w:val="4"/>
            <w:tcBorders>
              <w:top w:val="single" w:color="auto" w:sz="4"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7"/>
        <w:widowControl/>
        <w:shd w:val="clear" w:color="auto" w:fill="FFFFFF"/>
        <w:spacing w:beforeAutospacing="0" w:after="240" w:afterAutospacing="0"/>
        <w:ind w:firstLine="320" w:firstLineChars="100"/>
        <w:jc w:val="both"/>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44</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12</w:t>
            </w:r>
          </w:p>
        </w:tc>
        <w:tc>
          <w:tcPr>
            <w:tcW w:w="567"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24</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0</w:t>
            </w:r>
          </w:p>
        </w:tc>
        <w:tc>
          <w:tcPr>
            <w:tcW w:w="567" w:type="dxa"/>
            <w:noWrap w:val="0"/>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1</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4</w:t>
            </w:r>
          </w:p>
        </w:tc>
        <w:tc>
          <w:tcPr>
            <w:tcW w:w="567" w:type="dxa"/>
            <w:noWrap w:val="0"/>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44</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pStyle w:val="7"/>
        <w:widowControl/>
        <w:shd w:val="clear" w:color="auto" w:fill="FFFFFF"/>
        <w:spacing w:beforeAutospacing="0" w:afterAutospacing="0"/>
        <w:jc w:val="both"/>
        <w:rPr>
          <w:rFonts w:ascii="宋体" w:hAnsi="宋体" w:eastAsia="宋体" w:cs="宋体"/>
          <w:color w:val="333333"/>
        </w:rPr>
      </w:pPr>
    </w:p>
    <w:p>
      <w:pPr>
        <w:pStyle w:val="7"/>
        <w:widowControl/>
        <w:shd w:val="clear" w:color="auto" w:fill="FFFFFF"/>
        <w:spacing w:beforeAutospacing="0" w:afterAutospacing="0"/>
        <w:jc w:val="both"/>
        <w:rPr>
          <w:rFonts w:ascii="宋体" w:hAnsi="宋体" w:eastAsia="宋体" w:cs="宋体"/>
          <w:color w:val="333333"/>
        </w:rPr>
      </w:pPr>
    </w:p>
    <w:p>
      <w:pPr>
        <w:pStyle w:val="7"/>
        <w:widowControl/>
        <w:shd w:val="clear" w:color="auto" w:fill="FFFFFF"/>
        <w:spacing w:beforeAutospacing="0" w:afterAutospacing="0"/>
        <w:jc w:val="both"/>
        <w:rPr>
          <w:rFonts w:ascii="宋体" w:hAnsi="宋体" w:eastAsia="宋体" w:cs="宋体"/>
          <w:color w:val="333333"/>
        </w:rPr>
      </w:pPr>
    </w:p>
    <w:p>
      <w:pPr>
        <w:pStyle w:val="7"/>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7"/>
        <w:widowControl/>
        <w:shd w:val="clear" w:color="auto" w:fill="FFFFFF"/>
        <w:spacing w:beforeAutospacing="0" w:afterAutospacing="0"/>
        <w:ind w:firstLine="420"/>
        <w:jc w:val="both"/>
        <w:rPr>
          <w:rFonts w:ascii="宋体" w:hAnsi="宋体" w:eastAsia="宋体" w:cs="宋体"/>
          <w:color w:val="333333"/>
        </w:rPr>
      </w:pP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shd w:val="clear" w:color="auto" w:fill="FFFFFF"/>
        <w:jc w:val="center"/>
        <w:rPr>
          <w:rFonts w:ascii="宋体" w:hAnsi="宋体" w:eastAsia="宋体" w:cs="宋体"/>
          <w:color w:val="333333"/>
          <w:sz w:val="24"/>
        </w:rPr>
      </w:pP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right="0" w:firstLine="640"/>
        <w:textAlignment w:val="auto"/>
        <w:rPr>
          <w:rFonts w:hint="eastAsia" w:ascii="仿宋_GB2312" w:hAnsi="Arial" w:eastAsia="仿宋_GB2312" w:cs="仿宋_GB2312"/>
          <w:i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2022年，仍</w:t>
      </w:r>
      <w:r>
        <w:rPr>
          <w:rFonts w:hint="eastAsia" w:ascii="仿宋_GB2312" w:hAnsi="Arial" w:eastAsia="仿宋_GB2312" w:cs="仿宋_GB2312"/>
          <w:i w:val="0"/>
          <w:caps w:val="0"/>
          <w:color w:val="000000"/>
          <w:spacing w:val="0"/>
          <w:sz w:val="32"/>
          <w:szCs w:val="32"/>
          <w:shd w:val="clear" w:color="auto" w:fill="FFFFFF"/>
        </w:rPr>
        <w:t>存在着决策公开有待加强、部分重点领域公开不到位、基层政务公开工作有待加强等问题。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lang w:val="en-US" w:eastAsia="zh-CN"/>
        </w:rPr>
      </w:pPr>
      <w:r>
        <w:rPr>
          <w:rFonts w:hint="eastAsia" w:ascii="仿宋_GB2312" w:hAnsi="Arial" w:eastAsia="仿宋_GB2312" w:cs="仿宋_GB2312"/>
          <w:i w:val="0"/>
          <w:caps w:val="0"/>
          <w:color w:val="000000"/>
          <w:spacing w:val="0"/>
          <w:sz w:val="32"/>
          <w:szCs w:val="32"/>
          <w:shd w:val="clear" w:color="auto" w:fill="FFFFFF"/>
          <w:lang w:val="en-US" w:eastAsia="zh-CN"/>
        </w:rPr>
        <w:t>2023年</w:t>
      </w:r>
      <w:r>
        <w:rPr>
          <w:rFonts w:hint="eastAsia" w:ascii="仿宋_GB2312" w:hAnsi="Arial" w:eastAsia="仿宋_GB2312" w:cs="仿宋_GB2312"/>
          <w:i w:val="0"/>
          <w:caps w:val="0"/>
          <w:color w:val="000000"/>
          <w:spacing w:val="0"/>
          <w:sz w:val="32"/>
          <w:szCs w:val="32"/>
          <w:shd w:val="clear" w:color="auto" w:fill="FFFFFF"/>
        </w:rPr>
        <w:t>针对存在的问题，市政府办公室将重点抓好以下工作：</w:t>
      </w:r>
      <w:r>
        <w:rPr>
          <w:rFonts w:hint="eastAsia" w:ascii="楷体_GB2312" w:hAnsi="Arial" w:eastAsia="楷体_GB2312" w:cs="楷体_GB2312"/>
          <w:i w:val="0"/>
          <w:caps w:val="0"/>
          <w:color w:val="000000"/>
          <w:spacing w:val="0"/>
          <w:sz w:val="32"/>
          <w:szCs w:val="32"/>
          <w:shd w:val="clear" w:color="auto" w:fill="FFFFFF"/>
        </w:rPr>
        <w:t>一是全过程推进政务公开。</w:t>
      </w:r>
      <w:r>
        <w:rPr>
          <w:rFonts w:hint="eastAsia" w:ascii="仿宋_GB2312" w:hAnsi="Arial" w:eastAsia="仿宋_GB2312" w:cs="仿宋_GB2312"/>
          <w:i w:val="0"/>
          <w:caps w:val="0"/>
          <w:color w:val="000000"/>
          <w:spacing w:val="0"/>
          <w:sz w:val="32"/>
          <w:szCs w:val="32"/>
          <w:shd w:val="clear" w:color="auto" w:fill="FFFFFF"/>
        </w:rPr>
        <w:t>持续深入推进决策、执行、管理、服务、结果“五公开”，对涉及群众切身利益的事项，采取听证、座谈等方式充分听取意见。</w:t>
      </w:r>
      <w:r>
        <w:rPr>
          <w:rFonts w:hint="eastAsia" w:ascii="楷体_GB2312" w:hAnsi="Arial" w:eastAsia="楷体_GB2312" w:cs="楷体_GB2312"/>
          <w:i w:val="0"/>
          <w:caps w:val="0"/>
          <w:color w:val="000000"/>
          <w:spacing w:val="0"/>
          <w:sz w:val="32"/>
          <w:szCs w:val="32"/>
          <w:shd w:val="clear" w:color="auto" w:fill="FFFFFF"/>
        </w:rPr>
        <w:t>二是全方位回应社会关切。</w:t>
      </w:r>
      <w:r>
        <w:rPr>
          <w:rFonts w:hint="eastAsia" w:ascii="仿宋_GB2312" w:hAnsi="Arial" w:eastAsia="仿宋_GB2312" w:cs="仿宋_GB2312"/>
          <w:i w:val="0"/>
          <w:caps w:val="0"/>
          <w:color w:val="000000"/>
          <w:spacing w:val="0"/>
          <w:sz w:val="32"/>
          <w:szCs w:val="32"/>
          <w:shd w:val="clear" w:color="auto" w:fill="FFFFFF"/>
        </w:rPr>
        <w:t>在重大政策实施、重点项目推进中，</w:t>
      </w:r>
      <w:r>
        <w:rPr>
          <w:rFonts w:hint="eastAsia" w:ascii="仿宋_GB2312" w:hAnsi="Arial" w:eastAsia="仿宋_GB2312" w:cs="仿宋_GB2312"/>
          <w:i w:val="0"/>
          <w:caps w:val="0"/>
          <w:color w:val="000000"/>
          <w:spacing w:val="0"/>
          <w:sz w:val="32"/>
          <w:szCs w:val="32"/>
          <w:shd w:val="clear" w:color="auto" w:fill="FFFFFF"/>
          <w:lang w:eastAsia="zh-CN"/>
        </w:rPr>
        <w:t>加强政策解读，</w:t>
      </w:r>
      <w:r>
        <w:rPr>
          <w:rFonts w:hint="eastAsia" w:ascii="仿宋_GB2312" w:hAnsi="Arial" w:eastAsia="仿宋_GB2312" w:cs="仿宋_GB2312"/>
          <w:i w:val="0"/>
          <w:caps w:val="0"/>
          <w:color w:val="000000"/>
          <w:spacing w:val="0"/>
          <w:sz w:val="32"/>
          <w:szCs w:val="32"/>
          <w:shd w:val="clear" w:color="auto" w:fill="FFFFFF"/>
        </w:rPr>
        <w:t>切实增强敏锐性和预见性，及时回应群众关切。</w:t>
      </w:r>
      <w:r>
        <w:rPr>
          <w:rFonts w:hint="eastAsia" w:ascii="楷体_GB2312" w:hAnsi="Arial" w:eastAsia="楷体_GB2312" w:cs="楷体_GB2312"/>
          <w:i w:val="0"/>
          <w:caps w:val="0"/>
          <w:color w:val="000000"/>
          <w:spacing w:val="0"/>
          <w:sz w:val="32"/>
          <w:szCs w:val="32"/>
          <w:shd w:val="clear" w:color="auto" w:fill="FFFFFF"/>
        </w:rPr>
        <w:t>三是全链条加强</w:t>
      </w:r>
      <w:r>
        <w:rPr>
          <w:rFonts w:hint="eastAsia" w:ascii="楷体_GB2312" w:hAnsi="Arial" w:eastAsia="楷体_GB2312" w:cs="楷体_GB2312"/>
          <w:i w:val="0"/>
          <w:caps w:val="0"/>
          <w:color w:val="000000"/>
          <w:spacing w:val="0"/>
          <w:sz w:val="32"/>
          <w:szCs w:val="32"/>
          <w:shd w:val="clear" w:color="auto" w:fill="FFFFFF"/>
          <w:lang w:eastAsia="zh-CN"/>
        </w:rPr>
        <w:t>政策文件信息</w:t>
      </w:r>
      <w:r>
        <w:rPr>
          <w:rFonts w:hint="eastAsia" w:ascii="楷体_GB2312" w:hAnsi="Arial" w:eastAsia="楷体_GB2312" w:cs="楷体_GB2312"/>
          <w:i w:val="0"/>
          <w:caps w:val="0"/>
          <w:color w:val="000000"/>
          <w:spacing w:val="0"/>
          <w:sz w:val="32"/>
          <w:szCs w:val="32"/>
          <w:shd w:val="clear" w:color="auto" w:fill="FFFFFF"/>
        </w:rPr>
        <w:t>管理。</w:t>
      </w:r>
      <w:r>
        <w:rPr>
          <w:rFonts w:hint="eastAsia" w:ascii="仿宋_GB2312" w:hAnsi="Arial" w:eastAsia="仿宋_GB2312" w:cs="仿宋_GB2312"/>
          <w:i w:val="0"/>
          <w:caps w:val="0"/>
          <w:color w:val="000000"/>
          <w:spacing w:val="0"/>
          <w:sz w:val="32"/>
          <w:szCs w:val="32"/>
          <w:shd w:val="clear" w:color="auto" w:fill="FFFFFF"/>
        </w:rPr>
        <w:t>对规范性文件</w:t>
      </w:r>
      <w:r>
        <w:rPr>
          <w:rFonts w:hint="eastAsia" w:ascii="仿宋_GB2312" w:hAnsi="Arial" w:eastAsia="仿宋_GB2312" w:cs="仿宋_GB2312"/>
          <w:i w:val="0"/>
          <w:caps w:val="0"/>
          <w:color w:val="000000"/>
          <w:spacing w:val="0"/>
          <w:sz w:val="32"/>
          <w:szCs w:val="32"/>
          <w:shd w:val="clear" w:color="auto" w:fill="FFFFFF"/>
          <w:lang w:eastAsia="zh-CN"/>
        </w:rPr>
        <w:t>、政策文件</w:t>
      </w:r>
      <w:r>
        <w:rPr>
          <w:rFonts w:hint="eastAsia" w:ascii="仿宋_GB2312" w:hAnsi="Arial" w:eastAsia="仿宋_GB2312" w:cs="仿宋_GB2312"/>
          <w:i w:val="0"/>
          <w:caps w:val="0"/>
          <w:color w:val="000000"/>
          <w:spacing w:val="0"/>
          <w:sz w:val="32"/>
          <w:szCs w:val="32"/>
          <w:shd w:val="clear" w:color="auto" w:fill="FFFFFF"/>
        </w:rPr>
        <w:t>等重要信息，通过统一政务公开平台规范发布，</w:t>
      </w:r>
      <w:r>
        <w:rPr>
          <w:rFonts w:hint="eastAsia" w:ascii="仿宋_GB2312" w:hAnsi="仿宋_GB2312" w:eastAsia="仿宋_GB2312" w:cs="仿宋_GB2312"/>
          <w:color w:val="auto"/>
          <w:sz w:val="32"/>
          <w:szCs w:val="32"/>
          <w:highlight w:val="none"/>
        </w:rPr>
        <w:t>在精准推送、</w:t>
      </w:r>
      <w:r>
        <w:rPr>
          <w:rFonts w:hint="eastAsia" w:ascii="仿宋_GB2312" w:hAnsi="仿宋_GB2312" w:eastAsia="仿宋_GB2312" w:cs="仿宋_GB2312"/>
          <w:color w:val="auto"/>
          <w:sz w:val="32"/>
          <w:szCs w:val="32"/>
          <w:highlight w:val="none"/>
          <w:lang w:eastAsia="zh-CN"/>
        </w:rPr>
        <w:t>智能</w:t>
      </w:r>
      <w:r>
        <w:rPr>
          <w:rFonts w:hint="eastAsia" w:ascii="仿宋_GB2312" w:hAnsi="仿宋_GB2312" w:eastAsia="仿宋_GB2312" w:cs="仿宋_GB2312"/>
          <w:color w:val="auto"/>
          <w:sz w:val="32"/>
          <w:szCs w:val="32"/>
          <w:highlight w:val="none"/>
        </w:rPr>
        <w:t>查询、管理利用等方面探索创新。</w:t>
      </w:r>
      <w:r>
        <w:rPr>
          <w:rFonts w:hint="eastAsia" w:ascii="楷体_GB2312" w:hAnsi="Arial" w:eastAsia="楷体_GB2312" w:cs="楷体_GB2312"/>
          <w:i w:val="0"/>
          <w:caps w:val="0"/>
          <w:color w:val="000000"/>
          <w:spacing w:val="0"/>
          <w:sz w:val="32"/>
          <w:szCs w:val="32"/>
          <w:shd w:val="clear" w:color="auto" w:fill="FFFFFF"/>
          <w:lang w:eastAsia="zh-CN"/>
        </w:rPr>
        <w:t>四是</w:t>
      </w:r>
      <w:r>
        <w:rPr>
          <w:rFonts w:hint="eastAsia" w:ascii="楷体_GB2312" w:hAnsi="楷体" w:eastAsia="楷体_GB2312" w:cs="楷体"/>
          <w:color w:val="auto"/>
          <w:sz w:val="32"/>
          <w:szCs w:val="32"/>
          <w:highlight w:val="none"/>
        </w:rPr>
        <w:t>加大创新力度</w:t>
      </w:r>
      <w:r>
        <w:rPr>
          <w:rFonts w:hint="eastAsia" w:ascii="楷体_GB2312" w:hAnsi="楷体" w:eastAsia="楷体_GB2312" w:cs="楷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加强政务公开和业务工作结合，</w:t>
      </w:r>
      <w:r>
        <w:rPr>
          <w:rFonts w:hint="eastAsia" w:ascii="仿宋_GB2312" w:hAnsi="仿宋_GB2312" w:eastAsia="仿宋_GB2312" w:cs="仿宋_GB2312"/>
          <w:i w:val="0"/>
          <w:caps w:val="0"/>
          <w:color w:val="auto"/>
          <w:spacing w:val="0"/>
          <w:sz w:val="32"/>
          <w:szCs w:val="32"/>
          <w:highlight w:val="none"/>
          <w:u w:val="none"/>
        </w:rPr>
        <w:t>围绕群众关心关切的热点难点问题，创新举措，提质增效，</w:t>
      </w:r>
      <w:r>
        <w:rPr>
          <w:rFonts w:hint="eastAsia" w:ascii="仿宋_GB2312" w:hAnsi="仿宋_GB2312" w:eastAsia="仿宋_GB2312" w:cs="仿宋_GB2312"/>
          <w:color w:val="auto"/>
          <w:sz w:val="32"/>
          <w:szCs w:val="32"/>
          <w:highlight w:val="none"/>
          <w:lang w:eastAsia="zh-CN"/>
        </w:rPr>
        <w:t>打造特色政务公开品牌。</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六、其他需要报告的事项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收取信息处理费情况方面。202</w:t>
      </w:r>
      <w:r>
        <w:rPr>
          <w:rFonts w:hint="eastAsia" w:ascii="仿宋_GB2312" w:eastAsia="仿宋_GB2312"/>
          <w:sz w:val="32"/>
          <w:szCs w:val="32"/>
          <w:lang w:val="en-US" w:eastAsia="zh-CN"/>
        </w:rPr>
        <w:t>2</w:t>
      </w:r>
      <w:r>
        <w:rPr>
          <w:rFonts w:hint="eastAsia" w:ascii="仿宋_GB2312" w:eastAsia="仿宋_GB2312"/>
          <w:sz w:val="32"/>
          <w:szCs w:val="32"/>
        </w:rPr>
        <w:t>年度，本单位未收取信息处理费；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落实上级年度政务公开工作要点情况。对照《</w:t>
      </w:r>
      <w:r>
        <w:rPr>
          <w:rFonts w:hint="eastAsia" w:ascii="仿宋_GB2312" w:eastAsia="仿宋_GB2312"/>
          <w:sz w:val="32"/>
          <w:szCs w:val="32"/>
          <w:lang w:eastAsia="zh-CN"/>
        </w:rPr>
        <w:t>枣庄市</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年政务公开政务公开工作要点》，印发</w:t>
      </w:r>
      <w:r>
        <w:rPr>
          <w:rFonts w:hint="eastAsia" w:ascii="仿宋_GB2312" w:eastAsia="仿宋_GB2312"/>
          <w:sz w:val="32"/>
          <w:szCs w:val="32"/>
          <w:lang w:eastAsia="zh-CN"/>
        </w:rPr>
        <w:t>《</w:t>
      </w:r>
      <w:r>
        <w:rPr>
          <w:rFonts w:hint="eastAsia" w:ascii="仿宋_GB2312" w:hAnsi="宋体" w:eastAsia="仿宋_GB2312" w:cs="宋体"/>
          <w:kern w:val="0"/>
          <w:sz w:val="32"/>
          <w:szCs w:val="32"/>
          <w:lang w:val="en-US" w:eastAsia="zh-CN" w:bidi="ar-SA"/>
        </w:rPr>
        <w:t>滕州市2022年政务公开工作要点》和《落实枣庄市2022年政务公开工作要点工作台账》</w:t>
      </w:r>
      <w:r>
        <w:rPr>
          <w:rFonts w:hint="eastAsia" w:ascii="仿宋_GB2312" w:eastAsia="仿宋_GB2312"/>
          <w:sz w:val="32"/>
          <w:szCs w:val="32"/>
        </w:rPr>
        <w:t>，围绕重点领域信息公开、政策发布解读与回应、政民互动、</w:t>
      </w:r>
      <w:r>
        <w:rPr>
          <w:rFonts w:hint="eastAsia" w:ascii="仿宋_GB2312" w:eastAsia="仿宋_GB2312"/>
          <w:sz w:val="32"/>
          <w:szCs w:val="32"/>
          <w:lang w:eastAsia="zh-CN"/>
        </w:rPr>
        <w:t>基层政务</w:t>
      </w:r>
      <w:r>
        <w:rPr>
          <w:rFonts w:hint="eastAsia" w:ascii="仿宋_GB2312" w:eastAsia="仿宋_GB2312"/>
          <w:sz w:val="32"/>
          <w:szCs w:val="32"/>
        </w:rPr>
        <w:t>公开标准化规范化建设和工作保障和落实逐项明确责任主体</w:t>
      </w:r>
      <w:r>
        <w:rPr>
          <w:rFonts w:hint="eastAsia" w:ascii="仿宋_GB2312" w:eastAsia="仿宋_GB2312"/>
          <w:sz w:val="32"/>
          <w:szCs w:val="32"/>
          <w:lang w:eastAsia="zh-CN"/>
        </w:rPr>
        <w:t>和完成时限</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人大代表建议和政协提案办理情况方面。20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pacing w:val="-6"/>
          <w:sz w:val="32"/>
          <w:szCs w:val="32"/>
          <w:lang w:eastAsia="zh-CN"/>
        </w:rPr>
        <w:t>政府办公室承办</w:t>
      </w:r>
      <w:r>
        <w:rPr>
          <w:rFonts w:ascii="仿宋_GB2312" w:eastAsia="仿宋_GB2312"/>
          <w:spacing w:val="-6"/>
          <w:sz w:val="32"/>
          <w:szCs w:val="32"/>
        </w:rPr>
        <w:t>人大代表建议</w:t>
      </w:r>
      <w:r>
        <w:rPr>
          <w:rFonts w:hint="eastAsia" w:ascii="仿宋_GB2312" w:eastAsia="仿宋_GB2312"/>
          <w:spacing w:val="-6"/>
          <w:sz w:val="32"/>
          <w:szCs w:val="32"/>
          <w:lang w:val="en-US" w:eastAsia="zh-CN"/>
        </w:rPr>
        <w:t>2件，已办结，未承办</w:t>
      </w:r>
      <w:r>
        <w:rPr>
          <w:rFonts w:ascii="仿宋_GB2312" w:eastAsia="仿宋_GB2312"/>
          <w:spacing w:val="-6"/>
          <w:sz w:val="32"/>
          <w:szCs w:val="32"/>
        </w:rPr>
        <w:t>政协提案；</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开展政务公开创新方面。</w:t>
      </w:r>
      <w:r>
        <w:rPr>
          <w:rFonts w:hint="eastAsia" w:ascii="仿宋_GB2312" w:eastAsia="仿宋_GB2312"/>
          <w:sz w:val="32"/>
          <w:szCs w:val="32"/>
          <w:lang w:eastAsia="zh-CN"/>
        </w:rPr>
        <w:t>政府办公室持续推进利益相关方列席政府常务会议、公共企事业单位信息公开、政府开放日、政务公开体验区等创新形式。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本单位政府信息公开工作年度报告数据统计需要说明的事项：无</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pPr>
      <w:r>
        <w:rPr>
          <w:rFonts w:hint="eastAsia" w:ascii="仿宋_GB2312" w:hAnsi="仿宋_GB2312" w:eastAsia="仿宋_GB2312" w:cs="仿宋_GB2312"/>
          <w:sz w:val="32"/>
          <w:szCs w:val="32"/>
          <w:lang w:val="en-US" w:eastAsia="zh-CN"/>
        </w:rPr>
        <w:t>7.本报告的电子版可在“中国滕州网”（http://www.tengzhou.gov.cn/）网站查询和下载。如对本报告有任何疑问，请与滕州市政府办公室政务公开办公室联系。 （地址：山东省滕州市北辛中路政务中心 625 房间，联系电话：0632—5513369，电子邮箱：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"mailto:tzzwgk@zz.shandong.cn）。"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tzzwgk@zz.shandong.cn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sectPr>
      <w:headerReference r:id="rId3" w:type="default"/>
      <w:footerReference r:id="rId4" w:type="default"/>
      <w:pgSz w:w="11906" w:h="16838"/>
      <w:pgMar w:top="1383"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汉仪旗黑-55简">
    <w:altName w:val="方正黑体_GBK"/>
    <w:panose1 w:val="00020600040101010101"/>
    <w:charset w:val="8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mIyY2FkYTM4YjZjNzZmY2MyZmRlNjIyMmZhYzIifQ=="/>
  </w:docVars>
  <w:rsids>
    <w:rsidRoot w:val="21820AB8"/>
    <w:rsid w:val="005F431D"/>
    <w:rsid w:val="020D5D15"/>
    <w:rsid w:val="0257771D"/>
    <w:rsid w:val="03987BFB"/>
    <w:rsid w:val="058442AE"/>
    <w:rsid w:val="05A45DF1"/>
    <w:rsid w:val="05E565C5"/>
    <w:rsid w:val="06CE2604"/>
    <w:rsid w:val="0998778C"/>
    <w:rsid w:val="0F296ED6"/>
    <w:rsid w:val="11426A31"/>
    <w:rsid w:val="1256652B"/>
    <w:rsid w:val="12EF0AA7"/>
    <w:rsid w:val="12F274C7"/>
    <w:rsid w:val="133C76FB"/>
    <w:rsid w:val="146C6547"/>
    <w:rsid w:val="183F222E"/>
    <w:rsid w:val="198B0FEE"/>
    <w:rsid w:val="1991373A"/>
    <w:rsid w:val="19A14243"/>
    <w:rsid w:val="1A6522F4"/>
    <w:rsid w:val="1B2C1FD9"/>
    <w:rsid w:val="1C4B6240"/>
    <w:rsid w:val="1C901919"/>
    <w:rsid w:val="1CFE0661"/>
    <w:rsid w:val="1D35577C"/>
    <w:rsid w:val="2152442C"/>
    <w:rsid w:val="21820AB8"/>
    <w:rsid w:val="23944326"/>
    <w:rsid w:val="24982636"/>
    <w:rsid w:val="24FB4256"/>
    <w:rsid w:val="252E5D6D"/>
    <w:rsid w:val="25455921"/>
    <w:rsid w:val="2581571E"/>
    <w:rsid w:val="296E73F2"/>
    <w:rsid w:val="2D1C4834"/>
    <w:rsid w:val="2F7C1892"/>
    <w:rsid w:val="2FAD5A30"/>
    <w:rsid w:val="30772837"/>
    <w:rsid w:val="308B2707"/>
    <w:rsid w:val="30A13FA4"/>
    <w:rsid w:val="30D8131D"/>
    <w:rsid w:val="31C37D95"/>
    <w:rsid w:val="34083D1C"/>
    <w:rsid w:val="35962709"/>
    <w:rsid w:val="37454701"/>
    <w:rsid w:val="374DB009"/>
    <w:rsid w:val="3AC81FE2"/>
    <w:rsid w:val="3C1507AB"/>
    <w:rsid w:val="3C5055BF"/>
    <w:rsid w:val="3EE80FE8"/>
    <w:rsid w:val="418341D4"/>
    <w:rsid w:val="432A4176"/>
    <w:rsid w:val="44225326"/>
    <w:rsid w:val="46184BCD"/>
    <w:rsid w:val="486471E4"/>
    <w:rsid w:val="49093F3C"/>
    <w:rsid w:val="4E9C1533"/>
    <w:rsid w:val="4F593F8F"/>
    <w:rsid w:val="507F6B64"/>
    <w:rsid w:val="51D17969"/>
    <w:rsid w:val="52A627FD"/>
    <w:rsid w:val="539A4128"/>
    <w:rsid w:val="541F7CA5"/>
    <w:rsid w:val="58D65697"/>
    <w:rsid w:val="5A086D26"/>
    <w:rsid w:val="5ABB43D1"/>
    <w:rsid w:val="5B5A47B7"/>
    <w:rsid w:val="5BD1454A"/>
    <w:rsid w:val="5C6D3A28"/>
    <w:rsid w:val="5CB5102D"/>
    <w:rsid w:val="5D9B0FDD"/>
    <w:rsid w:val="5DD951B3"/>
    <w:rsid w:val="5F642333"/>
    <w:rsid w:val="69F7102D"/>
    <w:rsid w:val="6A8E33BF"/>
    <w:rsid w:val="6BAF07D0"/>
    <w:rsid w:val="6BB01618"/>
    <w:rsid w:val="6D144675"/>
    <w:rsid w:val="6E466141"/>
    <w:rsid w:val="6E6D725E"/>
    <w:rsid w:val="735656F7"/>
    <w:rsid w:val="73DD4DB5"/>
    <w:rsid w:val="77300C87"/>
    <w:rsid w:val="77FDDC20"/>
    <w:rsid w:val="79F64B91"/>
    <w:rsid w:val="7F6F3CAE"/>
    <w:rsid w:val="7FFFDBEC"/>
    <w:rsid w:val="F1EFC6DD"/>
    <w:rsid w:val="F67F7F95"/>
    <w:rsid w:val="FFB62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ln>
                  <a:noFill/>
                </a:ln>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a:solidFill>
                  <a:schemeClr val="tx1"/>
                </a:solidFill>
              </a:rPr>
              <a:t>滕州市人民政府办公室</a:t>
            </a:r>
            <a:r>
              <a:rPr lang="en-US" altLang="zh-CN">
                <a:solidFill>
                  <a:schemeClr val="tx1"/>
                </a:solidFill>
              </a:rPr>
              <a:t>2022</a:t>
            </a:r>
            <a:r>
              <a:rPr altLang="en-US">
                <a:solidFill>
                  <a:schemeClr val="tx1"/>
                </a:solidFill>
              </a:rPr>
              <a:t>年政策解读情况</a:t>
            </a:r>
            <a:endParaRPr altLang="en-US">
              <a:solidFill>
                <a:schemeClr val="tx1"/>
              </a:solidFill>
            </a:endParaRPr>
          </a:p>
        </c:rich>
      </c:tx>
      <c:layout>
        <c:manualLayout>
          <c:xMode val="edge"/>
          <c:yMode val="edge"/>
          <c:x val="0.160375"/>
          <c:y val="0.03"/>
        </c:manualLayout>
      </c:layout>
      <c:overlay val="false"/>
      <c:spPr>
        <a:noFill/>
        <a:ln>
          <a:noFill/>
        </a:ln>
        <a:effectLst/>
      </c:spPr>
    </c:title>
    <c:autoTitleDeleted val="false"/>
    <c:plotArea>
      <c:layout/>
      <c:pieChart>
        <c:varyColors val="true"/>
        <c:ser>
          <c:idx val="0"/>
          <c:order val="0"/>
          <c:tx>
            <c:strRef>
              <c:f>Sheet1!$B$1</c:f>
              <c:strCache>
                <c:ptCount val="1"/>
                <c:pt idx="0">
                  <c:v/>
                </c:pt>
              </c:strCache>
            </c:strRef>
          </c:tx>
          <c:spPr>
            <a:ln w="9525">
              <a:solidFill>
                <a:schemeClr val="lt1"/>
              </a:solidFill>
            </a:ln>
            <a:effectLst>
              <a:outerShdw blurRad="50800" dist="38100" dir="2700000" algn="tl" rotWithShape="0">
                <a:srgbClr val="91BED4">
                  <a:alpha val="40000"/>
                </a:srgbClr>
              </a:outerShdw>
            </a:effectLst>
          </c:spPr>
          <c:explosion val="3"/>
          <c:dPt>
            <c:idx val="0"/>
            <c:bubble3D val="false"/>
            <c:spPr>
              <a:solidFill>
                <a:srgbClr val="FF845D"/>
              </a:solidFill>
              <a:ln w="9525">
                <a:solidFill>
                  <a:schemeClr val="lt1"/>
                </a:solidFill>
              </a:ln>
              <a:effectLst>
                <a:outerShdw blurRad="50800" dist="38100" dir="2700000" algn="tl" rotWithShape="0">
                  <a:srgbClr val="91BED4">
                    <a:alpha val="40000"/>
                  </a:srgbClr>
                </a:outerShdw>
              </a:effectLst>
            </c:spPr>
          </c:dPt>
          <c:dPt>
            <c:idx val="1"/>
            <c:bubble3D val="false"/>
            <c:spPr>
              <a:solidFill>
                <a:srgbClr val="FFDF8B"/>
              </a:solidFill>
              <a:ln w="9525">
                <a:solidFill>
                  <a:schemeClr val="lt1"/>
                </a:solidFill>
              </a:ln>
              <a:effectLst>
                <a:outerShdw blurRad="50800" dist="38100" dir="2700000" algn="tl" rotWithShape="0">
                  <a:srgbClr val="91BED4">
                    <a:alpha val="40000"/>
                  </a:srgbClr>
                </a:outerShdw>
              </a:effectLst>
            </c:spPr>
          </c:dPt>
          <c:dPt>
            <c:idx val="2"/>
            <c:bubble3D val="false"/>
            <c:spPr>
              <a:solidFill>
                <a:srgbClr val="B3DFEC"/>
              </a:solidFill>
              <a:ln w="9525">
                <a:solidFill>
                  <a:schemeClr val="lt1"/>
                </a:solidFill>
              </a:ln>
              <a:effectLst>
                <a:outerShdw blurRad="50800" dist="38100" dir="2700000" algn="tl" rotWithShape="0">
                  <a:srgbClr val="91BED4">
                    <a:alpha val="40000"/>
                  </a:srgbClr>
                </a:outerShdw>
              </a:effectLst>
            </c:spPr>
          </c:dPt>
          <c:dPt>
            <c:idx val="3"/>
            <c:bubble3D val="false"/>
            <c:spPr>
              <a:solidFill>
                <a:srgbClr val="BFE482"/>
              </a:solidFill>
              <a:ln w="9525">
                <a:solidFill>
                  <a:schemeClr val="lt1"/>
                </a:solidFill>
              </a:ln>
              <a:effectLst>
                <a:outerShdw blurRad="50800" dist="38100" dir="2700000" algn="tl" rotWithShape="0">
                  <a:srgbClr val="91BED4">
                    <a:alpha val="40000"/>
                  </a:srgbClr>
                </a:outerShdw>
              </a:effectLst>
            </c:spPr>
          </c:dPt>
          <c:dPt>
            <c:idx val="4"/>
            <c:bubble3D val="false"/>
            <c:spPr>
              <a:solidFill>
                <a:schemeClr val="accent5"/>
              </a:solidFill>
              <a:ln w="9525">
                <a:solidFill>
                  <a:schemeClr val="lt1"/>
                </a:solidFill>
              </a:ln>
              <a:effectLst>
                <a:outerShdw blurRad="50800" dist="38100" dir="2700000" algn="tl" rotWithShape="0">
                  <a:srgbClr val="91BED4">
                    <a:alpha val="40000"/>
                  </a:srgbClr>
                </a:outerShdw>
              </a:effectLst>
            </c:spPr>
          </c:dPt>
          <c:dPt>
            <c:idx val="5"/>
            <c:bubble3D val="false"/>
            <c:spPr>
              <a:solidFill>
                <a:schemeClr val="accent6"/>
              </a:solidFill>
              <a:ln w="9525">
                <a:solidFill>
                  <a:schemeClr val="lt1"/>
                </a:solidFill>
              </a:ln>
              <a:effectLst>
                <a:outerShdw blurRad="50800" dist="38100" dir="2700000" algn="tl" rotWithShape="0">
                  <a:srgbClr val="91BED4">
                    <a:alpha val="40000"/>
                  </a:srgbClr>
                </a:outerShdw>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10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文字解读</c:v>
                </c:pt>
                <c:pt idx="1">
                  <c:v>主要负责人解读</c:v>
                </c:pt>
                <c:pt idx="2">
                  <c:v>新闻发布会</c:v>
                </c:pt>
                <c:pt idx="3">
                  <c:v>简明问答</c:v>
                </c:pt>
                <c:pt idx="4">
                  <c:v>图文解读</c:v>
                </c:pt>
                <c:pt idx="5">
                  <c:v>视频解读</c:v>
                </c:pt>
              </c:strCache>
            </c:strRef>
          </c:cat>
          <c:val>
            <c:numRef>
              <c:f>Sheet1!$B$2:$B$7</c:f>
              <c:numCache>
                <c:formatCode>General</c:formatCode>
                <c:ptCount val="6"/>
                <c:pt idx="0">
                  <c:v>31</c:v>
                </c:pt>
                <c:pt idx="1">
                  <c:v>4</c:v>
                </c:pt>
                <c:pt idx="2">
                  <c:v>9</c:v>
                </c:pt>
                <c:pt idx="3">
                  <c:v>2</c:v>
                </c:pt>
                <c:pt idx="4">
                  <c:v>10</c:v>
                </c:pt>
                <c:pt idx="5">
                  <c:v>5</c:v>
                </c:pt>
              </c:numCache>
            </c:numRef>
          </c:val>
        </c:ser>
        <c:dLbls>
          <c:showLegendKey val="false"/>
          <c:showVal val="false"/>
          <c:showCatName val="false"/>
          <c:showSerName val="false"/>
          <c:showPercent val="true"/>
          <c:showBubbleSize val="false"/>
          <c:showLeaderLines val="true"/>
        </c:dLbls>
        <c:firstSliceAng val="0"/>
      </c:pieChart>
      <c:spPr>
        <a:noFill/>
        <a:ln>
          <a:noFill/>
        </a:ln>
        <a:effectLst>
          <a:glow rad="63500">
            <a:schemeClr val="bg1">
              <a:alpha val="40000"/>
            </a:schemeClr>
          </a:glow>
        </a:effectLst>
      </c:spPr>
    </c:plotArea>
    <c:legend>
      <c:legendPos val="t"/>
      <c:legendEntry>
        <c:idx val="0"/>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2"/>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3"/>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4"/>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egendEntry>
        <c:idx val="5"/>
        <c:txPr>
          <a:bodyPr rot="0" spcFirstLastPara="0" vertOverflow="ellipsis" vert="horz" wrap="square" anchor="ctr" anchorCtr="tru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Entry>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true"/>
    <c:dispBlanksAs val="gap"/>
    <c:showDLblsOverMax val="false"/>
  </c:chart>
  <c:spPr>
    <a:pattFill prst="lgGrid">
      <a:fgClr>
        <a:sysClr val="window" lastClr="FFFFFF"/>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zh-CN" sz="1200"/>
              <a:t>滕州市人民政府办公室</a:t>
            </a:r>
            <a:r>
              <a:rPr lang="en-US" altLang="zh-CN" sz="1200"/>
              <a:t>2022</a:t>
            </a:r>
            <a:r>
              <a:rPr altLang="en-US" sz="1200"/>
              <a:t>年依申请公开办理情况</a:t>
            </a:r>
            <a:endParaRPr altLang="en-US" sz="1200"/>
          </a:p>
        </c:rich>
      </c:tx>
      <c:layout>
        <c:manualLayout>
          <c:xMode val="edge"/>
          <c:yMode val="edge"/>
          <c:x val="0.159125"/>
          <c:y val="0.00766666666666667"/>
        </c:manualLayout>
      </c:layout>
      <c:overlay val="false"/>
      <c:spPr>
        <a:noFill/>
        <a:ln>
          <a:noFill/>
        </a:ln>
        <a:effectLst/>
      </c:spPr>
    </c:title>
    <c:autoTitleDeleted val="false"/>
    <c:plotArea>
      <c:layout>
        <c:manualLayout>
          <c:layoutTarget val="inner"/>
          <c:xMode val="edge"/>
          <c:yMode val="edge"/>
          <c:x val="0.08345"/>
          <c:y val="0.17425"/>
          <c:w val="0.9128"/>
          <c:h val="0.7169"/>
        </c:manualLayout>
      </c:layout>
      <c:barChart>
        <c:barDir val="col"/>
        <c:grouping val="clustered"/>
        <c:varyColors val="false"/>
        <c:ser>
          <c:idx val="0"/>
          <c:order val="0"/>
          <c:tx>
            <c:strRef>
              <c:f>Sheet1!$B$1</c:f>
              <c:strCache>
                <c:ptCount val="1"/>
                <c:pt idx="0">
                  <c:v>予以公开</c:v>
                </c:pt>
              </c:strCache>
            </c:strRef>
          </c:tx>
          <c:spPr>
            <a:solidFill>
              <a:srgbClr val="EB7068"/>
            </a:solidFill>
            <a:ln>
              <a:solidFill>
                <a:schemeClr val="bg1"/>
              </a:solidFill>
            </a:ln>
            <a:effectLst>
              <a:outerShdw blurRad="50800" dist="38100" dir="18900000" algn="bl" rotWithShape="0">
                <a:prstClr val="black">
                  <a:alpha val="10000"/>
                </a:prstClr>
              </a:outerShdw>
            </a:effectLst>
          </c:spPr>
          <c:invertIfNegative val="false"/>
          <c:dPt>
            <c:idx val="0"/>
            <c:invertIfNegative val="false"/>
            <c:bubble3D val="false"/>
            <c:spPr>
              <a:solidFill>
                <a:srgbClr val="EB7068"/>
              </a:solidFill>
              <a:ln>
                <a:solidFill>
                  <a:schemeClr val="bg1"/>
                </a:solidFill>
              </a:ln>
              <a:effectLst>
                <a:outerShdw blurRad="50800" dist="38100" dir="18900000" algn="bl" rotWithShape="0">
                  <a:prstClr val="black">
                    <a:alpha val="10000"/>
                  </a:prstClr>
                </a:outerShdw>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件数</c:v>
                </c:pt>
              </c:strCache>
            </c:strRef>
          </c:cat>
          <c:val>
            <c:numRef>
              <c:f>Sheet1!$B$2</c:f>
              <c:numCache>
                <c:formatCode>General</c:formatCode>
                <c:ptCount val="1"/>
                <c:pt idx="0">
                  <c:v>14</c:v>
                </c:pt>
              </c:numCache>
            </c:numRef>
          </c:val>
        </c:ser>
        <c:ser>
          <c:idx val="1"/>
          <c:order val="1"/>
          <c:tx>
            <c:strRef>
              <c:f>Sheet1!$C$1</c:f>
              <c:strCache>
                <c:ptCount val="1"/>
                <c:pt idx="0">
                  <c:v>部分公开</c:v>
                </c:pt>
              </c:strCache>
            </c:strRef>
          </c:tx>
          <c:spPr>
            <a:solidFill>
              <a:srgbClr val="86B81A"/>
            </a:solidFill>
            <a:ln>
              <a:solidFill>
                <a:schemeClr val="bg1"/>
              </a:solidFill>
            </a:ln>
            <a:effectLst>
              <a:outerShdw blurRad="50800" dist="38100" dir="18900000" algn="bl" rotWithShape="0">
                <a:prstClr val="black">
                  <a:alpha val="10000"/>
                </a:prstClr>
              </a:outerShdw>
            </a:effectLst>
          </c:spPr>
          <c:invertIfNegative val="false"/>
          <c:dPt>
            <c:idx val="0"/>
            <c:invertIfNegative val="false"/>
            <c:bubble3D val="false"/>
            <c:spPr>
              <a:solidFill>
                <a:srgbClr val="86B81A"/>
              </a:solidFill>
              <a:ln>
                <a:solidFill>
                  <a:schemeClr val="bg1"/>
                </a:solidFill>
              </a:ln>
              <a:effectLst>
                <a:outerShdw blurRad="50800" dist="38100" dir="18900000" algn="bl" rotWithShape="0">
                  <a:prstClr val="black">
                    <a:alpha val="10000"/>
                  </a:prstClr>
                </a:outerShdw>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件数</c:v>
                </c:pt>
              </c:strCache>
            </c:strRef>
          </c:cat>
          <c:val>
            <c:numRef>
              <c:f>Sheet1!$C$2</c:f>
              <c:numCache>
                <c:formatCode>General</c:formatCode>
                <c:ptCount val="1"/>
                <c:pt idx="0">
                  <c:v>24</c:v>
                </c:pt>
              </c:numCache>
            </c:numRef>
          </c:val>
        </c:ser>
        <c:ser>
          <c:idx val="2"/>
          <c:order val="2"/>
          <c:tx>
            <c:strRef>
              <c:f>Sheet1!$D$1</c:f>
              <c:strCache>
                <c:ptCount val="1"/>
                <c:pt idx="0">
                  <c:v>不予公开</c:v>
                </c:pt>
              </c:strCache>
            </c:strRef>
          </c:tx>
          <c:spPr>
            <a:solidFill>
              <a:srgbClr val="F5C14B"/>
            </a:solidFill>
            <a:ln>
              <a:solidFill>
                <a:schemeClr val="bg1"/>
              </a:solidFill>
            </a:ln>
            <a:effectLst>
              <a:outerShdw blurRad="50800" dist="38100" dir="18900000" algn="bl" rotWithShape="0">
                <a:prstClr val="black">
                  <a:alpha val="10000"/>
                </a:prst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件数</c:v>
                </c:pt>
              </c:strCache>
            </c:strRef>
          </c:cat>
          <c:val>
            <c:numRef>
              <c:f>Sheet1!$D$2</c:f>
              <c:numCache>
                <c:formatCode>General</c:formatCode>
                <c:ptCount val="1"/>
                <c:pt idx="0">
                  <c:v>1</c:v>
                </c:pt>
              </c:numCache>
            </c:numRef>
          </c:val>
        </c:ser>
        <c:ser>
          <c:idx val="3"/>
          <c:order val="3"/>
          <c:tx>
            <c:strRef>
              <c:f>Sheet1!$E$1</c:f>
              <c:strCache>
                <c:ptCount val="1"/>
                <c:pt idx="0">
                  <c:v>无法提供</c:v>
                </c:pt>
              </c:strCache>
            </c:strRef>
          </c:tx>
          <c:spPr>
            <a:solidFill>
              <a:srgbClr val="3CADC9"/>
            </a:solidFill>
            <a:ln>
              <a:solidFill>
                <a:schemeClr val="bg1"/>
              </a:solidFill>
            </a:ln>
            <a:effectLst>
              <a:outerShdw blurRad="50800" dist="38100" dir="18900000" algn="bl" rotWithShape="0">
                <a:prstClr val="black">
                  <a:alpha val="10000"/>
                </a:prstClr>
              </a:outerShdw>
            </a:effectLst>
          </c:spPr>
          <c:invertIfNegative val="false"/>
          <c:dPt>
            <c:idx val="0"/>
            <c:invertIfNegative val="false"/>
            <c:bubble3D val="false"/>
            <c:spPr>
              <a:solidFill>
                <a:srgbClr val="3CADC9"/>
              </a:solidFill>
              <a:ln>
                <a:solidFill>
                  <a:schemeClr val="bg1"/>
                </a:solidFill>
              </a:ln>
              <a:effectLst>
                <a:outerShdw blurRad="50800" dist="38100" dir="18900000" algn="bl" rotWithShape="0">
                  <a:prstClr val="black">
                    <a:alpha val="10000"/>
                  </a:prstClr>
                </a:outerShdw>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件数</c:v>
                </c:pt>
              </c:strCache>
            </c:strRef>
          </c:cat>
          <c:val>
            <c:numRef>
              <c:f>Sheet1!$E$2</c:f>
              <c:numCache>
                <c:formatCode>General</c:formatCode>
                <c:ptCount val="1"/>
                <c:pt idx="0">
                  <c:v>8</c:v>
                </c:pt>
              </c:numCache>
            </c:numRef>
          </c:val>
        </c:ser>
        <c:ser>
          <c:idx val="4"/>
          <c:order val="4"/>
          <c:tx>
            <c:strRef>
              <c:f>Sheet1!$F$1</c:f>
              <c:strCache>
                <c:ptCount val="1"/>
                <c:pt idx="0">
                  <c:v>其他处理</c:v>
                </c:pt>
              </c:strCache>
            </c:strRef>
          </c:tx>
          <c:spPr>
            <a:solidFill>
              <a:srgbClr val="EB7068"/>
            </a:solidFill>
            <a:ln>
              <a:solidFill>
                <a:schemeClr val="bg1"/>
              </a:solidFill>
            </a:ln>
            <a:effectLst>
              <a:outerShdw blurRad="50800" dist="38100" dir="18900000" algn="bl" rotWithShape="0">
                <a:prstClr val="black">
                  <a:alpha val="10000"/>
                </a:prstClr>
              </a:outerShdw>
            </a:effectLst>
          </c:spPr>
          <c:invertIfNegative val="false"/>
          <c:dPt>
            <c:idx val="0"/>
            <c:invertIfNegative val="false"/>
            <c:bubble3D val="false"/>
            <c:spPr>
              <a:solidFill>
                <a:srgbClr val="EB7068"/>
              </a:solidFill>
              <a:ln>
                <a:solidFill>
                  <a:schemeClr val="bg1"/>
                </a:solidFill>
              </a:ln>
              <a:effectLst>
                <a:outerShdw blurRad="50800" dist="38100" dir="18900000" algn="bl" rotWithShape="0">
                  <a:prstClr val="black">
                    <a:alpha val="10000"/>
                  </a:prstClr>
                </a:out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件数</c:v>
                </c:pt>
              </c:strCache>
            </c:strRef>
          </c:cat>
          <c:val>
            <c:numRef>
              <c:f>Sheet1!$F$2</c:f>
              <c:numCache>
                <c:formatCode>General</c:formatCode>
                <c:ptCount val="1"/>
                <c:pt idx="0">
                  <c:v>1</c:v>
                </c:pt>
              </c:numCache>
            </c:numRef>
          </c:val>
        </c:ser>
        <c:dLbls>
          <c:showLegendKey val="false"/>
          <c:showVal val="true"/>
          <c:showCatName val="false"/>
          <c:showSerName val="false"/>
          <c:showPercent val="false"/>
          <c:showBubbleSize val="false"/>
        </c:dLbls>
        <c:gapWidth val="173"/>
        <c:overlap val="-25"/>
        <c:axId val="616907528"/>
        <c:axId val="266197064"/>
      </c:barChart>
      <c:catAx>
        <c:axId val="61690752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66197064"/>
        <c:crosses val="autoZero"/>
        <c:auto val="true"/>
        <c:lblAlgn val="ctr"/>
        <c:lblOffset val="100"/>
        <c:noMultiLvlLbl val="false"/>
      </c:catAx>
      <c:valAx>
        <c:axId val="266197064"/>
        <c:scaling>
          <c:orientation val="minMax"/>
        </c:scaling>
        <c:delete val="false"/>
        <c:axPos val="l"/>
        <c:numFmt formatCode="General" sourceLinked="true"/>
        <c:majorTickMark val="out"/>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16907528"/>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blipFill rotWithShape="true">
      <a:blip xmlns:r="http://schemas.openxmlformats.org/officeDocument/2006/relationships" r:embed="rId3"/>
      <a:stretch>
        <a:fillRect/>
      </a:stretch>
    </a:blipFill>
    <a:ln w="9525" cap="flat" cmpd="sng" algn="ctr">
      <a:no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3296</Words>
  <Characters>3450</Characters>
  <Lines>0</Lines>
  <Paragraphs>0</Paragraphs>
  <TotalTime>11</TotalTime>
  <ScaleCrop>false</ScaleCrop>
  <LinksUpToDate>false</LinksUpToDate>
  <CharactersWithSpaces>3469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2020-02-11T19:04:00Z</dcterms:created>
  <dc:creator>刚罡</dc:creator>
  <cp:lastModifiedBy>user</cp:lastModifiedBy>
  <dcterms:modified xsi:type="dcterms:W3CDTF">2024-08-07T10:38:13Z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71A9CD1241C34BDC80BCDA3ECE8FC1A2</vt:lpwstr>
  </property>
</Properties>
</file>