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605" w:lineRule="atLeast"/>
        <w:ind w:left="0" w:firstLine="634"/>
        <w:jc w:val="center"/>
        <w:rPr>
          <w:rFonts w:hint="eastAsia" w:ascii="方正小标宋简体" w:hAnsi="方正小标宋简体" w:eastAsia="方正小标宋简体" w:cs="方正小标宋简体"/>
          <w:i w:val="0"/>
          <w:iCs w:val="0"/>
          <w:caps w:val="0"/>
          <w:color w:val="00000A"/>
          <w:spacing w:val="0"/>
          <w:sz w:val="44"/>
          <w:szCs w:val="44"/>
        </w:rPr>
      </w:pPr>
      <w:r>
        <w:rPr>
          <w:rFonts w:hint="eastAsia" w:ascii="方正小标宋简体" w:hAnsi="方正小标宋简体" w:eastAsia="方正小标宋简体" w:cs="方正小标宋简体"/>
          <w:i w:val="0"/>
          <w:iCs w:val="0"/>
          <w:caps w:val="0"/>
          <w:color w:val="00000A"/>
          <w:spacing w:val="0"/>
          <w:sz w:val="44"/>
          <w:szCs w:val="44"/>
        </w:rPr>
        <w:t>滕州市医保局2022年</w:t>
      </w:r>
    </w:p>
    <w:p>
      <w:pPr>
        <w:pStyle w:val="2"/>
        <w:keepNext w:val="0"/>
        <w:keepLines w:val="0"/>
        <w:widowControl/>
        <w:suppressLineNumbers w:val="0"/>
        <w:spacing w:before="0" w:beforeAutospacing="0" w:after="0" w:afterAutospacing="0" w:line="605" w:lineRule="atLeast"/>
        <w:ind w:left="0" w:firstLine="634"/>
        <w:jc w:val="center"/>
        <w:rPr>
          <w:rFonts w:ascii="仿宋_GB2312" w:hAnsi="sans-serif" w:eastAsia="仿宋_GB2312" w:cs="仿宋_GB2312"/>
          <w:i w:val="0"/>
          <w:iCs w:val="0"/>
          <w:caps w:val="0"/>
          <w:color w:val="00000A"/>
          <w:spacing w:val="0"/>
          <w:sz w:val="32"/>
          <w:szCs w:val="32"/>
        </w:rPr>
      </w:pPr>
      <w:r>
        <w:rPr>
          <w:rFonts w:hint="eastAsia" w:ascii="方正小标宋简体" w:hAnsi="方正小标宋简体" w:eastAsia="方正小标宋简体" w:cs="方正小标宋简体"/>
          <w:i w:val="0"/>
          <w:iCs w:val="0"/>
          <w:caps w:val="0"/>
          <w:color w:val="00000A"/>
          <w:spacing w:val="0"/>
          <w:sz w:val="44"/>
          <w:szCs w:val="44"/>
        </w:rPr>
        <w:t>政府信息公开工作年度报告</w:t>
      </w:r>
    </w:p>
    <w:p>
      <w:pPr>
        <w:pStyle w:val="2"/>
        <w:keepNext w:val="0"/>
        <w:keepLines w:val="0"/>
        <w:widowControl/>
        <w:suppressLineNumbers w:val="0"/>
        <w:spacing w:before="0" w:beforeAutospacing="0" w:after="0" w:afterAutospacing="0" w:line="605" w:lineRule="atLeast"/>
        <w:ind w:left="0" w:firstLine="634"/>
        <w:jc w:val="left"/>
        <w:rPr>
          <w:rFonts w:ascii="仿宋_GB2312" w:hAnsi="sans-serif" w:eastAsia="仿宋_GB2312" w:cs="仿宋_GB2312"/>
          <w:i w:val="0"/>
          <w:iCs w:val="0"/>
          <w:caps w:val="0"/>
          <w:color w:val="00000A"/>
          <w:spacing w:val="0"/>
          <w:sz w:val="32"/>
          <w:szCs w:val="32"/>
        </w:rPr>
      </w:pPr>
    </w:p>
    <w:p>
      <w:pPr>
        <w:pStyle w:val="2"/>
        <w:keepNext w:val="0"/>
        <w:keepLines w:val="0"/>
        <w:widowControl/>
        <w:suppressLineNumbers w:val="0"/>
        <w:spacing w:before="0" w:beforeAutospacing="0" w:after="0" w:afterAutospacing="0" w:line="605" w:lineRule="atLeast"/>
        <w:ind w:left="0" w:firstLine="634"/>
        <w:jc w:val="left"/>
        <w:rPr>
          <w:rFonts w:ascii="sans-serif" w:hAnsi="sans-serif" w:eastAsia="sans-serif" w:cs="sans-serif"/>
          <w:i w:val="0"/>
          <w:iCs w:val="0"/>
          <w:caps w:val="0"/>
          <w:color w:val="000000"/>
          <w:spacing w:val="0"/>
          <w:sz w:val="32"/>
          <w:szCs w:val="32"/>
        </w:rPr>
      </w:pPr>
      <w:r>
        <w:rPr>
          <w:rFonts w:ascii="仿宋_GB2312" w:hAnsi="sans-serif" w:eastAsia="仿宋_GB2312" w:cs="仿宋_GB2312"/>
          <w:i w:val="0"/>
          <w:iCs w:val="0"/>
          <w:caps w:val="0"/>
          <w:color w:val="00000A"/>
          <w:spacing w:val="0"/>
          <w:sz w:val="32"/>
          <w:szCs w:val="32"/>
        </w:rPr>
        <w:t>根据《中华人民共和国政府信息公开条例》《山东省政府信息公开办法》和省政府办公厅、枣庄市政府办公室、滕州市政府办公室通知要求，结合滕州市医保局2022年度信息公开工作实际，编制本报告并向社会公布。本报告中所列数据的统计期限自2022年1月1日起</w:t>
      </w:r>
      <w:bookmarkStart w:id="0" w:name="_GoBack"/>
      <w:bookmarkEnd w:id="0"/>
      <w:r>
        <w:rPr>
          <w:rFonts w:ascii="仿宋_GB2312" w:hAnsi="sans-serif" w:eastAsia="仿宋_GB2312" w:cs="仿宋_GB2312"/>
          <w:i w:val="0"/>
          <w:iCs w:val="0"/>
          <w:caps w:val="0"/>
          <w:color w:val="00000A"/>
          <w:spacing w:val="0"/>
          <w:sz w:val="32"/>
          <w:szCs w:val="32"/>
        </w:rPr>
        <w:t>至2022年12月31日止。   </w:t>
      </w:r>
    </w:p>
    <w:p>
      <w:pPr>
        <w:pStyle w:val="2"/>
        <w:keepNext w:val="0"/>
        <w:keepLines w:val="0"/>
        <w:widowControl/>
        <w:suppressLineNumbers w:val="0"/>
        <w:spacing w:after="0" w:afterAutospacing="0" w:line="605" w:lineRule="atLeast"/>
        <w:ind w:left="0" w:firstLine="634"/>
        <w:jc w:val="both"/>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rPr>
        <w:t>一、总体情况</w:t>
      </w:r>
    </w:p>
    <w:p>
      <w:pPr>
        <w:pStyle w:val="2"/>
        <w:keepNext w:val="0"/>
        <w:keepLines w:val="0"/>
        <w:widowControl/>
        <w:suppressLineNumbers w:val="0"/>
        <w:spacing w:after="0" w:afterAutospacing="0" w:line="605" w:lineRule="atLeast"/>
        <w:ind w:left="0" w:firstLine="634"/>
        <w:jc w:val="both"/>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rPr>
        <w:t>2022年，滕州市医保局严格按照省市工作要求，认真贯彻落实《中华人民共和国政府信息公开条例》等有关规定，强化组织领导，细化责任分工，确保信息及时、准确、规范，积极、稳妥推进政府信息公开工作。</w:t>
      </w:r>
    </w:p>
    <w:p>
      <w:pPr>
        <w:pStyle w:val="2"/>
        <w:keepNext w:val="0"/>
        <w:keepLines w:val="0"/>
        <w:widowControl/>
        <w:suppressLineNumbers w:val="0"/>
        <w:spacing w:after="0" w:afterAutospacing="0" w:line="605" w:lineRule="atLeast"/>
        <w:ind w:left="0" w:firstLine="0"/>
        <w:jc w:val="both"/>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rPr>
        <w:t>  （一）主动公开。针对群众关注的医保问题，积极规范做好政府信息主动公开工作，2022年，我局在滕州市政府信息公开网共发布信息281余条。其中，通知公告43条，政策文件10条，公共查询2条，工作动态106条，群众关切72条，规划计划2条，财政信息2条，行政权力2条，建议提案11条，重点领域21条（包括民生实事4条、行政执法公示4条、医疗救助7条、社会医疗生育保险6条），组织管理9条，政务公开基本目录1条。同时，积极运用政务新媒体，推动政务公开和信息发布，“滕州市医保局”微信公众号全年共发布医疗保障相关信息347条，累计用户14590人。“滕州市医保局”抖音号全年共发布视频6条，累计关注1140人。</w:t>
      </w:r>
    </w:p>
    <w:p>
      <w:pPr>
        <w:pStyle w:val="2"/>
        <w:keepNext w:val="0"/>
        <w:keepLines w:val="0"/>
        <w:widowControl/>
        <w:suppressLineNumbers w:val="0"/>
        <w:spacing w:after="0" w:afterAutospacing="0" w:line="605" w:lineRule="atLeast"/>
        <w:ind w:left="0" w:firstLine="0"/>
        <w:jc w:val="center"/>
        <w:rPr>
          <w:rFonts w:hint="default" w:ascii="sans-serif" w:hAnsi="sans-serif" w:eastAsia="sans-serif" w:cs="sans-serif"/>
          <w:i w:val="0"/>
          <w:iCs w:val="0"/>
          <w:caps w:val="0"/>
          <w:color w:val="000000"/>
          <w:spacing w:val="0"/>
          <w:sz w:val="32"/>
          <w:szCs w:val="32"/>
        </w:rPr>
      </w:pPr>
      <w:r>
        <w:rPr>
          <w:rFonts w:hint="default" w:ascii="sans-serif" w:hAnsi="sans-serif" w:eastAsia="sans-serif" w:cs="sans-serif"/>
          <w:i w:val="0"/>
          <w:iCs w:val="0"/>
          <w:caps w:val="0"/>
          <w:color w:val="000000"/>
          <w:spacing w:val="0"/>
          <w:sz w:val="32"/>
          <w:szCs w:val="32"/>
        </w:rPr>
        <w:drawing>
          <wp:inline distT="0" distB="0" distL="114300" distR="114300">
            <wp:extent cx="2638425" cy="3505200"/>
            <wp:effectExtent l="0" t="0" r="9525" b="0"/>
            <wp:docPr id="1" name="图片 1" descr="U0202301163285854502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020230116328585450210.png"/>
                    <pic:cNvPicPr>
                      <a:picLocks noChangeAspect="1"/>
                    </pic:cNvPicPr>
                  </pic:nvPicPr>
                  <pic:blipFill>
                    <a:blip r:embed="rId4"/>
                    <a:stretch>
                      <a:fillRect/>
                    </a:stretch>
                  </pic:blipFill>
                  <pic:spPr>
                    <a:xfrm>
                      <a:off x="0" y="0"/>
                      <a:ext cx="2638425" cy="3505200"/>
                    </a:xfrm>
                    <a:prstGeom prst="rect">
                      <a:avLst/>
                    </a:prstGeom>
                    <a:noFill/>
                    <a:ln w="9525">
                      <a:noFill/>
                    </a:ln>
                  </pic:spPr>
                </pic:pic>
              </a:graphicData>
            </a:graphic>
          </wp:inline>
        </w:drawing>
      </w:r>
      <w:r>
        <w:rPr>
          <w:rFonts w:hint="default" w:ascii="sans-serif" w:hAnsi="sans-serif" w:eastAsia="sans-serif" w:cs="sans-serif"/>
          <w:i w:val="0"/>
          <w:iCs w:val="0"/>
          <w:caps w:val="0"/>
          <w:color w:val="000000"/>
          <w:spacing w:val="0"/>
          <w:sz w:val="32"/>
          <w:szCs w:val="32"/>
        </w:rPr>
        <w:drawing>
          <wp:inline distT="0" distB="0" distL="114300" distR="114300">
            <wp:extent cx="1590675" cy="3438525"/>
            <wp:effectExtent l="0" t="0" r="9525" b="9525"/>
            <wp:docPr id="2" name="图片 2" descr="U020230116328585452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020230116328585452267.jpg"/>
                    <pic:cNvPicPr>
                      <a:picLocks noChangeAspect="1"/>
                    </pic:cNvPicPr>
                  </pic:nvPicPr>
                  <pic:blipFill>
                    <a:blip r:embed="rId5"/>
                    <a:stretch>
                      <a:fillRect/>
                    </a:stretch>
                  </pic:blipFill>
                  <pic:spPr>
                    <a:xfrm>
                      <a:off x="0" y="0"/>
                      <a:ext cx="1590675" cy="3438525"/>
                    </a:xfrm>
                    <a:prstGeom prst="rect">
                      <a:avLst/>
                    </a:prstGeom>
                    <a:noFill/>
                    <a:ln w="9525">
                      <a:noFill/>
                    </a:ln>
                  </pic:spPr>
                </pic:pic>
              </a:graphicData>
            </a:graphic>
          </wp:inline>
        </w:drawing>
      </w:r>
    </w:p>
    <w:p>
      <w:pPr>
        <w:pStyle w:val="2"/>
        <w:keepNext w:val="0"/>
        <w:keepLines w:val="0"/>
        <w:widowControl/>
        <w:suppressLineNumbers w:val="0"/>
        <w:spacing w:after="0" w:afterAutospacing="0" w:line="605" w:lineRule="atLeast"/>
        <w:ind w:left="0" w:firstLine="634"/>
        <w:jc w:val="left"/>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rPr>
        <w:t>（二）依申请公开。2022年市医保局受理依申请公开共0件。本年度无因政府信息公开申请提起行政复议、行政诉讼情况。</w:t>
      </w:r>
    </w:p>
    <w:p>
      <w:pPr>
        <w:pStyle w:val="2"/>
        <w:keepNext w:val="0"/>
        <w:keepLines w:val="0"/>
        <w:widowControl/>
        <w:suppressLineNumbers w:val="0"/>
        <w:spacing w:after="0" w:afterAutospacing="0" w:line="605" w:lineRule="atLeast"/>
        <w:ind w:left="0" w:firstLine="634"/>
        <w:jc w:val="left"/>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rPr>
        <w:t>（三）政府信息管理。严格落实公文公开属性源头认定机制，明确标识主动公开、依申请公开、不予公开属性。另明确信息公开时限要求，确保信息上传及时、避免出现空白栏目，扎实做好信息上传维护工作。</w:t>
      </w:r>
    </w:p>
    <w:p>
      <w:pPr>
        <w:pStyle w:val="2"/>
        <w:keepNext w:val="0"/>
        <w:keepLines w:val="0"/>
        <w:widowControl/>
        <w:suppressLineNumbers w:val="0"/>
        <w:spacing w:after="0" w:afterAutospacing="0" w:line="605" w:lineRule="atLeast"/>
        <w:ind w:left="0" w:firstLine="634"/>
        <w:jc w:val="left"/>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rPr>
        <w:t>（四）政府信息公开平台建设。加强本部门网站和政务新媒体的日常管理和栏目维护，不断完善政府信息公开网的公开内容。</w:t>
      </w:r>
    </w:p>
    <w:p>
      <w:pPr>
        <w:pStyle w:val="2"/>
        <w:keepNext w:val="0"/>
        <w:keepLines w:val="0"/>
        <w:widowControl/>
        <w:suppressLineNumbers w:val="0"/>
        <w:spacing w:after="0" w:afterAutospacing="0" w:line="605" w:lineRule="atLeast"/>
        <w:ind w:left="0" w:firstLine="634"/>
        <w:jc w:val="left"/>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rPr>
        <w:t>（五）监督保障。加强对政务信息公开工作的组织领导，健全以局长任组长，分管领导任副组长的政府信息公开工作领导小组，并下设办公室。结合工作安排，开展政务公开培训。</w:t>
      </w:r>
    </w:p>
    <w:p>
      <w:pPr>
        <w:pStyle w:val="2"/>
        <w:keepNext w:val="0"/>
        <w:keepLines w:val="0"/>
        <w:widowControl/>
        <w:suppressLineNumbers w:val="0"/>
        <w:spacing w:after="0" w:afterAutospacing="0" w:line="605" w:lineRule="atLeast"/>
        <w:ind w:left="0" w:firstLine="634"/>
        <w:jc w:val="left"/>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rPr>
        <w:t>2022年，滕州市医疗保障局未发生因信息公开审查不当或保密审查机构未履行保密审查职责而引起的失泄密情况。2022年度未进行社会评议，未发生责任追究情况。</w:t>
      </w:r>
    </w:p>
    <w:p>
      <w:pPr>
        <w:pStyle w:val="2"/>
        <w:keepNext w:val="0"/>
        <w:keepLines w:val="0"/>
        <w:widowControl/>
        <w:suppressLineNumbers w:val="0"/>
        <w:spacing w:before="0" w:beforeAutospacing="1" w:after="0" w:afterAutospacing="0" w:line="605" w:lineRule="atLeast"/>
        <w:ind w:left="0" w:right="0" w:firstLine="634"/>
        <w:jc w:val="left"/>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rPr>
        <w:t>二、主动公开政府信息情况</w:t>
      </w:r>
    </w:p>
    <w:p>
      <w:pPr>
        <w:pStyle w:val="2"/>
        <w:keepNext w:val="0"/>
        <w:keepLines w:val="0"/>
        <w:widowControl/>
        <w:suppressLineNumbers w:val="0"/>
        <w:spacing w:before="0" w:beforeAutospacing="1" w:after="0" w:afterAutospacing="0" w:line="605" w:lineRule="atLeast"/>
        <w:ind w:left="0" w:right="0" w:firstLine="634"/>
        <w:jc w:val="center"/>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rPr>
        <w:t>主动公开政府信息情况统计表</w:t>
      </w:r>
    </w:p>
    <w:tbl>
      <w:tblPr>
        <w:tblW w:w="885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2042"/>
        <w:gridCol w:w="2058"/>
        <w:gridCol w:w="2058"/>
        <w:gridCol w:w="269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45" w:hRule="atLeast"/>
        </w:trPr>
        <w:tc>
          <w:tcPr>
            <w:tcW w:w="8580" w:type="dxa"/>
            <w:gridSpan w:val="4"/>
            <w:tcBorders>
              <w:top w:val="single" w:color="00000A" w:sz="8" w:space="0"/>
              <w:left w:val="single" w:color="00000A" w:sz="8" w:space="0"/>
              <w:bottom w:val="single" w:color="00000A" w:sz="8" w:space="0"/>
              <w:right w:val="single" w:color="000001" w:sz="8" w:space="0"/>
            </w:tcBorders>
            <w:shd w:val="clear" w:color="auto" w:fill="C6D9F1"/>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A"/>
                <w:spacing w:val="0"/>
                <w:sz w:val="32"/>
                <w:szCs w:val="32"/>
                <w:bdr w:val="none" w:color="auto" w:sz="0" w:space="0"/>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60" w:hRule="atLeast"/>
        </w:trPr>
        <w:tc>
          <w:tcPr>
            <w:tcW w:w="1980" w:type="dxa"/>
            <w:tcBorders>
              <w:top w:val="nil"/>
              <w:left w:val="single" w:color="auto" w:sz="8" w:space="0"/>
              <w:bottom w:val="single" w:color="auto" w:sz="8" w:space="0"/>
              <w:right w:val="single" w:color="auto"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A"/>
                <w:spacing w:val="0"/>
                <w:sz w:val="32"/>
                <w:szCs w:val="32"/>
                <w:bdr w:val="none" w:color="auto" w:sz="0" w:space="0"/>
              </w:rPr>
              <w:t>信息内容</w:t>
            </w:r>
          </w:p>
        </w:tc>
        <w:tc>
          <w:tcPr>
            <w:tcW w:w="1995" w:type="dxa"/>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A"/>
                <w:spacing w:val="0"/>
                <w:sz w:val="32"/>
                <w:szCs w:val="32"/>
                <w:bdr w:val="none" w:color="auto" w:sz="0" w:space="0"/>
              </w:rPr>
              <w:t>本年制发件数</w:t>
            </w:r>
          </w:p>
        </w:tc>
        <w:tc>
          <w:tcPr>
            <w:tcW w:w="1995" w:type="dxa"/>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A"/>
                <w:spacing w:val="0"/>
                <w:sz w:val="32"/>
                <w:szCs w:val="32"/>
                <w:bdr w:val="none" w:color="auto" w:sz="0" w:space="0"/>
              </w:rPr>
              <w:t>本年废止件数</w:t>
            </w:r>
          </w:p>
        </w:tc>
        <w:tc>
          <w:tcPr>
            <w:tcW w:w="1980" w:type="dxa"/>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A"/>
                <w:spacing w:val="0"/>
                <w:sz w:val="32"/>
                <w:szCs w:val="32"/>
                <w:bdr w:val="none" w:color="auto" w:sz="0" w:space="0"/>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1980" w:type="dxa"/>
            <w:tcBorders>
              <w:top w:val="nil"/>
              <w:left w:val="single" w:color="auto" w:sz="8" w:space="0"/>
              <w:bottom w:val="single" w:color="auto" w:sz="8" w:space="0"/>
              <w:right w:val="single" w:color="auto"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hAnsi="sans-serif" w:eastAsia="仿宋_GB2312" w:cs="仿宋_GB2312"/>
                <w:i w:val="0"/>
                <w:iCs w:val="0"/>
                <w:caps w:val="0"/>
                <w:color w:val="00000A"/>
                <w:spacing w:val="0"/>
                <w:sz w:val="32"/>
                <w:szCs w:val="32"/>
                <w:bdr w:val="none" w:color="auto" w:sz="0" w:space="0"/>
              </w:rPr>
              <w:t>规章</w:t>
            </w:r>
          </w:p>
        </w:tc>
        <w:tc>
          <w:tcPr>
            <w:tcW w:w="1995" w:type="dxa"/>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hAnsi="sans-serif" w:eastAsia="仿宋_GB2312" w:cs="仿宋_GB2312"/>
                <w:i w:val="0"/>
                <w:iCs w:val="0"/>
                <w:caps w:val="0"/>
                <w:color w:val="00000A"/>
                <w:spacing w:val="0"/>
                <w:sz w:val="32"/>
                <w:szCs w:val="32"/>
                <w:bdr w:val="none" w:color="auto" w:sz="0" w:space="0"/>
              </w:rPr>
              <w:t>　　0</w:t>
            </w:r>
          </w:p>
        </w:tc>
        <w:tc>
          <w:tcPr>
            <w:tcW w:w="1995" w:type="dxa"/>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hAnsi="sans-serif" w:eastAsia="仿宋_GB2312" w:cs="仿宋_GB2312"/>
                <w:i w:val="0"/>
                <w:iCs w:val="0"/>
                <w:caps w:val="0"/>
                <w:color w:val="00000A"/>
                <w:spacing w:val="0"/>
                <w:sz w:val="32"/>
                <w:szCs w:val="32"/>
                <w:bdr w:val="none" w:color="auto" w:sz="0" w:space="0"/>
              </w:rPr>
              <w:t> 　0</w:t>
            </w:r>
          </w:p>
        </w:tc>
        <w:tc>
          <w:tcPr>
            <w:tcW w:w="1980" w:type="dxa"/>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hAnsi="sans-serif" w:eastAsia="仿宋_GB2312" w:cs="仿宋_GB2312"/>
                <w:i w:val="0"/>
                <w:iCs w:val="0"/>
                <w:caps w:val="0"/>
                <w:color w:val="00000A"/>
                <w:spacing w:val="0"/>
                <w:sz w:val="32"/>
                <w:szCs w:val="32"/>
                <w:bdr w:val="none" w:color="auto" w:sz="0" w:space="0"/>
              </w:rPr>
              <w:t>　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60" w:hRule="atLeast"/>
        </w:trPr>
        <w:tc>
          <w:tcPr>
            <w:tcW w:w="1980" w:type="dxa"/>
            <w:tcBorders>
              <w:top w:val="nil"/>
              <w:left w:val="single" w:color="auto" w:sz="8" w:space="0"/>
              <w:bottom w:val="single" w:color="auto" w:sz="8" w:space="0"/>
              <w:right w:val="single" w:color="auto"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hAnsi="sans-serif" w:eastAsia="仿宋_GB2312" w:cs="仿宋_GB2312"/>
                <w:i w:val="0"/>
                <w:iCs w:val="0"/>
                <w:caps w:val="0"/>
                <w:color w:val="00000A"/>
                <w:spacing w:val="0"/>
                <w:sz w:val="32"/>
                <w:szCs w:val="32"/>
                <w:bdr w:val="none" w:color="auto" w:sz="0" w:space="0"/>
              </w:rPr>
              <w:t>行政规范性文件</w:t>
            </w:r>
          </w:p>
        </w:tc>
        <w:tc>
          <w:tcPr>
            <w:tcW w:w="1995" w:type="dxa"/>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hAnsi="sans-serif" w:eastAsia="仿宋_GB2312" w:cs="仿宋_GB2312"/>
                <w:i w:val="0"/>
                <w:iCs w:val="0"/>
                <w:caps w:val="0"/>
                <w:color w:val="00000A"/>
                <w:spacing w:val="0"/>
                <w:sz w:val="32"/>
                <w:szCs w:val="32"/>
                <w:bdr w:val="none" w:color="auto" w:sz="0" w:space="0"/>
              </w:rPr>
              <w:t>　　0</w:t>
            </w:r>
          </w:p>
        </w:tc>
        <w:tc>
          <w:tcPr>
            <w:tcW w:w="1995" w:type="dxa"/>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hAnsi="sans-serif" w:eastAsia="仿宋_GB2312" w:cs="仿宋_GB2312"/>
                <w:i w:val="0"/>
                <w:iCs w:val="0"/>
                <w:caps w:val="0"/>
                <w:color w:val="00000A"/>
                <w:spacing w:val="0"/>
                <w:sz w:val="32"/>
                <w:szCs w:val="32"/>
                <w:bdr w:val="none" w:color="auto" w:sz="0" w:space="0"/>
              </w:rPr>
              <w:t> 　0</w:t>
            </w:r>
          </w:p>
        </w:tc>
        <w:tc>
          <w:tcPr>
            <w:tcW w:w="1980" w:type="dxa"/>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hAnsi="sans-serif" w:eastAsia="仿宋_GB2312" w:cs="仿宋_GB2312"/>
                <w:i w:val="0"/>
                <w:iCs w:val="0"/>
                <w:caps w:val="0"/>
                <w:color w:val="00000A"/>
                <w:spacing w:val="0"/>
                <w:sz w:val="32"/>
                <w:szCs w:val="32"/>
                <w:bdr w:val="none" w:color="auto" w:sz="0" w:space="0"/>
              </w:rPr>
              <w:t>　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8580" w:type="dxa"/>
            <w:gridSpan w:val="4"/>
            <w:tcBorders>
              <w:top w:val="single" w:color="00000A" w:sz="8" w:space="0"/>
              <w:left w:val="single" w:color="00000A" w:sz="8" w:space="0"/>
              <w:bottom w:val="single" w:color="00000A" w:sz="8" w:space="0"/>
              <w:right w:val="single" w:color="000001" w:sz="8" w:space="0"/>
            </w:tcBorders>
            <w:shd w:val="clear" w:color="auto" w:fill="C6D9F1"/>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A"/>
                <w:spacing w:val="0"/>
                <w:sz w:val="32"/>
                <w:szCs w:val="32"/>
                <w:bdr w:val="none" w:color="auto" w:sz="0" w:space="0"/>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1980" w:type="dxa"/>
            <w:tcBorders>
              <w:top w:val="nil"/>
              <w:left w:val="single" w:color="auto" w:sz="8" w:space="0"/>
              <w:bottom w:val="single" w:color="auto" w:sz="8" w:space="0"/>
              <w:right w:val="single" w:color="auto"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A"/>
                <w:spacing w:val="0"/>
                <w:sz w:val="32"/>
                <w:szCs w:val="32"/>
                <w:bdr w:val="none" w:color="auto" w:sz="0" w:space="0"/>
              </w:rPr>
              <w:t>信息内容</w:t>
            </w:r>
          </w:p>
        </w:tc>
        <w:tc>
          <w:tcPr>
            <w:tcW w:w="6390" w:type="dxa"/>
            <w:gridSpan w:val="3"/>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A"/>
                <w:spacing w:val="0"/>
                <w:sz w:val="32"/>
                <w:szCs w:val="32"/>
                <w:bdr w:val="none" w:color="auto" w:sz="0" w:space="0"/>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1980" w:type="dxa"/>
            <w:tcBorders>
              <w:top w:val="nil"/>
              <w:left w:val="single" w:color="auto" w:sz="8" w:space="0"/>
              <w:bottom w:val="single" w:color="auto" w:sz="8" w:space="0"/>
              <w:right w:val="single" w:color="auto"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hAnsi="sans-serif" w:eastAsia="仿宋_GB2312" w:cs="仿宋_GB2312"/>
                <w:i w:val="0"/>
                <w:iCs w:val="0"/>
                <w:caps w:val="0"/>
                <w:color w:val="00000A"/>
                <w:spacing w:val="0"/>
                <w:sz w:val="32"/>
                <w:szCs w:val="32"/>
                <w:bdr w:val="none" w:color="auto" w:sz="0" w:space="0"/>
              </w:rPr>
              <w:t>行政许可</w:t>
            </w:r>
          </w:p>
        </w:tc>
        <w:tc>
          <w:tcPr>
            <w:tcW w:w="6390" w:type="dxa"/>
            <w:gridSpan w:val="3"/>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hAnsi="sans-serif" w:eastAsia="仿宋_GB2312" w:cs="仿宋_GB2312"/>
                <w:i w:val="0"/>
                <w:iCs w:val="0"/>
                <w:caps w:val="0"/>
                <w:color w:val="00000A"/>
                <w:spacing w:val="0"/>
                <w:sz w:val="32"/>
                <w:szCs w:val="32"/>
                <w:bdr w:val="none" w:color="auto" w:sz="0" w:space="0"/>
              </w:rPr>
              <w:t>　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60" w:hRule="atLeast"/>
        </w:trPr>
        <w:tc>
          <w:tcPr>
            <w:tcW w:w="8580" w:type="dxa"/>
            <w:gridSpan w:val="4"/>
            <w:tcBorders>
              <w:top w:val="single" w:color="00000A" w:sz="8" w:space="0"/>
              <w:left w:val="single" w:color="00000A" w:sz="8" w:space="0"/>
              <w:bottom w:val="single" w:color="00000A" w:sz="8" w:space="0"/>
              <w:right w:val="single" w:color="000001" w:sz="8" w:space="0"/>
            </w:tcBorders>
            <w:shd w:val="clear" w:color="auto" w:fill="C6D9F1"/>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A"/>
                <w:spacing w:val="0"/>
                <w:sz w:val="32"/>
                <w:szCs w:val="32"/>
                <w:bdr w:val="none" w:color="auto" w:sz="0" w:space="0"/>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1980" w:type="dxa"/>
            <w:tcBorders>
              <w:top w:val="nil"/>
              <w:left w:val="single" w:color="auto" w:sz="8" w:space="0"/>
              <w:bottom w:val="single" w:color="auto" w:sz="8" w:space="0"/>
              <w:right w:val="single" w:color="auto"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A"/>
                <w:spacing w:val="0"/>
                <w:sz w:val="32"/>
                <w:szCs w:val="32"/>
                <w:bdr w:val="none" w:color="auto" w:sz="0" w:space="0"/>
              </w:rPr>
              <w:t>信息内容</w:t>
            </w:r>
          </w:p>
        </w:tc>
        <w:tc>
          <w:tcPr>
            <w:tcW w:w="6390" w:type="dxa"/>
            <w:gridSpan w:val="3"/>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A"/>
                <w:spacing w:val="0"/>
                <w:sz w:val="32"/>
                <w:szCs w:val="32"/>
                <w:bdr w:val="none" w:color="auto" w:sz="0" w:space="0"/>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1980" w:type="dxa"/>
            <w:tcBorders>
              <w:top w:val="nil"/>
              <w:left w:val="single" w:color="auto" w:sz="8" w:space="0"/>
              <w:bottom w:val="single" w:color="auto" w:sz="8" w:space="0"/>
              <w:right w:val="single" w:color="auto"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hAnsi="sans-serif" w:eastAsia="仿宋_GB2312" w:cs="仿宋_GB2312"/>
                <w:i w:val="0"/>
                <w:iCs w:val="0"/>
                <w:caps w:val="0"/>
                <w:color w:val="00000A"/>
                <w:spacing w:val="0"/>
                <w:sz w:val="32"/>
                <w:szCs w:val="32"/>
                <w:bdr w:val="none" w:color="auto" w:sz="0" w:space="0"/>
              </w:rPr>
              <w:t>行政处罚</w:t>
            </w:r>
          </w:p>
        </w:tc>
        <w:tc>
          <w:tcPr>
            <w:tcW w:w="6390" w:type="dxa"/>
            <w:gridSpan w:val="3"/>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hAnsi="sans-serif" w:eastAsia="仿宋_GB2312" w:cs="仿宋_GB2312"/>
                <w:i w:val="0"/>
                <w:iCs w:val="0"/>
                <w:caps w:val="0"/>
                <w:color w:val="00000A"/>
                <w:spacing w:val="0"/>
                <w:sz w:val="32"/>
                <w:szCs w:val="32"/>
                <w:bdr w:val="none" w:color="auto" w:sz="0" w:space="0"/>
              </w:rPr>
              <w:t>　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1980" w:type="dxa"/>
            <w:tcBorders>
              <w:top w:val="nil"/>
              <w:left w:val="single" w:color="auto" w:sz="8" w:space="0"/>
              <w:bottom w:val="single" w:color="auto" w:sz="8" w:space="0"/>
              <w:right w:val="single" w:color="auto"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hAnsi="sans-serif" w:eastAsia="仿宋_GB2312" w:cs="仿宋_GB2312"/>
                <w:i w:val="0"/>
                <w:iCs w:val="0"/>
                <w:caps w:val="0"/>
                <w:color w:val="00000A"/>
                <w:spacing w:val="0"/>
                <w:sz w:val="32"/>
                <w:szCs w:val="32"/>
                <w:bdr w:val="none" w:color="auto" w:sz="0" w:space="0"/>
              </w:rPr>
              <w:t>行政强制</w:t>
            </w:r>
          </w:p>
        </w:tc>
        <w:tc>
          <w:tcPr>
            <w:tcW w:w="6390" w:type="dxa"/>
            <w:gridSpan w:val="3"/>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hAnsi="sans-serif" w:eastAsia="仿宋_GB2312" w:cs="仿宋_GB2312"/>
                <w:i w:val="0"/>
                <w:iCs w:val="0"/>
                <w:caps w:val="0"/>
                <w:color w:val="00000A"/>
                <w:spacing w:val="0"/>
                <w:sz w:val="32"/>
                <w:szCs w:val="32"/>
                <w:bdr w:val="none" w:color="auto" w:sz="0" w:space="0"/>
              </w:rPr>
              <w:t>　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8580" w:type="dxa"/>
            <w:gridSpan w:val="4"/>
            <w:tcBorders>
              <w:top w:val="single" w:color="00000A" w:sz="8" w:space="0"/>
              <w:left w:val="single" w:color="00000A" w:sz="8" w:space="0"/>
              <w:bottom w:val="single" w:color="00000A" w:sz="8" w:space="0"/>
              <w:right w:val="single" w:color="000001" w:sz="8" w:space="0"/>
            </w:tcBorders>
            <w:shd w:val="clear" w:color="auto" w:fill="C6D9F1"/>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A"/>
                <w:spacing w:val="0"/>
                <w:sz w:val="32"/>
                <w:szCs w:val="32"/>
                <w:bdr w:val="none" w:color="auto" w:sz="0" w:space="0"/>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1980" w:type="dxa"/>
            <w:tcBorders>
              <w:top w:val="nil"/>
              <w:left w:val="single" w:color="auto" w:sz="8" w:space="0"/>
              <w:bottom w:val="single" w:color="auto" w:sz="8" w:space="0"/>
              <w:right w:val="single" w:color="auto"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A"/>
                <w:spacing w:val="0"/>
                <w:sz w:val="32"/>
                <w:szCs w:val="32"/>
                <w:bdr w:val="none" w:color="auto" w:sz="0" w:space="0"/>
              </w:rPr>
              <w:t>信息内容</w:t>
            </w:r>
          </w:p>
        </w:tc>
        <w:tc>
          <w:tcPr>
            <w:tcW w:w="6390" w:type="dxa"/>
            <w:gridSpan w:val="3"/>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A"/>
                <w:spacing w:val="0"/>
                <w:sz w:val="32"/>
                <w:szCs w:val="32"/>
                <w:bdr w:val="none" w:color="auto" w:sz="0" w:space="0"/>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345" w:hRule="atLeast"/>
        </w:trPr>
        <w:tc>
          <w:tcPr>
            <w:tcW w:w="1980" w:type="dxa"/>
            <w:tcBorders>
              <w:top w:val="nil"/>
              <w:left w:val="single" w:color="auto" w:sz="8" w:space="0"/>
              <w:bottom w:val="single" w:color="auto" w:sz="8" w:space="0"/>
              <w:right w:val="single" w:color="auto"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hAnsi="sans-serif" w:eastAsia="仿宋_GB2312" w:cs="仿宋_GB2312"/>
                <w:i w:val="0"/>
                <w:iCs w:val="0"/>
                <w:caps w:val="0"/>
                <w:color w:val="00000A"/>
                <w:spacing w:val="0"/>
                <w:sz w:val="32"/>
                <w:szCs w:val="32"/>
                <w:bdr w:val="none" w:color="auto" w:sz="0" w:space="0"/>
              </w:rPr>
              <w:t>行政事业性收费</w:t>
            </w:r>
          </w:p>
        </w:tc>
        <w:tc>
          <w:tcPr>
            <w:tcW w:w="6390" w:type="dxa"/>
            <w:gridSpan w:val="3"/>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hAnsi="sans-serif" w:eastAsia="仿宋_GB2312" w:cs="仿宋_GB2312"/>
                <w:i w:val="0"/>
                <w:iCs w:val="0"/>
                <w:caps w:val="0"/>
                <w:color w:val="00000A"/>
                <w:spacing w:val="0"/>
                <w:sz w:val="32"/>
                <w:szCs w:val="32"/>
                <w:bdr w:val="none" w:color="auto" w:sz="0" w:space="0"/>
              </w:rPr>
              <w:t>　0</w:t>
            </w:r>
          </w:p>
        </w:tc>
      </w:tr>
    </w:tbl>
    <w:p>
      <w:pPr>
        <w:pStyle w:val="2"/>
        <w:keepNext w:val="0"/>
        <w:keepLines w:val="0"/>
        <w:widowControl/>
        <w:suppressLineNumbers w:val="0"/>
        <w:spacing w:after="0" w:afterAutospacing="0" w:line="605" w:lineRule="atLeast"/>
        <w:ind w:left="0" w:firstLine="634"/>
        <w:jc w:val="left"/>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rPr>
        <w:t>三、收到和处理政府信息公开申请情况</w:t>
      </w:r>
    </w:p>
    <w:p>
      <w:pPr>
        <w:pStyle w:val="2"/>
        <w:keepNext w:val="0"/>
        <w:keepLines w:val="0"/>
        <w:widowControl/>
        <w:suppressLineNumbers w:val="0"/>
        <w:spacing w:before="0" w:beforeAutospacing="1" w:after="0" w:afterAutospacing="0" w:line="605" w:lineRule="atLeast"/>
        <w:ind w:left="0" w:right="0" w:firstLine="634"/>
        <w:jc w:val="center"/>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rPr>
        <w:t>收到和处理政府信息公开申请情况统计表</w:t>
      </w:r>
    </w:p>
    <w:tbl>
      <w:tblPr>
        <w:tblW w:w="1164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971"/>
        <w:gridCol w:w="1859"/>
        <w:gridCol w:w="3366"/>
        <w:gridCol w:w="888"/>
        <w:gridCol w:w="603"/>
        <w:gridCol w:w="603"/>
        <w:gridCol w:w="787"/>
        <w:gridCol w:w="754"/>
        <w:gridCol w:w="720"/>
        <w:gridCol w:w="108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5055" w:type="dxa"/>
            <w:gridSpan w:val="3"/>
            <w:vMerge w:val="restart"/>
            <w:tcBorders>
              <w:top w:val="single" w:color="00000A" w:sz="8"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（本列数据的勾稽关系为：第一项加第二项之和，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等于第三项加第四项之和）</w:t>
            </w:r>
          </w:p>
        </w:tc>
        <w:tc>
          <w:tcPr>
            <w:tcW w:w="4770" w:type="dxa"/>
            <w:gridSpan w:val="7"/>
            <w:tcBorders>
              <w:top w:val="single" w:color="00000A" w:sz="8"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5055" w:type="dxa"/>
            <w:gridSpan w:val="3"/>
            <w:vMerge w:val="continue"/>
            <w:tcBorders>
              <w:top w:val="single" w:color="00000A" w:sz="8"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795" w:type="dxa"/>
            <w:vMerge w:val="restar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自然人</w:t>
            </w:r>
          </w:p>
        </w:tc>
        <w:tc>
          <w:tcPr>
            <w:tcW w:w="3105" w:type="dxa"/>
            <w:gridSpan w:val="5"/>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法人或其他组织</w:t>
            </w:r>
          </w:p>
        </w:tc>
        <w:tc>
          <w:tcPr>
            <w:tcW w:w="810" w:type="dxa"/>
            <w:vMerge w:val="restart"/>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5055" w:type="dxa"/>
            <w:gridSpan w:val="3"/>
            <w:vMerge w:val="continue"/>
            <w:tcBorders>
              <w:top w:val="single" w:color="00000A" w:sz="8"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79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101" w:firstLine="0"/>
              <w:jc w:val="center"/>
              <w:rPr>
                <w:sz w:val="19"/>
                <w:szCs w:val="19"/>
              </w:rPr>
            </w:pPr>
            <w:r>
              <w:rPr>
                <w:rFonts w:hint="eastAsia" w:ascii="仿宋_GB2312" w:eastAsia="仿宋_GB2312" w:cs="仿宋_GB2312"/>
                <w:color w:val="00000A"/>
                <w:sz w:val="32"/>
                <w:szCs w:val="32"/>
                <w:bdr w:val="none" w:color="auto" w:sz="0" w:space="0"/>
              </w:rPr>
              <w:t>商业企业</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101"/>
              <w:jc w:val="center"/>
              <w:rPr>
                <w:sz w:val="19"/>
                <w:szCs w:val="19"/>
              </w:rPr>
            </w:pPr>
            <w:r>
              <w:rPr>
                <w:rFonts w:hint="eastAsia" w:ascii="仿宋_GB2312" w:eastAsia="仿宋_GB2312" w:cs="仿宋_GB2312"/>
                <w:color w:val="00000A"/>
                <w:sz w:val="32"/>
                <w:szCs w:val="32"/>
                <w:bdr w:val="none" w:color="auto" w:sz="0" w:space="0"/>
              </w:rPr>
              <w:t>科研机构</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101"/>
              <w:jc w:val="center"/>
              <w:rPr>
                <w:sz w:val="19"/>
                <w:szCs w:val="19"/>
              </w:rPr>
            </w:pPr>
            <w:r>
              <w:rPr>
                <w:rFonts w:hint="eastAsia" w:ascii="仿宋_GB2312" w:eastAsia="仿宋_GB2312" w:cs="仿宋_GB2312"/>
                <w:color w:val="00000A"/>
                <w:sz w:val="32"/>
                <w:szCs w:val="32"/>
                <w:bdr w:val="none" w:color="auto" w:sz="0" w:space="0"/>
              </w:rPr>
              <w:t>社会公益组织</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101" w:firstLine="0"/>
              <w:jc w:val="center"/>
              <w:rPr>
                <w:sz w:val="19"/>
                <w:szCs w:val="19"/>
              </w:rPr>
            </w:pPr>
            <w:r>
              <w:rPr>
                <w:rFonts w:hint="eastAsia" w:ascii="仿宋_GB2312" w:eastAsia="仿宋_GB2312" w:cs="仿宋_GB2312"/>
                <w:color w:val="00000A"/>
                <w:sz w:val="32"/>
                <w:szCs w:val="32"/>
                <w:bdr w:val="none" w:color="auto" w:sz="0" w:space="0"/>
              </w:rPr>
              <w:t>法律服务机构</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58" w:right="-130"/>
              <w:jc w:val="center"/>
              <w:rPr>
                <w:sz w:val="19"/>
                <w:szCs w:val="19"/>
              </w:rPr>
            </w:pPr>
            <w:r>
              <w:rPr>
                <w:rFonts w:hint="eastAsia" w:ascii="仿宋_GB2312" w:eastAsia="仿宋_GB2312" w:cs="仿宋_GB2312"/>
                <w:color w:val="00000A"/>
                <w:sz w:val="32"/>
                <w:szCs w:val="32"/>
                <w:bdr w:val="none" w:color="auto" w:sz="0" w:space="0"/>
              </w:rPr>
              <w:t>其他</w:t>
            </w:r>
          </w:p>
        </w:tc>
        <w:tc>
          <w:tcPr>
            <w:tcW w:w="810" w:type="dxa"/>
            <w:vMerge w:val="continue"/>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5055" w:type="dxa"/>
            <w:gridSpan w:val="3"/>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bdr w:val="none" w:color="auto" w:sz="0" w:space="0"/>
              </w:rPr>
              <w:t>一、本年新收政府信息公开申请数量</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5055" w:type="dxa"/>
            <w:gridSpan w:val="3"/>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bdr w:val="none" w:color="auto" w:sz="0" w:space="0"/>
              </w:rPr>
              <w:t>二、上年结转政府信息公开申请数量</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375" w:type="dxa"/>
            <w:vMerge w:val="restart"/>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bdr w:val="none" w:color="auto" w:sz="0" w:space="0"/>
              </w:rPr>
              <w:t>三、本年度办理结果</w:t>
            </w:r>
          </w:p>
        </w:tc>
        <w:tc>
          <w:tcPr>
            <w:tcW w:w="4650" w:type="dxa"/>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bdr w:val="none" w:color="auto" w:sz="0" w:space="0"/>
              </w:rPr>
              <w:t>（一）予以公开</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4650" w:type="dxa"/>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bdr w:val="none" w:color="auto" w:sz="0" w:space="0"/>
              </w:rPr>
              <w:t>（二）部分公开（区分处理的，只计这一情形，不计其他情形）</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restar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0"/>
              <w:rPr>
                <w:sz w:val="19"/>
                <w:szCs w:val="19"/>
              </w:rPr>
            </w:pPr>
            <w:r>
              <w:rPr>
                <w:rFonts w:hint="eastAsia" w:ascii="仿宋_GB2312" w:eastAsia="仿宋_GB2312" w:cs="仿宋_GB2312"/>
                <w:color w:val="00000A"/>
                <w:sz w:val="32"/>
                <w:szCs w:val="32"/>
                <w:bdr w:val="none" w:color="auto" w:sz="0" w:space="0"/>
              </w:rPr>
              <w:t>（三）不予公开</w:t>
            </w: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bdr w:val="none" w:color="auto" w:sz="0" w:space="0"/>
              </w:rPr>
              <w:t>1.属于国家秘密</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bdr w:val="none" w:color="auto" w:sz="0" w:space="0"/>
              </w:rPr>
              <w:t>2.其他法律行政法规禁止公开</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bdr w:val="none" w:color="auto" w:sz="0" w:space="0"/>
              </w:rPr>
              <w:t>3.危及“三安全一稳定”</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bdr w:val="none" w:color="auto" w:sz="0" w:space="0"/>
              </w:rPr>
              <w:t>4.保护第三方合法权益</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bdr w:val="none" w:color="auto" w:sz="0" w:space="0"/>
              </w:rPr>
              <w:t>5.属于三类内部事务信息</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bdr w:val="none" w:color="auto" w:sz="0" w:space="0"/>
              </w:rPr>
              <w:t>6.属于四类过程性信息</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bdr w:val="none" w:color="auto" w:sz="0" w:space="0"/>
              </w:rPr>
              <w:t>7.属于行政执法案卷</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bdr w:val="none" w:color="auto" w:sz="0" w:space="0"/>
              </w:rPr>
              <w:t>8.属于行政查询事项</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restar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0"/>
              <w:rPr>
                <w:sz w:val="19"/>
                <w:szCs w:val="19"/>
              </w:rPr>
            </w:pPr>
            <w:r>
              <w:rPr>
                <w:rFonts w:hint="eastAsia" w:ascii="仿宋_GB2312" w:eastAsia="仿宋_GB2312" w:cs="仿宋_GB2312"/>
                <w:color w:val="00000A"/>
                <w:sz w:val="32"/>
                <w:szCs w:val="32"/>
                <w:bdr w:val="none" w:color="auto" w:sz="0" w:space="0"/>
              </w:rPr>
              <w:t>（四）无法提供</w:t>
            </w: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bdr w:val="none" w:color="auto" w:sz="0" w:space="0"/>
              </w:rPr>
              <w:t>1.本机关不掌握相关政府信息</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bdr w:val="none" w:color="auto" w:sz="0" w:space="0"/>
              </w:rPr>
              <w:t>2.没有现成信息需要另行制作</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bdr w:val="none" w:color="auto" w:sz="0" w:space="0"/>
              </w:rPr>
              <w:t>3.补正后申请内容仍不明确</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restar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0"/>
              <w:rPr>
                <w:sz w:val="19"/>
                <w:szCs w:val="19"/>
              </w:rPr>
            </w:pPr>
            <w:r>
              <w:rPr>
                <w:rFonts w:hint="eastAsia" w:ascii="仿宋_GB2312" w:eastAsia="仿宋_GB2312" w:cs="仿宋_GB2312"/>
                <w:color w:val="00000A"/>
                <w:sz w:val="32"/>
                <w:szCs w:val="32"/>
                <w:bdr w:val="none" w:color="auto" w:sz="0" w:space="0"/>
              </w:rPr>
              <w:t>（五）不予处理</w:t>
            </w: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bdr w:val="none" w:color="auto" w:sz="0" w:space="0"/>
              </w:rPr>
              <w:t>1.信访举报投诉类申请</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bdr w:val="none" w:color="auto" w:sz="0" w:space="0"/>
              </w:rPr>
              <w:t>2.重复申请</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bdr w:val="none" w:color="auto" w:sz="0" w:space="0"/>
              </w:rPr>
              <w:t>3.要求提供公开出版物</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bdr w:val="none" w:color="auto" w:sz="0" w:space="0"/>
              </w:rPr>
              <w:t>4.无正当理由大量反复申请</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bdr w:val="none" w:color="auto" w:sz="0" w:space="0"/>
              </w:rPr>
              <w:t>5.要求行政机关确认或重新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216"/>
              <w:rPr>
                <w:sz w:val="19"/>
                <w:szCs w:val="19"/>
              </w:rPr>
            </w:pPr>
            <w:r>
              <w:rPr>
                <w:rFonts w:hint="eastAsia" w:ascii="仿宋_GB2312" w:eastAsia="仿宋_GB2312" w:cs="仿宋_GB2312"/>
                <w:color w:val="00000A"/>
                <w:sz w:val="32"/>
                <w:szCs w:val="32"/>
                <w:bdr w:val="none" w:color="auto" w:sz="0" w:space="0"/>
              </w:rPr>
              <w:t>出具已获取信息</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restar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bdr w:val="none" w:color="auto" w:sz="0" w:space="0"/>
              </w:rPr>
              <w:t>（六）其他处理</w:t>
            </w: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bdr w:val="none" w:color="auto" w:sz="0" w:space="0"/>
              </w:rPr>
              <w:t>1.申请人无正当理由逾期不补正、行政机关不再处理其政府信息公开申请</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bdr w:val="none" w:color="auto" w:sz="0" w:space="0"/>
              </w:rPr>
              <w:t>2.申请人逾期未按收费通知要求缴纳费用、行政机关不再处理其政府信息公开申请</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665" w:type="dxa"/>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9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bdr w:val="none" w:color="auto" w:sz="0" w:space="0"/>
              </w:rPr>
              <w:t>3.其他</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375" w:type="dxa"/>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4650" w:type="dxa"/>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bdr w:val="none" w:color="auto" w:sz="0" w:space="0"/>
              </w:rPr>
              <w:t>（七）总计</w:t>
            </w:r>
          </w:p>
        </w:tc>
        <w:tc>
          <w:tcPr>
            <w:tcW w:w="79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70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67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810" w:type="dxa"/>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5055" w:type="dxa"/>
            <w:gridSpan w:val="3"/>
            <w:tcBorders>
              <w:top w:val="single" w:color="00000A" w:sz="6" w:space="0"/>
              <w:left w:val="single" w:color="00000A" w:sz="8" w:space="0"/>
              <w:bottom w:val="single" w:color="00000A" w:sz="8"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bdr w:val="none" w:color="auto" w:sz="0" w:space="0"/>
              </w:rPr>
              <w:t>四、结转下年度继续办理</w:t>
            </w:r>
          </w:p>
        </w:tc>
        <w:tc>
          <w:tcPr>
            <w:tcW w:w="795" w:type="dxa"/>
            <w:tcBorders>
              <w:top w:val="single" w:color="00000A" w:sz="6" w:space="0"/>
              <w:left w:val="single" w:color="00000A" w:sz="6" w:space="0"/>
              <w:bottom w:val="single" w:color="00000A" w:sz="8"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8"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8"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705" w:type="dxa"/>
            <w:tcBorders>
              <w:top w:val="single" w:color="00000A" w:sz="6" w:space="0"/>
              <w:left w:val="single" w:color="00000A" w:sz="6" w:space="0"/>
              <w:bottom w:val="single" w:color="00000A" w:sz="8"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675" w:type="dxa"/>
            <w:tcBorders>
              <w:top w:val="single" w:color="00000A" w:sz="6" w:space="0"/>
              <w:left w:val="single" w:color="00000A" w:sz="6" w:space="0"/>
              <w:bottom w:val="single" w:color="00000A" w:sz="8"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540" w:type="dxa"/>
            <w:tcBorders>
              <w:top w:val="single" w:color="00000A" w:sz="6" w:space="0"/>
              <w:left w:val="single" w:color="00000A" w:sz="6" w:space="0"/>
              <w:bottom w:val="single" w:color="00000A" w:sz="8"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810" w:type="dxa"/>
            <w:tcBorders>
              <w:top w:val="single" w:color="00000A" w:sz="6" w:space="0"/>
              <w:left w:val="single" w:color="00000A" w:sz="6" w:space="0"/>
              <w:bottom w:val="single" w:color="00000A" w:sz="8"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r>
    </w:tbl>
    <w:p>
      <w:pPr>
        <w:pStyle w:val="2"/>
        <w:keepNext w:val="0"/>
        <w:keepLines w:val="0"/>
        <w:widowControl/>
        <w:suppressLineNumbers w:val="0"/>
        <w:spacing w:after="0" w:afterAutospacing="0" w:line="605" w:lineRule="atLeast"/>
        <w:ind w:left="0" w:firstLine="634"/>
        <w:jc w:val="left"/>
        <w:rPr>
          <w:rFonts w:hint="default" w:ascii="sans-serif" w:hAnsi="sans-serif" w:eastAsia="sans-serif" w:cs="sans-serif"/>
          <w:i w:val="0"/>
          <w:iCs w:val="0"/>
          <w:caps w:val="0"/>
          <w:color w:val="000000"/>
          <w:spacing w:val="0"/>
          <w:sz w:val="32"/>
          <w:szCs w:val="32"/>
        </w:rPr>
      </w:pPr>
    </w:p>
    <w:p>
      <w:pPr>
        <w:pStyle w:val="2"/>
        <w:keepNext w:val="0"/>
        <w:keepLines w:val="0"/>
        <w:widowControl/>
        <w:suppressLineNumbers w:val="0"/>
        <w:spacing w:after="0" w:afterAutospacing="0" w:line="605" w:lineRule="atLeast"/>
        <w:ind w:left="0" w:firstLine="0"/>
        <w:jc w:val="left"/>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rPr>
        <w:t>四、政府信息公开行政复议、行政诉讼情况</w:t>
      </w:r>
    </w:p>
    <w:p>
      <w:pPr>
        <w:pStyle w:val="2"/>
        <w:keepNext w:val="0"/>
        <w:keepLines w:val="0"/>
        <w:widowControl/>
        <w:suppressLineNumbers w:val="0"/>
        <w:spacing w:before="0" w:beforeAutospacing="1" w:after="0" w:afterAutospacing="0" w:line="605" w:lineRule="atLeast"/>
        <w:ind w:left="0" w:right="0" w:firstLine="634"/>
        <w:jc w:val="center"/>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rPr>
        <w:t>因政府信息公开工作被申请行政复议、提起行政诉讼情况统计表</w:t>
      </w:r>
    </w:p>
    <w:tbl>
      <w:tblPr>
        <w:tblW w:w="924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417"/>
        <w:gridCol w:w="417"/>
        <w:gridCol w:w="417"/>
        <w:gridCol w:w="417"/>
        <w:gridCol w:w="1396"/>
        <w:gridCol w:w="369"/>
        <w:gridCol w:w="417"/>
        <w:gridCol w:w="417"/>
        <w:gridCol w:w="417"/>
        <w:gridCol w:w="1331"/>
        <w:gridCol w:w="417"/>
        <w:gridCol w:w="417"/>
        <w:gridCol w:w="417"/>
        <w:gridCol w:w="417"/>
        <w:gridCol w:w="155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271" w:hRule="atLeast"/>
          <w:jc w:val="center"/>
        </w:trPr>
        <w:tc>
          <w:tcPr>
            <w:tcW w:w="2850" w:type="dxa"/>
            <w:gridSpan w:val="5"/>
            <w:tcBorders>
              <w:top w:val="single" w:color="00000A" w:sz="8" w:space="0"/>
              <w:left w:val="single" w:color="00000A" w:sz="8" w:space="0"/>
              <w:bottom w:val="single" w:color="00000A" w:sz="8"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行政复议</w:t>
            </w:r>
          </w:p>
        </w:tc>
        <w:tc>
          <w:tcPr>
            <w:tcW w:w="5775" w:type="dxa"/>
            <w:gridSpan w:val="10"/>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375" w:type="dxa"/>
            <w:vMerge w:val="restart"/>
            <w:tcBorders>
              <w:top w:val="nil"/>
              <w:left w:val="single" w:color="auto" w:sz="8" w:space="0"/>
              <w:bottom w:val="single" w:color="auto" w:sz="8" w:space="0"/>
              <w:right w:val="single" w:color="auto"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44" w:right="-173"/>
              <w:jc w:val="center"/>
              <w:rPr>
                <w:sz w:val="19"/>
                <w:szCs w:val="19"/>
              </w:rPr>
            </w:pPr>
            <w:r>
              <w:rPr>
                <w:rFonts w:hint="eastAsia" w:ascii="仿宋_GB2312" w:eastAsia="仿宋_GB2312" w:cs="仿宋_GB2312"/>
                <w:color w:val="00000A"/>
                <w:sz w:val="32"/>
                <w:szCs w:val="32"/>
                <w:bdr w:val="none" w:color="auto" w:sz="0" w:space="0"/>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44" w:right="-173"/>
              <w:jc w:val="center"/>
              <w:rPr>
                <w:sz w:val="19"/>
                <w:szCs w:val="19"/>
              </w:rPr>
            </w:pPr>
            <w:r>
              <w:rPr>
                <w:rFonts w:hint="eastAsia" w:ascii="仿宋_GB2312" w:eastAsia="仿宋_GB2312" w:cs="仿宋_GB2312"/>
                <w:color w:val="00000A"/>
                <w:sz w:val="32"/>
                <w:szCs w:val="32"/>
                <w:bdr w:val="none" w:color="auto" w:sz="0" w:space="0"/>
              </w:rPr>
              <w:t>维持</w:t>
            </w:r>
          </w:p>
        </w:tc>
        <w:tc>
          <w:tcPr>
            <w:tcW w:w="390" w:type="dxa"/>
            <w:vMerge w:val="restart"/>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43" w:right="-130" w:firstLine="0"/>
              <w:jc w:val="center"/>
              <w:rPr>
                <w:sz w:val="19"/>
                <w:szCs w:val="19"/>
              </w:rPr>
            </w:pPr>
            <w:r>
              <w:rPr>
                <w:rFonts w:hint="eastAsia" w:ascii="仿宋_GB2312" w:eastAsia="仿宋_GB2312" w:cs="仿宋_GB2312"/>
                <w:color w:val="00000A"/>
                <w:sz w:val="32"/>
                <w:szCs w:val="32"/>
                <w:bdr w:val="none" w:color="auto" w:sz="0" w:space="0"/>
              </w:rPr>
              <w:t>结果纠正</w:t>
            </w:r>
          </w:p>
        </w:tc>
        <w:tc>
          <w:tcPr>
            <w:tcW w:w="390" w:type="dxa"/>
            <w:vMerge w:val="restart"/>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86" w:right="-101"/>
              <w:jc w:val="center"/>
              <w:rPr>
                <w:sz w:val="19"/>
                <w:szCs w:val="19"/>
              </w:rPr>
            </w:pPr>
            <w:r>
              <w:rPr>
                <w:rFonts w:hint="eastAsia" w:ascii="仿宋_GB2312" w:eastAsia="仿宋_GB2312" w:cs="仿宋_GB2312"/>
                <w:color w:val="00000A"/>
                <w:sz w:val="32"/>
                <w:szCs w:val="32"/>
                <w:bdr w:val="none" w:color="auto" w:sz="0" w:space="0"/>
              </w:rPr>
              <w:t>其他结果</w:t>
            </w:r>
          </w:p>
        </w:tc>
        <w:tc>
          <w:tcPr>
            <w:tcW w:w="390" w:type="dxa"/>
            <w:vMerge w:val="restart"/>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15" w:right="-115"/>
              <w:jc w:val="center"/>
              <w:rPr>
                <w:sz w:val="19"/>
                <w:szCs w:val="19"/>
              </w:rPr>
            </w:pPr>
            <w:r>
              <w:rPr>
                <w:rFonts w:hint="eastAsia" w:ascii="仿宋_GB2312" w:eastAsia="仿宋_GB2312" w:cs="仿宋_GB2312"/>
                <w:color w:val="00000A"/>
                <w:sz w:val="32"/>
                <w:szCs w:val="32"/>
                <w:bdr w:val="none" w:color="auto" w:sz="0" w:space="0"/>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15" w:right="-115"/>
              <w:jc w:val="center"/>
              <w:rPr>
                <w:sz w:val="19"/>
                <w:szCs w:val="19"/>
              </w:rPr>
            </w:pPr>
            <w:r>
              <w:rPr>
                <w:rFonts w:hint="eastAsia" w:ascii="仿宋_GB2312" w:eastAsia="仿宋_GB2312" w:cs="仿宋_GB2312"/>
                <w:color w:val="00000A"/>
                <w:sz w:val="32"/>
                <w:szCs w:val="32"/>
                <w:bdr w:val="none" w:color="auto" w:sz="0" w:space="0"/>
              </w:rPr>
              <w:t>审结</w:t>
            </w:r>
          </w:p>
        </w:tc>
        <w:tc>
          <w:tcPr>
            <w:tcW w:w="450" w:type="dxa"/>
            <w:vMerge w:val="restart"/>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计</w:t>
            </w:r>
          </w:p>
        </w:tc>
        <w:tc>
          <w:tcPr>
            <w:tcW w:w="2760" w:type="dxa"/>
            <w:gridSpan w:val="5"/>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未经复议直接起诉</w:t>
            </w:r>
          </w:p>
        </w:tc>
        <w:tc>
          <w:tcPr>
            <w:tcW w:w="2805" w:type="dxa"/>
            <w:gridSpan w:val="5"/>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375" w:type="dxa"/>
            <w:vMerge w:val="continue"/>
            <w:tcBorders>
              <w:top w:val="nil"/>
              <w:left w:val="single" w:color="auto" w:sz="8" w:space="0"/>
              <w:bottom w:val="single" w:color="auto" w:sz="8" w:space="0"/>
              <w:right w:val="single" w:color="auto" w:sz="8"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390" w:type="dxa"/>
            <w:vMerge w:val="continue"/>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rPr>
                <w:rFonts w:hint="eastAsia" w:ascii="宋体"/>
                <w:sz w:val="24"/>
                <w:szCs w:val="24"/>
              </w:rPr>
            </w:pPr>
          </w:p>
        </w:tc>
        <w:tc>
          <w:tcPr>
            <w:tcW w:w="390" w:type="dxa"/>
            <w:vMerge w:val="continue"/>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rPr>
                <w:rFonts w:hint="eastAsia" w:ascii="宋体"/>
                <w:sz w:val="24"/>
                <w:szCs w:val="24"/>
              </w:rPr>
            </w:pPr>
          </w:p>
        </w:tc>
        <w:tc>
          <w:tcPr>
            <w:tcW w:w="390" w:type="dxa"/>
            <w:vMerge w:val="continue"/>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rPr>
                <w:rFonts w:hint="eastAsia" w:ascii="宋体"/>
                <w:sz w:val="24"/>
                <w:szCs w:val="24"/>
              </w:rPr>
            </w:pPr>
          </w:p>
        </w:tc>
        <w:tc>
          <w:tcPr>
            <w:tcW w:w="450" w:type="dxa"/>
            <w:vMerge w:val="continue"/>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rPr>
                <w:rFonts w:hint="eastAsia" w:ascii="宋体"/>
                <w:sz w:val="24"/>
                <w:szCs w:val="24"/>
              </w:rPr>
            </w:pPr>
          </w:p>
        </w:tc>
        <w:tc>
          <w:tcPr>
            <w:tcW w:w="345" w:type="dxa"/>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130"/>
              <w:jc w:val="center"/>
              <w:rPr>
                <w:sz w:val="19"/>
                <w:szCs w:val="19"/>
              </w:rPr>
            </w:pPr>
            <w:r>
              <w:rPr>
                <w:rFonts w:hint="eastAsia" w:ascii="仿宋_GB2312" w:eastAsia="仿宋_GB2312" w:cs="仿宋_GB2312"/>
                <w:color w:val="00000A"/>
                <w:sz w:val="32"/>
                <w:szCs w:val="32"/>
                <w:bdr w:val="none" w:color="auto" w:sz="0" w:space="0"/>
              </w:rPr>
              <w:t>结果维持</w:t>
            </w:r>
          </w:p>
        </w:tc>
        <w:tc>
          <w:tcPr>
            <w:tcW w:w="390" w:type="dxa"/>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86" w:right="-86"/>
              <w:jc w:val="center"/>
              <w:rPr>
                <w:sz w:val="19"/>
                <w:szCs w:val="19"/>
              </w:rPr>
            </w:pPr>
            <w:r>
              <w:rPr>
                <w:rFonts w:hint="eastAsia" w:ascii="仿宋_GB2312" w:eastAsia="仿宋_GB2312" w:cs="仿宋_GB2312"/>
                <w:color w:val="00000A"/>
                <w:sz w:val="32"/>
                <w:szCs w:val="32"/>
                <w:bdr w:val="none" w:color="auto" w:sz="0" w:space="0"/>
              </w:rPr>
              <w:t>结果纠正</w:t>
            </w:r>
          </w:p>
        </w:tc>
        <w:tc>
          <w:tcPr>
            <w:tcW w:w="390" w:type="dxa"/>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30" w:right="-130"/>
              <w:jc w:val="center"/>
              <w:rPr>
                <w:sz w:val="19"/>
                <w:szCs w:val="19"/>
              </w:rPr>
            </w:pPr>
            <w:r>
              <w:rPr>
                <w:rFonts w:hint="eastAsia" w:ascii="仿宋_GB2312" w:eastAsia="仿宋_GB2312" w:cs="仿宋_GB2312"/>
                <w:color w:val="00000A"/>
                <w:sz w:val="32"/>
                <w:szCs w:val="32"/>
                <w:bdr w:val="none" w:color="auto" w:sz="0" w:space="0"/>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30" w:right="-130"/>
              <w:jc w:val="center"/>
              <w:rPr>
                <w:sz w:val="19"/>
                <w:szCs w:val="19"/>
              </w:rPr>
            </w:pPr>
            <w:r>
              <w:rPr>
                <w:rFonts w:hint="eastAsia" w:ascii="仿宋_GB2312" w:eastAsia="仿宋_GB2312" w:cs="仿宋_GB2312"/>
                <w:color w:val="00000A"/>
                <w:sz w:val="32"/>
                <w:szCs w:val="32"/>
                <w:bdr w:val="none" w:color="auto" w:sz="0" w:space="0"/>
              </w:rPr>
              <w:t>结果</w:t>
            </w:r>
          </w:p>
        </w:tc>
        <w:tc>
          <w:tcPr>
            <w:tcW w:w="390" w:type="dxa"/>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58" w:right="-158"/>
              <w:jc w:val="center"/>
              <w:rPr>
                <w:sz w:val="19"/>
                <w:szCs w:val="19"/>
              </w:rPr>
            </w:pPr>
            <w:r>
              <w:rPr>
                <w:rFonts w:hint="eastAsia" w:ascii="仿宋_GB2312" w:eastAsia="仿宋_GB2312" w:cs="仿宋_GB2312"/>
                <w:color w:val="00000A"/>
                <w:sz w:val="32"/>
                <w:szCs w:val="32"/>
                <w:bdr w:val="none" w:color="auto" w:sz="0" w:space="0"/>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58" w:right="-158"/>
              <w:jc w:val="center"/>
              <w:rPr>
                <w:sz w:val="19"/>
                <w:szCs w:val="19"/>
              </w:rPr>
            </w:pPr>
            <w:r>
              <w:rPr>
                <w:rFonts w:hint="eastAsia" w:ascii="仿宋_GB2312" w:eastAsia="仿宋_GB2312" w:cs="仿宋_GB2312"/>
                <w:color w:val="00000A"/>
                <w:sz w:val="32"/>
                <w:szCs w:val="32"/>
                <w:bdr w:val="none" w:color="auto" w:sz="0" w:space="0"/>
              </w:rPr>
              <w:t>审结</w:t>
            </w:r>
          </w:p>
        </w:tc>
        <w:tc>
          <w:tcPr>
            <w:tcW w:w="390" w:type="dxa"/>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总计</w:t>
            </w:r>
          </w:p>
        </w:tc>
        <w:tc>
          <w:tcPr>
            <w:tcW w:w="390" w:type="dxa"/>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72"/>
              <w:jc w:val="center"/>
              <w:rPr>
                <w:sz w:val="19"/>
                <w:szCs w:val="19"/>
              </w:rPr>
            </w:pPr>
            <w:r>
              <w:rPr>
                <w:rFonts w:hint="eastAsia" w:ascii="仿宋_GB2312" w:eastAsia="仿宋_GB2312" w:cs="仿宋_GB2312"/>
                <w:color w:val="00000A"/>
                <w:sz w:val="32"/>
                <w:szCs w:val="32"/>
                <w:bdr w:val="none" w:color="auto" w:sz="0" w:space="0"/>
              </w:rPr>
              <w:t>结果维持</w:t>
            </w:r>
          </w:p>
        </w:tc>
        <w:tc>
          <w:tcPr>
            <w:tcW w:w="390" w:type="dxa"/>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30" w:right="-130"/>
              <w:jc w:val="center"/>
              <w:rPr>
                <w:sz w:val="19"/>
                <w:szCs w:val="19"/>
              </w:rPr>
            </w:pPr>
            <w:r>
              <w:rPr>
                <w:rFonts w:hint="eastAsia" w:ascii="仿宋_GB2312" w:eastAsia="仿宋_GB2312" w:cs="仿宋_GB2312"/>
                <w:color w:val="00000A"/>
                <w:sz w:val="32"/>
                <w:szCs w:val="32"/>
                <w:bdr w:val="none" w:color="auto" w:sz="0" w:space="0"/>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30" w:right="-130"/>
              <w:jc w:val="center"/>
              <w:rPr>
                <w:sz w:val="19"/>
                <w:szCs w:val="19"/>
              </w:rPr>
            </w:pPr>
            <w:r>
              <w:rPr>
                <w:rFonts w:hint="eastAsia" w:ascii="仿宋_GB2312" w:eastAsia="仿宋_GB2312" w:cs="仿宋_GB2312"/>
                <w:color w:val="00000A"/>
                <w:sz w:val="32"/>
                <w:szCs w:val="32"/>
                <w:bdr w:val="none" w:color="auto" w:sz="0" w:space="0"/>
              </w:rPr>
              <w:t>纠正</w:t>
            </w:r>
          </w:p>
        </w:tc>
        <w:tc>
          <w:tcPr>
            <w:tcW w:w="390" w:type="dxa"/>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73" w:right="-130" w:firstLine="0"/>
              <w:jc w:val="center"/>
              <w:rPr>
                <w:sz w:val="19"/>
                <w:szCs w:val="19"/>
              </w:rPr>
            </w:pPr>
            <w:r>
              <w:rPr>
                <w:rFonts w:hint="eastAsia" w:ascii="仿宋_GB2312" w:eastAsia="仿宋_GB2312" w:cs="仿宋_GB2312"/>
                <w:color w:val="00000A"/>
                <w:sz w:val="32"/>
                <w:szCs w:val="32"/>
                <w:bdr w:val="none" w:color="auto" w:sz="0" w:space="0"/>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73" w:right="-130" w:firstLine="0"/>
              <w:jc w:val="center"/>
              <w:rPr>
                <w:sz w:val="19"/>
                <w:szCs w:val="19"/>
              </w:rPr>
            </w:pPr>
            <w:r>
              <w:rPr>
                <w:rFonts w:hint="eastAsia" w:ascii="仿宋_GB2312" w:eastAsia="仿宋_GB2312" w:cs="仿宋_GB2312"/>
                <w:color w:val="00000A"/>
                <w:sz w:val="32"/>
                <w:szCs w:val="32"/>
                <w:bdr w:val="none" w:color="auto" w:sz="0" w:space="0"/>
              </w:rPr>
              <w:t>结果</w:t>
            </w:r>
          </w:p>
        </w:tc>
        <w:tc>
          <w:tcPr>
            <w:tcW w:w="390" w:type="dxa"/>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72" w:right="-101" w:firstLine="0"/>
              <w:jc w:val="center"/>
              <w:rPr>
                <w:sz w:val="19"/>
                <w:szCs w:val="19"/>
              </w:rPr>
            </w:pPr>
            <w:r>
              <w:rPr>
                <w:rFonts w:hint="eastAsia" w:ascii="仿宋_GB2312" w:eastAsia="仿宋_GB2312" w:cs="仿宋_GB2312"/>
                <w:color w:val="00000A"/>
                <w:sz w:val="32"/>
                <w:szCs w:val="32"/>
                <w:bdr w:val="none" w:color="auto" w:sz="0" w:space="0"/>
              </w:rPr>
              <w:t>尚未审结</w:t>
            </w:r>
          </w:p>
        </w:tc>
        <w:tc>
          <w:tcPr>
            <w:tcW w:w="375" w:type="dxa"/>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375" w:type="dxa"/>
            <w:tcBorders>
              <w:top w:val="nil"/>
              <w:left w:val="single" w:color="auto" w:sz="8" w:space="0"/>
              <w:bottom w:val="single" w:color="auto" w:sz="8" w:space="0"/>
              <w:right w:val="single" w:color="auto"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390" w:type="dxa"/>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390" w:type="dxa"/>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390" w:type="dxa"/>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450" w:type="dxa"/>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345" w:type="dxa"/>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390" w:type="dxa"/>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390" w:type="dxa"/>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390" w:type="dxa"/>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390" w:type="dxa"/>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390" w:type="dxa"/>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bdr w:val="none" w:color="auto" w:sz="0" w:space="0"/>
              </w:rPr>
              <w:t>0</w:t>
            </w:r>
          </w:p>
        </w:tc>
        <w:tc>
          <w:tcPr>
            <w:tcW w:w="390" w:type="dxa"/>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390" w:type="dxa"/>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390" w:type="dxa"/>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c>
          <w:tcPr>
            <w:tcW w:w="375" w:type="dxa"/>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bdr w:val="none" w:color="auto" w:sz="0" w:space="0"/>
              </w:rPr>
              <w:t>0</w:t>
            </w:r>
          </w:p>
        </w:tc>
      </w:tr>
    </w:tbl>
    <w:p>
      <w:pPr>
        <w:pStyle w:val="2"/>
        <w:keepNext w:val="0"/>
        <w:keepLines w:val="0"/>
        <w:widowControl/>
        <w:suppressLineNumbers w:val="0"/>
        <w:spacing w:after="0" w:afterAutospacing="0" w:line="605" w:lineRule="atLeast"/>
        <w:ind w:left="0" w:firstLine="0"/>
        <w:jc w:val="left"/>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rPr>
        <w:t> 五、存在的主要问题及改进情况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55" w:lineRule="atLeast"/>
        <w:ind w:left="0" w:right="0" w:firstLine="645"/>
        <w:jc w:val="both"/>
        <w:rPr>
          <w:rFonts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32"/>
          <w:szCs w:val="32"/>
        </w:rPr>
      </w:pPr>
      <w:r>
        <w:rPr>
          <w:rFonts w:hint="eastAsia" w:ascii="仿宋_GB2312" w:hAnsi="ÃƒÂ¥Ã‚Â¾Ã‚Â®ÃƒÂ¨Ã‚Â½Ã‚Â¯ÃƒÂ©Ã¢â‚¬ÂºÃ¢â‚¬Â¦ÃƒÂ©Ã‚Â»Ã¢â‚¬Ëœ" w:eastAsia="仿宋_GB2312" w:cs="仿宋_GB2312"/>
          <w:i w:val="0"/>
          <w:iCs w:val="0"/>
          <w:caps w:val="0"/>
          <w:color w:val="00000A"/>
          <w:spacing w:val="0"/>
          <w:sz w:val="32"/>
          <w:szCs w:val="32"/>
          <w:bdr w:val="none" w:color="auto" w:sz="0" w:space="0"/>
          <w:shd w:val="clear" w:fill="FFFFFF"/>
        </w:rPr>
        <w:t>（一）存在问题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55" w:lineRule="atLeast"/>
        <w:ind w:left="0" w:right="0" w:firstLine="645"/>
        <w:jc w:val="both"/>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32"/>
          <w:szCs w:val="32"/>
        </w:rPr>
      </w:pPr>
      <w:r>
        <w:rPr>
          <w:rFonts w:hint="eastAsia" w:ascii="仿宋_GB2312" w:hAnsi="ÃƒÂ¥Ã‚Â¾Ã‚Â®ÃƒÂ¨Ã‚Â½Ã‚Â¯ÃƒÂ©Ã¢â‚¬ÂºÃ¢â‚¬Â¦ÃƒÂ©Ã‚Â»Ã¢â‚¬Ëœ" w:eastAsia="仿宋_GB2312" w:cs="仿宋_GB2312"/>
          <w:i w:val="0"/>
          <w:iCs w:val="0"/>
          <w:caps w:val="0"/>
          <w:color w:val="00000A"/>
          <w:spacing w:val="0"/>
          <w:sz w:val="32"/>
          <w:szCs w:val="32"/>
          <w:bdr w:val="none" w:color="auto" w:sz="0" w:space="0"/>
          <w:shd w:val="clear" w:fill="FFFFFF"/>
        </w:rPr>
        <w:t>一是信息公开规范性不够。政府信息发布有时不够及时，主动公开存在不规范、不及时问题，有时政策、通知公告等信息在政府公开网站公开比较滞后。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55" w:lineRule="atLeast"/>
        <w:ind w:left="0" w:right="0" w:firstLine="645"/>
        <w:jc w:val="both"/>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32"/>
          <w:szCs w:val="32"/>
        </w:rPr>
      </w:pPr>
      <w:r>
        <w:rPr>
          <w:rFonts w:hint="eastAsia" w:ascii="仿宋_GB2312" w:hAnsi="ÃƒÂ¥Ã‚Â¾Ã‚Â®ÃƒÂ¨Ã‚Â½Ã‚Â¯ÃƒÂ©Ã¢â‚¬ÂºÃ¢â‚¬Â¦ÃƒÂ©Ã‚Â»Ã¢â‚¬Ëœ" w:eastAsia="仿宋_GB2312" w:cs="仿宋_GB2312"/>
          <w:i w:val="0"/>
          <w:iCs w:val="0"/>
          <w:caps w:val="0"/>
          <w:color w:val="00000A"/>
          <w:spacing w:val="0"/>
          <w:sz w:val="32"/>
          <w:szCs w:val="32"/>
          <w:bdr w:val="none" w:color="auto" w:sz="0" w:space="0"/>
          <w:shd w:val="clear" w:fill="FFFFFF"/>
        </w:rPr>
        <w:t>二是信息公开专业性不够。专业队伍建设有待提高，政府信息公开工作主要有宣传科工作人员兼职，信息发布、更新、依申请公开等工作量大、标准要求，一定程度上影响政府信息公开工作深入全面开展。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55" w:lineRule="atLeast"/>
        <w:ind w:left="0" w:right="0" w:firstLine="645"/>
        <w:jc w:val="both"/>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32"/>
          <w:szCs w:val="32"/>
        </w:rPr>
      </w:pPr>
      <w:r>
        <w:rPr>
          <w:rFonts w:hint="eastAsia" w:ascii="仿宋_GB2312" w:hAnsi="ÃƒÂ¥Ã‚Â¾Ã‚Â®ÃƒÂ¨Ã‚Â½Ã‚Â¯ÃƒÂ©Ã¢â‚¬ÂºÃ¢â‚¬Â¦ÃƒÂ©Ã‚Â»Ã¢â‚¬Ëœ" w:eastAsia="仿宋_GB2312" w:cs="仿宋_GB2312"/>
          <w:i w:val="0"/>
          <w:iCs w:val="0"/>
          <w:caps w:val="0"/>
          <w:color w:val="00000A"/>
          <w:spacing w:val="0"/>
          <w:sz w:val="32"/>
          <w:szCs w:val="32"/>
          <w:bdr w:val="none" w:color="auto" w:sz="0" w:space="0"/>
          <w:shd w:val="clear" w:fill="FFFFFF"/>
        </w:rPr>
        <w:t>三是考核问责不够。部分科室对公开工作认识还有些不足，对科室公开工作落实上还不能有效的问责考核。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55" w:lineRule="atLeast"/>
        <w:ind w:left="0" w:right="0" w:firstLine="645"/>
        <w:jc w:val="both"/>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32"/>
          <w:szCs w:val="32"/>
        </w:rPr>
      </w:pPr>
      <w:r>
        <w:rPr>
          <w:rFonts w:hint="eastAsia" w:ascii="仿宋_GB2312" w:hAnsi="ÃƒÂ¥Ã‚Â¾Ã‚Â®ÃƒÂ¨Ã‚Â½Ã‚Â¯ÃƒÂ©Ã¢â‚¬ÂºÃ¢â‚¬Â¦ÃƒÂ©Ã‚Â»Ã¢â‚¬Ëœ" w:eastAsia="仿宋_GB2312" w:cs="仿宋_GB2312"/>
          <w:i w:val="0"/>
          <w:iCs w:val="0"/>
          <w:caps w:val="0"/>
          <w:color w:val="00000A"/>
          <w:spacing w:val="0"/>
          <w:sz w:val="32"/>
          <w:szCs w:val="32"/>
          <w:bdr w:val="none" w:color="auto" w:sz="0" w:space="0"/>
          <w:shd w:val="clear" w:fill="FFFFFF"/>
        </w:rPr>
        <w:t>（二）整改措施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32"/>
          <w:szCs w:val="32"/>
        </w:rPr>
      </w:pPr>
      <w:r>
        <w:rPr>
          <w:rFonts w:hint="eastAsia" w:ascii="仿宋_GB2312" w:hAnsi="ÃƒÂ¥Ã‚Â¾Ã‚Â®ÃƒÂ¨Ã‚Â½Ã‚Â¯ÃƒÂ©Ã¢â‚¬ÂºÃ¢â‚¬Â¦ÃƒÂ©Ã‚Â»Ã¢â‚¬Ëœ" w:eastAsia="仿宋_GB2312" w:cs="仿宋_GB2312"/>
          <w:i w:val="0"/>
          <w:iCs w:val="0"/>
          <w:caps w:val="0"/>
          <w:color w:val="00000A"/>
          <w:spacing w:val="0"/>
          <w:sz w:val="32"/>
          <w:szCs w:val="32"/>
          <w:bdr w:val="none" w:color="auto" w:sz="0" w:space="0"/>
          <w:shd w:val="clear" w:fill="FFFFFF"/>
        </w:rPr>
        <w:t>一是提高政务公开意识。进一步提高对政务公开工作的认识，主动查找自身存在的问题和不足，落实责任，加强整改，不断完善改进政务公开工作。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32"/>
          <w:szCs w:val="32"/>
        </w:rPr>
      </w:pPr>
      <w:r>
        <w:rPr>
          <w:rFonts w:hint="eastAsia" w:ascii="仿宋_GB2312" w:hAnsi="ÃƒÂ¥Ã‚Â¾Ã‚Â®ÃƒÂ¨Ã‚Â½Ã‚Â¯ÃƒÂ©Ã¢â‚¬ÂºÃ¢â‚¬Â¦ÃƒÂ©Ã‚Â»Ã¢â‚¬Ëœ" w:eastAsia="仿宋_GB2312" w:cs="仿宋_GB2312"/>
          <w:i w:val="0"/>
          <w:iCs w:val="0"/>
          <w:caps w:val="0"/>
          <w:color w:val="00000A"/>
          <w:spacing w:val="0"/>
          <w:sz w:val="32"/>
          <w:szCs w:val="32"/>
          <w:bdr w:val="none" w:color="auto" w:sz="0" w:space="0"/>
          <w:shd w:val="clear" w:fill="FFFFFF"/>
        </w:rPr>
        <w:t>二是完善政务公开机制。落实目标责任制，及时上报更新信息，保证信息的完整性。方便群众查阅并获取有效信息，不断提高政务信息公开的规范性和质量。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32"/>
          <w:szCs w:val="32"/>
        </w:rPr>
      </w:pPr>
      <w:r>
        <w:rPr>
          <w:rFonts w:hint="eastAsia" w:ascii="仿宋_GB2312" w:hAnsi="ÃƒÂ¥Ã‚Â¾Ã‚Â®ÃƒÂ¨Ã‚Â½Ã‚Â¯ÃƒÂ©Ã¢â‚¬ÂºÃ¢â‚¬Â¦ÃƒÂ©Ã‚Â»Ã¢â‚¬Ëœ" w:eastAsia="仿宋_GB2312" w:cs="仿宋_GB2312"/>
          <w:i w:val="0"/>
          <w:iCs w:val="0"/>
          <w:caps w:val="0"/>
          <w:color w:val="00000A"/>
          <w:spacing w:val="0"/>
          <w:sz w:val="32"/>
          <w:szCs w:val="32"/>
          <w:bdr w:val="none" w:color="auto" w:sz="0" w:space="0"/>
          <w:shd w:val="clear" w:fill="FFFFFF"/>
        </w:rPr>
        <w:t>三是抓好专业队伍建设。加强业务培训，不断提高业务人员工作和水平。健全工作机制，落实政务公开工作专人负责制，确保此项工作常抓不懈。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32"/>
          <w:szCs w:val="32"/>
        </w:rPr>
      </w:pPr>
      <w:r>
        <w:rPr>
          <w:rFonts w:hint="eastAsia" w:ascii="仿宋_GB2312" w:hAnsi="ÃƒÂ¥Ã‚Â¾Ã‚Â®ÃƒÂ¨Ã‚Â½Ã‚Â¯ÃƒÂ©Ã¢â‚¬ÂºÃ¢â‚¬Â¦ÃƒÂ©Ã‚Â»Ã¢â‚¬Ëœ" w:eastAsia="仿宋_GB2312" w:cs="仿宋_GB2312"/>
          <w:i w:val="0"/>
          <w:iCs w:val="0"/>
          <w:caps w:val="0"/>
          <w:color w:val="00000A"/>
          <w:spacing w:val="0"/>
          <w:sz w:val="32"/>
          <w:szCs w:val="32"/>
          <w:bdr w:val="none" w:color="auto" w:sz="0" w:space="0"/>
          <w:shd w:val="clear" w:fill="FFFFFF"/>
        </w:rPr>
        <w:t>四是落实工作考核制度。结合各科室政务考核工作实际，制定政务公开考核制度，并纳入年度工作考核目标之中，对信息公开意识淡薄，工作推进缓慢等，追究相关科室责任。</w:t>
      </w:r>
    </w:p>
    <w:p>
      <w:pPr>
        <w:pStyle w:val="2"/>
        <w:keepNext w:val="0"/>
        <w:keepLines w:val="0"/>
        <w:widowControl/>
        <w:suppressLineNumbers w:val="0"/>
        <w:spacing w:after="0" w:afterAutospacing="0" w:line="605" w:lineRule="atLeast"/>
        <w:ind w:left="0" w:firstLine="634"/>
        <w:jc w:val="left"/>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rPr>
        <w:t>六、其他需要报告的事项</w:t>
      </w:r>
    </w:p>
    <w:p>
      <w:pPr>
        <w:pStyle w:val="2"/>
        <w:keepNext w:val="0"/>
        <w:keepLines w:val="0"/>
        <w:widowControl/>
        <w:suppressLineNumbers w:val="0"/>
        <w:shd w:val="clear" w:fill="FFFFFF"/>
        <w:spacing w:after="0" w:afterAutospacing="0" w:line="605" w:lineRule="atLeast"/>
        <w:ind w:left="0" w:firstLine="634"/>
        <w:jc w:val="both"/>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shd w:val="clear" w:fill="FFFFFF"/>
        </w:rPr>
        <w:t>（一）本年度，滕州市医保局未收取任何政府信息公开费用。</w:t>
      </w:r>
    </w:p>
    <w:p>
      <w:pPr>
        <w:pStyle w:val="2"/>
        <w:keepNext w:val="0"/>
        <w:keepLines w:val="0"/>
        <w:widowControl/>
        <w:suppressLineNumbers w:val="0"/>
        <w:spacing w:after="0" w:afterAutospacing="0" w:line="605" w:lineRule="atLeast"/>
        <w:ind w:left="0" w:firstLine="634"/>
        <w:jc w:val="both"/>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rPr>
        <w:t>（二）本行政机关落实上级年度政务公开工作要点情况：</w:t>
      </w:r>
    </w:p>
    <w:p>
      <w:pPr>
        <w:pStyle w:val="2"/>
        <w:keepNext w:val="0"/>
        <w:keepLines w:val="0"/>
        <w:widowControl/>
        <w:suppressLineNumbers w:val="0"/>
        <w:spacing w:after="0" w:afterAutospacing="0" w:line="605" w:lineRule="atLeast"/>
        <w:ind w:left="0" w:firstLine="634"/>
        <w:jc w:val="both"/>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rPr>
        <w:t>2022年，滕州市医保局严格按照《中华人民共和国政府信息公开条例》《山东省政府信息公开办法》和省政府办公厅、枣庄市政府办公室、滕州市政府办公室通知要求，认真对本部门承担的政务公开重点任务，进一步细化分解，将任务责任到人，确保应公开尽公开，不断提升政务公开能力水平。</w:t>
      </w:r>
    </w:p>
    <w:p>
      <w:pPr>
        <w:pStyle w:val="2"/>
        <w:keepNext w:val="0"/>
        <w:keepLines w:val="0"/>
        <w:widowControl/>
        <w:suppressLineNumbers w:val="0"/>
        <w:spacing w:after="0" w:afterAutospacing="0" w:line="605" w:lineRule="atLeast"/>
        <w:ind w:left="0" w:firstLine="634"/>
        <w:jc w:val="both"/>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rPr>
        <w:t>（三）本行政机关人大代表建议和政协提案办理结果公开情况：</w:t>
      </w:r>
    </w:p>
    <w:p>
      <w:pPr>
        <w:pStyle w:val="2"/>
        <w:keepNext w:val="0"/>
        <w:keepLines w:val="0"/>
        <w:widowControl/>
        <w:suppressLineNumbers w:val="0"/>
        <w:shd w:val="clear" w:fill="FFFFFF"/>
        <w:spacing w:before="0" w:beforeAutospacing="1" w:after="0" w:afterAutospacing="0" w:line="605" w:lineRule="atLeast"/>
        <w:ind w:left="0" w:right="0" w:firstLine="634"/>
        <w:jc w:val="both"/>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shd w:val="clear" w:fill="FFFFFF"/>
        </w:rPr>
        <w:t>2022年，滕州市医保局收到政协提案11件，人大议案0件，都已办理完毕，逐一答复了代表本人，并将提案办理情况进行了公开。</w:t>
      </w:r>
    </w:p>
    <w:p>
      <w:pPr>
        <w:pStyle w:val="2"/>
        <w:keepNext w:val="0"/>
        <w:keepLines w:val="0"/>
        <w:widowControl/>
        <w:suppressLineNumbers w:val="0"/>
        <w:spacing w:after="0" w:afterAutospacing="0" w:line="605" w:lineRule="atLeast"/>
        <w:ind w:left="0" w:firstLine="634"/>
        <w:jc w:val="both"/>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rPr>
        <w:t>（四）本行政机关年度政务公开工作创新情况：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605" w:lineRule="atLeast"/>
        <w:ind w:left="0" w:firstLine="634"/>
        <w:jc w:val="both"/>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bdr w:val="none" w:color="auto" w:sz="0" w:space="0"/>
          <w:shd w:val="clear" w:fill="FFFFFF"/>
        </w:rPr>
        <w:t>1.加强政务信息管理。细化工作任务，明确工作职责，形成齐抓共管、协同高效的政务公开工作态势，并定期对政务公开工作进行督促检查，确保政务公开工作有序开展。完善信息发布机制，确保第一时间发布重大政策、重要会议、重要活动信息。健全信息发布审核制度，落实工作人员、科室（中心）负责人、分管领导三级审核机制，把好政治关、政策关、文字关；对转载发布的信息，在发布的信息中注明信息来源。严格遵循“谁公开谁审查、谁审查谁负责、先审查后公开”的原则，规范保密审查程序，落实保密审查责任，确保涉密信息不公开、公开信息不涉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605" w:lineRule="atLeast"/>
        <w:ind w:left="0" w:firstLine="634"/>
        <w:jc w:val="both"/>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bdr w:val="none" w:color="auto" w:sz="0" w:space="0"/>
          <w:shd w:val="clear" w:fill="FFFFFF"/>
        </w:rPr>
        <w:t>2.深化重点领域信息公开。加大部门财政信息公开力度，及时做好部门预决算报表、重点项目支出预算安排情况的公开工作，按季度公开医疗救助费用信息，全年公开医疗救助信息7条、社会医疗生育保险信息6条。建立健全政府信息依申请公开转主动公开机制，对依申请公开提供的政府信息同步开展审查研判，符合主动公开条件的及时转为主动公开。畅通依申请公开受理渠道，依法保障公众合理的信息需求。规范依申请公开答复工作，严格按照法定时限答复，满足群众和市场主体对政府信息的个性化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605" w:lineRule="atLeast"/>
        <w:ind w:left="0" w:firstLine="634"/>
        <w:jc w:val="both"/>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bdr w:val="none" w:color="auto" w:sz="0" w:space="0"/>
          <w:shd w:val="clear" w:fill="FFFFFF"/>
        </w:rPr>
        <w:t>3.强化政策解读回应。依托政府网站、滕州医保公众号、滕州医保抖音号、12345政务服务便民热线、医保中心服务大厅等载体，及时发布权威信息，积极引导社会舆论，召开发布会，聚焦民生热点，主动回应关切。加强与新闻媒体的沟通联系，充分发挥主流媒体在舆论引领方面的积极作用。全年局门户网站发布信息281余条、滕州医保微信公众号发布347余条、滕州医保官方抖音号发布6条。充分发挥“滕州医保”微信公众号对外宣传、工作展示、信息交流的作用，严格审核、规范管理微信公众号内容发布，切实提高公众获取信息的便捷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605" w:lineRule="atLeast"/>
        <w:ind w:left="0" w:firstLine="706"/>
        <w:jc w:val="both"/>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bdr w:val="none" w:color="auto" w:sz="0" w:space="0"/>
        </w:rPr>
        <w:t>4.强化医保政策宣传。拍摄《筑牢医保屏障 守护全民健康》专题片在山东电视台新闻频道播出；建设枣庄首个“医保主题广场”在邾城公园建成，通过20余块展板、500多平方米的墙体宣传以图文并茂的形式向群众直观展示医保政策；高标准打造了金河湾社区医保主题公园，真正实现政策解读“零距离”。组织《风雨同舟医保情》快板节目在龙泉广场进行演出；进村入户宣传医保政策，今年以来，全市累计发放宣传材料50余万份，各类宣传物品20余万件，悬挂（LED大屏）宣传标语2000余条，《医保政策宣传》不干胶彩页10000份，进一步提高了医保政策知晓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35"/>
        <w:jc w:val="both"/>
        <w:textAlignment w:val="auto"/>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rPr>
        <w:t>（五）本行政机关政府信息公开工作年度报告数据统计需要说明的事项；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35"/>
        <w:jc w:val="both"/>
        <w:textAlignment w:val="auto"/>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rPr>
        <w:t>滕州市医保局没有针对报告数据统计需要说明的事项。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35"/>
        <w:jc w:val="both"/>
        <w:textAlignment w:val="auto"/>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rPr>
        <w:t>（六）本行政机关认为需要报告的其他事项；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35"/>
        <w:jc w:val="both"/>
        <w:textAlignment w:val="auto"/>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rPr>
        <w:t>滕州市医保局没有需要报告的其他事项。</w:t>
      </w:r>
    </w:p>
    <w:p>
      <w:pPr>
        <w:pStyle w:val="2"/>
        <w:keepNext w:val="0"/>
        <w:keepLines w:val="0"/>
        <w:widowControl/>
        <w:suppressLineNumbers w:val="0"/>
        <w:spacing w:before="0" w:beforeAutospacing="1" w:after="0" w:afterAutospacing="0" w:line="605" w:lineRule="atLeast"/>
        <w:ind w:left="0" w:right="0" w:firstLine="634"/>
        <w:jc w:val="both"/>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rPr>
        <w:t>（七）如对本报告有任何疑问，请与滕州市医疗保障局联系（地址：滕州市善国北路79号，电话：0632-5592509；电子邮箱：tzsybj@126.com）。</w:t>
      </w:r>
    </w:p>
    <w:p>
      <w:pPr>
        <w:pStyle w:val="2"/>
        <w:keepNext w:val="0"/>
        <w:keepLines w:val="0"/>
        <w:widowControl/>
        <w:suppressLineNumbers w:val="0"/>
        <w:spacing w:after="0" w:afterAutospacing="0" w:line="605" w:lineRule="atLeast"/>
        <w:ind w:left="0" w:firstLine="475"/>
        <w:jc w:val="right"/>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rPr>
        <w:t>              滕州市医疗保障局</w:t>
      </w:r>
    </w:p>
    <w:p>
      <w:pPr>
        <w:pStyle w:val="2"/>
        <w:keepNext w:val="0"/>
        <w:keepLines w:val="0"/>
        <w:widowControl/>
        <w:suppressLineNumbers w:val="0"/>
        <w:spacing w:after="0" w:afterAutospacing="0" w:line="605" w:lineRule="atLeast"/>
        <w:ind w:left="0" w:firstLine="475"/>
        <w:jc w:val="righ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A"/>
          <w:spacing w:val="0"/>
          <w:sz w:val="32"/>
          <w:szCs w:val="32"/>
        </w:rPr>
        <w:t> 2023年1月16日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ÃƒÂ¥Ã‚Â¾Ã‚Â®ÃƒÂ¨Ã‚Â½Ã‚Â¯ÃƒÂ©Ã¢â‚¬ÂºÃ¢â‚¬Â¦ÃƒÂ©Ã‚Â»Ã¢â‚¬Ëœ">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NTIxOGE2OGMwZjM0N2E2Y2IwOGU4N2E0OTE0ODkifQ=="/>
  </w:docVars>
  <w:rsids>
    <w:rsidRoot w:val="00000000"/>
    <w:rsid w:val="70DC2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3749</Words>
  <Characters>3894</Characters>
  <Lines>0</Lines>
  <Paragraphs>0</Paragraphs>
  <TotalTime>1</TotalTime>
  <ScaleCrop>false</ScaleCrop>
  <LinksUpToDate>false</LinksUpToDate>
  <CharactersWithSpaces>3907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2024-01-12T06:22:38Z</dcterms:created>
  <dc:creator>admin</dc:creator>
  <cp:lastModifiedBy>admin</cp:lastModifiedBy>
  <dcterms:modified xsi:type="dcterms:W3CDTF">2024-01-12T06:24:29Z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99DDC04F7CC5406FA3D09337620E27CC_12</vt:lpwstr>
  </property>
</Properties>
</file>