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right="0" w:firstLine="620" w:firstLineChars="200"/>
        <w:jc w:val="both"/>
        <w:rPr>
          <w:rFonts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1"/>
          <w:szCs w:val="31"/>
          <w:shd w:val="clear" w:fill="FFFFFF"/>
        </w:rPr>
        <w:t>根据《中华人民共和国政府信息公开条例》和《中华人民共和国政府信息公开工作年度报告格式》（国办公开办函〔2021〕30号）以及有关文件要求，结合我单位信息公开工作情况，编制并向社会公布滕州市文化和旅游局2022年政府信息公开工作年度报告。本年度报告中所列数据的统计期限自2022年1月1日起至2022年12月31日止。</w:t>
      </w:r>
    </w:p>
    <w:p>
      <w:pPr>
        <w:pStyle w:val="2"/>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    一、总体情况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1"/>
          <w:szCs w:val="31"/>
        </w:rPr>
        <w:t>2022年，我单位严格按照省市工作要求，认真贯彻落实《中华人民共和国政府信息公开条例》等有关规定，强化组织领导，细化责任分工，健全工作机制、创新公开机制、完善公开内容、确保信息及时、准确、规范，积极、稳妥推进政府信息公开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lang w:val="en-US" w:eastAsia="zh-CN"/>
        </w:rPr>
        <w:t>1.</w:t>
      </w:r>
      <w:r>
        <w:rPr>
          <w:rFonts w:hint="default" w:ascii="仿宋_GB2312" w:hAnsi="sans-serif" w:eastAsia="仿宋_GB2312" w:cs="仿宋_GB2312"/>
          <w:i w:val="0"/>
          <w:iCs w:val="0"/>
          <w:caps w:val="0"/>
          <w:color w:val="000000"/>
          <w:spacing w:val="0"/>
          <w:sz w:val="31"/>
          <w:szCs w:val="31"/>
        </w:rPr>
        <w:t>主动公开情况。2022年，我单位通过市政府信息公开平台发布更新信息126条。其中，通知公告6条、规划计划2条、财政信息23条、行政权力2条、建议提案31条、重点领域51条、组织管理10条、政务公开基本目录1条。同时，积极运用政务新媒体，推动政务公开和信息发布，通过</w:t>
      </w:r>
      <w:r>
        <w:rPr>
          <w:rFonts w:hint="eastAsia" w:ascii="仿宋_GB2312" w:hAnsi="sans-serif" w:eastAsia="仿宋_GB2312" w:cs="仿宋_GB2312"/>
          <w:i w:val="0"/>
          <w:iCs w:val="0"/>
          <w:caps w:val="0"/>
          <w:color w:val="000000"/>
          <w:spacing w:val="0"/>
          <w:sz w:val="31"/>
          <w:szCs w:val="31"/>
          <w:lang w:eastAsia="zh-CN"/>
        </w:rPr>
        <w:t>“</w:t>
      </w:r>
      <w:r>
        <w:rPr>
          <w:rFonts w:hint="default" w:ascii="仿宋_GB2312" w:hAnsi="sans-serif" w:eastAsia="仿宋_GB2312" w:cs="仿宋_GB2312"/>
          <w:i w:val="0"/>
          <w:iCs w:val="0"/>
          <w:caps w:val="0"/>
          <w:color w:val="000000"/>
          <w:spacing w:val="0"/>
          <w:sz w:val="31"/>
          <w:szCs w:val="31"/>
        </w:rPr>
        <w:t>文旅滕州</w:t>
      </w:r>
      <w:r>
        <w:rPr>
          <w:rFonts w:hint="eastAsia" w:ascii="仿宋_GB2312" w:hAnsi="sans-serif" w:eastAsia="仿宋_GB2312" w:cs="仿宋_GB2312"/>
          <w:i w:val="0"/>
          <w:iCs w:val="0"/>
          <w:caps w:val="0"/>
          <w:color w:val="000000"/>
          <w:spacing w:val="0"/>
          <w:sz w:val="31"/>
          <w:szCs w:val="31"/>
          <w:lang w:eastAsia="zh-CN"/>
        </w:rPr>
        <w:t>”</w:t>
      </w:r>
      <w:r>
        <w:rPr>
          <w:rFonts w:hint="default" w:ascii="仿宋_GB2312" w:hAnsi="sans-serif" w:eastAsia="仿宋_GB2312" w:cs="仿宋_GB2312"/>
          <w:i w:val="0"/>
          <w:iCs w:val="0"/>
          <w:caps w:val="0"/>
          <w:color w:val="000000"/>
          <w:spacing w:val="0"/>
          <w:sz w:val="31"/>
          <w:szCs w:val="31"/>
        </w:rPr>
        <w:t>微信公众号全年推送信息746余条，累计阅读量达20万余人次。</w:t>
      </w:r>
      <w:bookmarkStart w:id="9" w:name="_GoBack"/>
      <w:bookmarkEnd w:id="9"/>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drawing>
          <wp:inline distT="0" distB="0" distL="114300" distR="114300">
            <wp:extent cx="4946015" cy="4013200"/>
            <wp:effectExtent l="0" t="0" r="6985" b="6350"/>
            <wp:docPr id="2"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png"/>
                    <pic:cNvPicPr>
                      <a:picLocks noChangeAspect="1"/>
                    </pic:cNvPicPr>
                  </pic:nvPicPr>
                  <pic:blipFill>
                    <a:blip r:embed="rId4"/>
                    <a:stretch>
                      <a:fillRect/>
                    </a:stretch>
                  </pic:blipFill>
                  <pic:spPr>
                    <a:xfrm>
                      <a:off x="0" y="0"/>
                      <a:ext cx="4946015" cy="40132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drawing>
          <wp:inline distT="0" distB="0" distL="114300" distR="114300">
            <wp:extent cx="3676650" cy="4278630"/>
            <wp:effectExtent l="0" t="0" r="0" b="7620"/>
            <wp:docPr id="1"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png"/>
                    <pic:cNvPicPr>
                      <a:picLocks noChangeAspect="1"/>
                    </pic:cNvPicPr>
                  </pic:nvPicPr>
                  <pic:blipFill>
                    <a:blip r:embed="rId5"/>
                    <a:stretch>
                      <a:fillRect/>
                    </a:stretch>
                  </pic:blipFill>
                  <pic:spPr>
                    <a:xfrm>
                      <a:off x="0" y="0"/>
                      <a:ext cx="3676650" cy="427863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600" w:lineRule="atLeast"/>
        <w:ind w:left="0" w:right="0" w:firstLine="645"/>
        <w:jc w:val="both"/>
        <w:rPr>
          <w:rFonts w:hint="default"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lang w:val="en-US" w:eastAsia="zh-CN"/>
        </w:rPr>
        <w:t>2.</w:t>
      </w:r>
      <w:r>
        <w:rPr>
          <w:rFonts w:hint="default" w:ascii="仿宋_GB2312" w:hAnsi="sans-serif" w:eastAsia="仿宋_GB2312" w:cs="仿宋_GB2312"/>
          <w:i w:val="0"/>
          <w:iCs w:val="0"/>
          <w:caps w:val="0"/>
          <w:color w:val="000000"/>
          <w:spacing w:val="0"/>
          <w:sz w:val="31"/>
          <w:szCs w:val="31"/>
        </w:rPr>
        <w:t>依申请公开</w:t>
      </w:r>
      <w:r>
        <w:rPr>
          <w:rFonts w:hint="eastAsia" w:ascii="仿宋_GB2312" w:hAnsi="sans-serif" w:eastAsia="仿宋_GB2312" w:cs="仿宋_GB2312"/>
          <w:i w:val="0"/>
          <w:iCs w:val="0"/>
          <w:caps w:val="0"/>
          <w:color w:val="000000"/>
          <w:spacing w:val="0"/>
          <w:sz w:val="31"/>
          <w:szCs w:val="31"/>
          <w:lang w:eastAsia="zh-CN"/>
        </w:rPr>
        <w:t>。</w:t>
      </w:r>
      <w:r>
        <w:rPr>
          <w:rFonts w:hint="default" w:ascii="仿宋_GB2312" w:hAnsi="sans-serif" w:eastAsia="仿宋_GB2312" w:cs="仿宋_GB2312"/>
          <w:i w:val="0"/>
          <w:iCs w:val="0"/>
          <w:caps w:val="0"/>
          <w:color w:val="000000"/>
          <w:spacing w:val="0"/>
          <w:sz w:val="31"/>
          <w:szCs w:val="31"/>
        </w:rPr>
        <w:t>2022年，我单位收到政府信息公开申请2件，均已办结。没有因政府信息公开工作被提起行政复议和行政诉讼。</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ascii="仿宋_GB2312" w:hAnsi="宋体" w:eastAsia="仿宋_GB2312" w:cs="仿宋_GB2312"/>
          <w:i w:val="0"/>
          <w:iCs w:val="0"/>
          <w:caps w:val="0"/>
          <w:color w:val="000000"/>
          <w:spacing w:val="0"/>
          <w:sz w:val="31"/>
          <w:szCs w:val="31"/>
          <w:shd w:val="clear" w:fill="FFFFFF"/>
        </w:rPr>
        <w:t>3.政府信息管理情况。</w:t>
      </w:r>
      <w:r>
        <w:rPr>
          <w:rFonts w:hint="eastAsia" w:ascii="仿宋_GB2312" w:hAnsi="宋体" w:eastAsia="仿宋_GB2312" w:cs="仿宋_GB2312"/>
          <w:i w:val="0"/>
          <w:iCs w:val="0"/>
          <w:caps w:val="0"/>
          <w:color w:val="000000"/>
          <w:spacing w:val="0"/>
          <w:sz w:val="31"/>
          <w:szCs w:val="31"/>
          <w:shd w:val="clear" w:fill="FFFFFF"/>
        </w:rPr>
        <w:t>成立了政务公开领导小组，局主要领导为主要负责人，分管领导为分管负责人。</w:t>
      </w:r>
      <w:r>
        <w:rPr>
          <w:rFonts w:hint="eastAsia" w:ascii="仿宋_GB2312" w:hAnsi="宋体" w:eastAsia="仿宋_GB2312" w:cs="仿宋_GB2312"/>
          <w:i w:val="0"/>
          <w:iCs w:val="0"/>
          <w:caps w:val="0"/>
          <w:color w:val="000000"/>
          <w:spacing w:val="0"/>
          <w:sz w:val="31"/>
          <w:szCs w:val="31"/>
        </w:rPr>
        <w:t>明确专人开展信息公开工作，及时将应该公开的信息在公开平台对外公开，以方便服务群众并接受群众监督。认真宣传工作中的新举措、新进展、新成效以及好经验、好典型，通过不断加强信息宣传，进一步提升全市人民的文化自信的文化认同，提升城市的对外影响力和美誉度。</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lang w:val="en-US" w:eastAsia="zh-CN"/>
        </w:rPr>
        <w:t>4.</w:t>
      </w:r>
      <w:r>
        <w:rPr>
          <w:rFonts w:hint="default" w:ascii="仿宋_GB2312" w:hAnsi="sans-serif" w:eastAsia="仿宋_GB2312" w:cs="仿宋_GB2312"/>
          <w:i w:val="0"/>
          <w:iCs w:val="0"/>
          <w:caps w:val="0"/>
          <w:color w:val="000000"/>
          <w:spacing w:val="0"/>
          <w:sz w:val="31"/>
          <w:szCs w:val="31"/>
        </w:rPr>
        <w:t>政府信息公开平台建设</w:t>
      </w:r>
      <w:r>
        <w:rPr>
          <w:rFonts w:hint="eastAsia" w:ascii="仿宋_GB2312" w:hAnsi="sans-serif" w:eastAsia="仿宋_GB2312" w:cs="仿宋_GB2312"/>
          <w:i w:val="0"/>
          <w:iCs w:val="0"/>
          <w:caps w:val="0"/>
          <w:color w:val="000000"/>
          <w:spacing w:val="0"/>
          <w:sz w:val="31"/>
          <w:szCs w:val="31"/>
          <w:lang w:eastAsia="zh-CN"/>
        </w:rPr>
        <w:t>。</w:t>
      </w:r>
      <w:r>
        <w:rPr>
          <w:rFonts w:hint="default" w:ascii="仿宋_GB2312" w:hAnsi="sans-serif" w:eastAsia="仿宋_GB2312" w:cs="仿宋_GB2312"/>
          <w:i w:val="0"/>
          <w:iCs w:val="0"/>
          <w:caps w:val="0"/>
          <w:color w:val="000000"/>
          <w:spacing w:val="0"/>
          <w:sz w:val="31"/>
          <w:szCs w:val="31"/>
        </w:rPr>
        <w:t>明确专人维护信息公开平台，定期对政府网站进行维护和政务信息公开，积极配合上级网站链接，丰富信息化内容，加大信息的更新频率，保质保量完成信息的更新、维护和报送工作。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lang w:val="en-US" w:eastAsia="zh-CN"/>
        </w:rPr>
        <w:t>5.</w:t>
      </w:r>
      <w:r>
        <w:rPr>
          <w:rFonts w:hint="default" w:ascii="仿宋_GB2312" w:hAnsi="sans-serif" w:eastAsia="仿宋_GB2312" w:cs="仿宋_GB2312"/>
          <w:i w:val="0"/>
          <w:iCs w:val="0"/>
          <w:caps w:val="0"/>
          <w:color w:val="000000"/>
          <w:spacing w:val="0"/>
          <w:sz w:val="31"/>
          <w:szCs w:val="31"/>
        </w:rPr>
        <w:t>监督保障</w:t>
      </w:r>
      <w:r>
        <w:rPr>
          <w:rFonts w:hint="eastAsia" w:ascii="仿宋_GB2312" w:hAnsi="sans-serif" w:eastAsia="仿宋_GB2312" w:cs="仿宋_GB2312"/>
          <w:i w:val="0"/>
          <w:iCs w:val="0"/>
          <w:caps w:val="0"/>
          <w:color w:val="000000"/>
          <w:spacing w:val="0"/>
          <w:sz w:val="31"/>
          <w:szCs w:val="31"/>
          <w:lang w:eastAsia="zh-CN"/>
        </w:rPr>
        <w:t>。</w:t>
      </w:r>
      <w:r>
        <w:rPr>
          <w:rFonts w:hint="default" w:ascii="仿宋_GB2312" w:hAnsi="sans-serif" w:eastAsia="仿宋_GB2312" w:cs="仿宋_GB2312"/>
          <w:i w:val="0"/>
          <w:iCs w:val="0"/>
          <w:caps w:val="0"/>
          <w:color w:val="000000"/>
          <w:spacing w:val="0"/>
          <w:sz w:val="31"/>
          <w:szCs w:val="31"/>
        </w:rPr>
        <w:t>根据机构改革、职能转变、人员变动和工作需要，及时制定并调整了市文化和旅游局政府信息公开工作领导小组，专人负责政务公开具体工作，推进政务公开工作。结合工作安排，开展政务四次公开培训和两次考核监督。</w:t>
      </w:r>
      <w:r>
        <w:rPr>
          <w:rFonts w:ascii="仿宋_GB2312" w:hAnsi="宋体" w:eastAsia="仿宋_GB2312" w:cs="仿宋_GB2312"/>
          <w:i w:val="0"/>
          <w:iCs w:val="0"/>
          <w:caps w:val="0"/>
          <w:color w:val="000000"/>
          <w:spacing w:val="0"/>
          <w:sz w:val="31"/>
          <w:szCs w:val="31"/>
        </w:rPr>
        <w:t>同时按照滕州市政务公开绩效考核指标体系和考核标准细则，参加2022年滕州市政务公开考核工作。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二、主动公开政府信息情况</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2125"/>
        <w:gridCol w:w="2125"/>
        <w:gridCol w:w="2125"/>
        <w:gridCol w:w="214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8115" w:type="dxa"/>
            <w:gridSpan w:val="4"/>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信息内容</w:t>
            </w:r>
          </w:p>
        </w:tc>
        <w:tc>
          <w:tcPr>
            <w:tcW w:w="217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本年制发件数</w:t>
            </w:r>
          </w:p>
        </w:tc>
        <w:tc>
          <w:tcPr>
            <w:tcW w:w="217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本年废止件数</w:t>
            </w:r>
          </w:p>
        </w:tc>
        <w:tc>
          <w:tcPr>
            <w:tcW w:w="217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规章</w:t>
            </w:r>
          </w:p>
        </w:tc>
        <w:tc>
          <w:tcPr>
            <w:tcW w:w="21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c>
          <w:tcPr>
            <w:tcW w:w="21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iCs w:val="0"/>
                <w:caps w:val="0"/>
                <w:color w:val="000000"/>
                <w:spacing w:val="0"/>
                <w:sz w:val="21"/>
                <w:szCs w:val="21"/>
              </w:rPr>
              <w:t> </w:t>
            </w:r>
            <w:r>
              <w:rPr>
                <w:rFonts w:hint="default" w:ascii="仿宋_GB2312" w:hAnsi="sans-serif" w:eastAsia="仿宋_GB2312" w:cs="仿宋_GB2312"/>
                <w:i w:val="0"/>
                <w:iCs w:val="0"/>
                <w:caps w:val="0"/>
                <w:color w:val="000000"/>
                <w:spacing w:val="0"/>
                <w:sz w:val="21"/>
                <w:szCs w:val="21"/>
              </w:rPr>
              <w:t>　0</w:t>
            </w:r>
          </w:p>
        </w:tc>
        <w:tc>
          <w:tcPr>
            <w:tcW w:w="21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行政规范性文件</w:t>
            </w:r>
          </w:p>
        </w:tc>
        <w:tc>
          <w:tcPr>
            <w:tcW w:w="21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c>
          <w:tcPr>
            <w:tcW w:w="21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iCs w:val="0"/>
                <w:caps w:val="0"/>
                <w:color w:val="000000"/>
                <w:spacing w:val="0"/>
                <w:sz w:val="21"/>
                <w:szCs w:val="21"/>
              </w:rPr>
              <w:t> </w:t>
            </w:r>
            <w:r>
              <w:rPr>
                <w:rFonts w:hint="default" w:ascii="仿宋_GB2312" w:hAnsi="sans-serif" w:eastAsia="仿宋_GB2312" w:cs="仿宋_GB2312"/>
                <w:i w:val="0"/>
                <w:iCs w:val="0"/>
                <w:caps w:val="0"/>
                <w:color w:val="000000"/>
                <w:spacing w:val="0"/>
                <w:sz w:val="21"/>
                <w:szCs w:val="21"/>
              </w:rPr>
              <w:t>　0</w:t>
            </w:r>
          </w:p>
        </w:tc>
        <w:tc>
          <w:tcPr>
            <w:tcW w:w="21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8715" w:type="dxa"/>
            <w:gridSpan w:val="4"/>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信息内容</w:t>
            </w:r>
          </w:p>
        </w:tc>
        <w:tc>
          <w:tcPr>
            <w:tcW w:w="6540" w:type="dxa"/>
            <w:gridSpan w:val="3"/>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行政许可</w:t>
            </w:r>
          </w:p>
        </w:tc>
        <w:tc>
          <w:tcPr>
            <w:tcW w:w="654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8715" w:type="dxa"/>
            <w:gridSpan w:val="4"/>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信息内容</w:t>
            </w:r>
          </w:p>
        </w:tc>
        <w:tc>
          <w:tcPr>
            <w:tcW w:w="6540" w:type="dxa"/>
            <w:gridSpan w:val="3"/>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行政处罚</w:t>
            </w:r>
          </w:p>
        </w:tc>
        <w:tc>
          <w:tcPr>
            <w:tcW w:w="654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行政强制</w:t>
            </w:r>
          </w:p>
        </w:tc>
        <w:tc>
          <w:tcPr>
            <w:tcW w:w="654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8715" w:type="dxa"/>
            <w:gridSpan w:val="4"/>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信息内容</w:t>
            </w:r>
          </w:p>
        </w:tc>
        <w:tc>
          <w:tcPr>
            <w:tcW w:w="6540" w:type="dxa"/>
            <w:gridSpan w:val="3"/>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85" w:hRule="atLeast"/>
        </w:trPr>
        <w:tc>
          <w:tcPr>
            <w:tcW w:w="2175"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行政事业性收费</w:t>
            </w:r>
          </w:p>
        </w:tc>
        <w:tc>
          <w:tcPr>
            <w:tcW w:w="654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sans-serif" w:eastAsia="仿宋_GB2312" w:cs="仿宋_GB2312"/>
                <w:i w:val="0"/>
                <w:iCs w:val="0"/>
                <w:caps w:val="0"/>
                <w:color w:val="000000"/>
                <w:spacing w:val="0"/>
                <w:sz w:val="21"/>
                <w:szCs w:val="21"/>
              </w:rPr>
              <w:t>　0</w:t>
            </w:r>
          </w:p>
        </w:tc>
      </w:tr>
    </w:tbl>
    <w:p>
      <w:pPr>
        <w:pStyle w:val="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630"/>
        <w:gridCol w:w="1448"/>
        <w:gridCol w:w="2305"/>
        <w:gridCol w:w="708"/>
        <w:gridCol w:w="496"/>
        <w:gridCol w:w="496"/>
        <w:gridCol w:w="614"/>
        <w:gridCol w:w="592"/>
        <w:gridCol w:w="497"/>
        <w:gridCol w:w="73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20" w:hRule="atLeast"/>
          <w:jc w:val="center"/>
        </w:trPr>
        <w:tc>
          <w:tcPr>
            <w:tcW w:w="510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楷体_GB2312" w:hAnsi="sans-serif" w:eastAsia="楷体_GB2312" w:cs="楷体_GB2312"/>
                <w:i w:val="0"/>
                <w:iCs w:val="0"/>
                <w:caps w:val="0"/>
                <w:color w:val="000000"/>
                <w:spacing w:val="0"/>
                <w:sz w:val="21"/>
                <w:szCs w:val="21"/>
              </w:rPr>
              <w:t>（本列数据的勾稽关系为：第一项加第二项之和，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楷体_GB2312" w:hAnsi="sans-serif" w:eastAsia="楷体_GB2312" w:cs="楷体_GB2312"/>
                <w:i w:val="0"/>
                <w:iCs w:val="0"/>
                <w:caps w:val="0"/>
                <w:color w:val="000000"/>
                <w:spacing w:val="0"/>
                <w:sz w:val="21"/>
                <w:szCs w:val="21"/>
              </w:rPr>
              <w:t>等于第三项加第四项之和）</w:t>
            </w:r>
          </w:p>
        </w:tc>
        <w:tc>
          <w:tcPr>
            <w:tcW w:w="4815" w:type="dxa"/>
            <w:gridSpan w:val="7"/>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20"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82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自然人</w:t>
            </w:r>
          </w:p>
        </w:tc>
        <w:tc>
          <w:tcPr>
            <w:tcW w:w="313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15"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82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firstLine="0"/>
              <w:jc w:val="center"/>
            </w:pPr>
            <w:r>
              <w:rPr>
                <w:rFonts w:hint="eastAsia" w:ascii="黑体" w:hAnsi="宋体" w:eastAsia="黑体" w:cs="黑体"/>
                <w:i w:val="0"/>
                <w:iCs w:val="0"/>
                <w:caps w:val="0"/>
                <w:color w:val="000000"/>
                <w:spacing w:val="0"/>
                <w:sz w:val="21"/>
                <w:szCs w:val="21"/>
              </w:rPr>
              <w:t>商业企业</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jc w:val="center"/>
            </w:pPr>
            <w:r>
              <w:rPr>
                <w:rFonts w:hint="eastAsia" w:ascii="黑体" w:hAnsi="宋体" w:eastAsia="黑体" w:cs="黑体"/>
                <w:i w:val="0"/>
                <w:iCs w:val="0"/>
                <w:caps w:val="0"/>
                <w:color w:val="000000"/>
                <w:spacing w:val="0"/>
                <w:sz w:val="21"/>
                <w:szCs w:val="21"/>
              </w:rPr>
              <w:t>科研机构</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jc w:val="center"/>
            </w:pPr>
            <w:r>
              <w:rPr>
                <w:rFonts w:hint="eastAsia" w:ascii="黑体" w:hAnsi="宋体" w:eastAsia="黑体" w:cs="黑体"/>
                <w:i w:val="0"/>
                <w:iCs w:val="0"/>
                <w:caps w:val="0"/>
                <w:color w:val="000000"/>
                <w:spacing w:val="0"/>
                <w:sz w:val="21"/>
                <w:szCs w:val="21"/>
              </w:rPr>
              <w:t>社会公益组织</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05" w:firstLine="0"/>
              <w:jc w:val="center"/>
            </w:pPr>
            <w:r>
              <w:rPr>
                <w:rFonts w:hint="eastAsia" w:ascii="黑体" w:hAnsi="宋体" w:eastAsia="黑体" w:cs="黑体"/>
                <w:i w:val="0"/>
                <w:iCs w:val="0"/>
                <w:caps w:val="0"/>
                <w:color w:val="000000"/>
                <w:spacing w:val="0"/>
                <w:sz w:val="21"/>
                <w:szCs w:val="21"/>
              </w:rPr>
              <w:t>法律服务机构</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60" w:right="-135"/>
              <w:jc w:val="center"/>
            </w:pPr>
            <w:r>
              <w:rPr>
                <w:rFonts w:hint="eastAsia" w:ascii="黑体" w:hAnsi="宋体" w:eastAsia="黑体" w:cs="黑体"/>
                <w:i w:val="0"/>
                <w:iCs w:val="0"/>
                <w:caps w:val="0"/>
                <w:color w:val="000000"/>
                <w:spacing w:val="0"/>
                <w:sz w:val="21"/>
                <w:szCs w:val="21"/>
              </w:rPr>
              <w:t>其他</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i w:val="0"/>
                <w:iCs w:val="0"/>
                <w:caps w:val="0"/>
                <w:color w:val="000000"/>
                <w:spacing w:val="0"/>
                <w:sz w:val="21"/>
                <w:szCs w:val="21"/>
              </w:rPr>
              <w:t>一、本年新收政府信息公开申请数量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2</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i w:val="0"/>
                <w:iCs w:val="0"/>
                <w:caps w:val="0"/>
                <w:color w:val="000000"/>
                <w:spacing w:val="0"/>
                <w:sz w:val="21"/>
                <w:szCs w:val="21"/>
              </w:rPr>
              <w:t>二、上年结转政府信息公开申请数量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0"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pPr>
            <w:r>
              <w:rPr>
                <w:rFonts w:hint="eastAsia" w:ascii="黑体" w:hAnsi="宋体" w:eastAsia="黑体" w:cs="黑体"/>
                <w:i w:val="0"/>
                <w:iCs w:val="0"/>
                <w:caps w:val="0"/>
                <w:color w:val="000000"/>
                <w:spacing w:val="0"/>
                <w:sz w:val="21"/>
                <w:szCs w:val="21"/>
              </w:rPr>
              <w:t>三、本年度办理结果</w:t>
            </w: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i w:val="0"/>
                <w:iCs w:val="0"/>
                <w:caps w:val="0"/>
                <w:color w:val="000000"/>
                <w:spacing w:val="0"/>
                <w:sz w:val="21"/>
                <w:szCs w:val="21"/>
              </w:rPr>
              <w:t>（一）予以公开</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1</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i w:val="0"/>
                <w:iCs w:val="0"/>
                <w:caps w:val="0"/>
                <w:color w:val="000000"/>
                <w:spacing w:val="0"/>
                <w:sz w:val="21"/>
                <w:szCs w:val="21"/>
              </w:rPr>
              <w:t>（二）部分公开（</w:t>
            </w:r>
            <w:bookmarkStart w:id="0" w:name="_Hlk66973981"/>
            <w:r>
              <w:rPr>
                <w:rFonts w:hint="eastAsia" w:ascii="黑体" w:hAnsi="宋体" w:eastAsia="黑体" w:cs="黑体"/>
                <w:i w:val="0"/>
                <w:iCs w:val="0"/>
                <w:caps w:val="0"/>
                <w:color w:val="000000"/>
                <w:spacing w:val="0"/>
                <w:sz w:val="21"/>
                <w:szCs w:val="21"/>
              </w:rPr>
              <w:t>区分处理的，只计这一情形，不计其他情形</w:t>
            </w:r>
            <w:bookmarkEnd w:id="0"/>
            <w:r>
              <w:rPr>
                <w:rFonts w:hint="eastAsia" w:ascii="黑体" w:hAnsi="宋体" w:eastAsia="黑体" w:cs="黑体"/>
                <w:i w:val="0"/>
                <w:iCs w:val="0"/>
                <w:caps w:val="0"/>
                <w:color w:val="000000"/>
                <w:spacing w:val="0"/>
                <w:sz w:val="21"/>
                <w:szCs w:val="21"/>
              </w:rPr>
              <w:t>）</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105" w:right="0"/>
            </w:pPr>
            <w:r>
              <w:rPr>
                <w:rFonts w:hint="eastAsia" w:ascii="黑体" w:hAnsi="宋体" w:eastAsia="黑体" w:cs="黑体"/>
                <w:i w:val="0"/>
                <w:iCs w:val="0"/>
                <w:caps w:val="0"/>
                <w:color w:val="000000"/>
                <w:spacing w:val="0"/>
                <w:sz w:val="21"/>
                <w:szCs w:val="21"/>
              </w:rPr>
              <w:t>（三）不予公开</w:t>
            </w: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1.属于国家秘密</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2.</w:t>
            </w:r>
            <w:bookmarkStart w:id="1" w:name="_Hlk66974104"/>
            <w:r>
              <w:rPr>
                <w:rFonts w:hint="default" w:ascii="仿宋_GB2312" w:hAnsi="sans-serif" w:eastAsia="仿宋_GB2312" w:cs="仿宋_GB2312"/>
                <w:i w:val="0"/>
                <w:iCs w:val="0"/>
                <w:caps w:val="0"/>
                <w:color w:val="000000"/>
                <w:spacing w:val="0"/>
                <w:sz w:val="21"/>
                <w:szCs w:val="21"/>
              </w:rPr>
              <w:t>其他法律行政法规禁止公开</w:t>
            </w:r>
            <w:bookmarkEnd w:id="1"/>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3.危及“三安全一稳定”</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4.</w:t>
            </w:r>
            <w:bookmarkStart w:id="2" w:name="_Hlk66974290"/>
            <w:r>
              <w:rPr>
                <w:rFonts w:hint="default" w:ascii="仿宋_GB2312" w:hAnsi="sans-serif" w:eastAsia="仿宋_GB2312" w:cs="仿宋_GB2312"/>
                <w:i w:val="0"/>
                <w:iCs w:val="0"/>
                <w:caps w:val="0"/>
                <w:color w:val="000000"/>
                <w:spacing w:val="0"/>
                <w:sz w:val="21"/>
                <w:szCs w:val="21"/>
              </w:rPr>
              <w:t>保护第三方合法权益</w:t>
            </w:r>
            <w:bookmarkEnd w:id="2"/>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5.属于三类内部事务信息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6.</w:t>
            </w:r>
            <w:bookmarkStart w:id="3" w:name="_Hlk66974555"/>
            <w:r>
              <w:rPr>
                <w:rFonts w:hint="default" w:ascii="仿宋_GB2312" w:hAnsi="sans-serif" w:eastAsia="仿宋_GB2312" w:cs="仿宋_GB2312"/>
                <w:i w:val="0"/>
                <w:iCs w:val="0"/>
                <w:caps w:val="0"/>
                <w:color w:val="000000"/>
                <w:spacing w:val="0"/>
                <w:sz w:val="21"/>
                <w:szCs w:val="21"/>
              </w:rPr>
              <w:t>属于四类过程性信息</w:t>
            </w:r>
            <w:bookmarkEnd w:id="3"/>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7.属于行政执法案卷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8.</w:t>
            </w:r>
            <w:bookmarkStart w:id="4" w:name="_Hlk66975211"/>
            <w:r>
              <w:rPr>
                <w:rFonts w:hint="default" w:ascii="仿宋_GB2312" w:hAnsi="sans-serif" w:eastAsia="仿宋_GB2312" w:cs="仿宋_GB2312"/>
                <w:i w:val="0"/>
                <w:iCs w:val="0"/>
                <w:caps w:val="0"/>
                <w:color w:val="000000"/>
                <w:spacing w:val="0"/>
                <w:sz w:val="21"/>
                <w:szCs w:val="21"/>
              </w:rPr>
              <w:t>属于行政查询事项</w:t>
            </w:r>
            <w:bookmarkEnd w:id="4"/>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105" w:right="0"/>
            </w:pPr>
            <w:r>
              <w:rPr>
                <w:rFonts w:hint="eastAsia" w:ascii="黑体" w:hAnsi="宋体" w:eastAsia="黑体" w:cs="黑体"/>
                <w:i w:val="0"/>
                <w:iCs w:val="0"/>
                <w:caps w:val="0"/>
                <w:color w:val="000000"/>
                <w:spacing w:val="0"/>
                <w:sz w:val="21"/>
                <w:szCs w:val="21"/>
              </w:rPr>
              <w:t>（四）无法提供</w:t>
            </w: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1.本机关不掌握相关政府信息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2.</w:t>
            </w:r>
            <w:bookmarkStart w:id="5" w:name="_Hlk66975392"/>
            <w:r>
              <w:rPr>
                <w:rFonts w:hint="default" w:ascii="仿宋_GB2312" w:hAnsi="sans-serif" w:eastAsia="仿宋_GB2312" w:cs="仿宋_GB2312"/>
                <w:i w:val="0"/>
                <w:iCs w:val="0"/>
                <w:caps w:val="0"/>
                <w:color w:val="000000"/>
                <w:spacing w:val="0"/>
                <w:sz w:val="21"/>
                <w:szCs w:val="21"/>
              </w:rPr>
              <w:t>没有现成信息需要另行制作</w:t>
            </w:r>
            <w:bookmarkEnd w:id="5"/>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1</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3.</w:t>
            </w:r>
            <w:bookmarkStart w:id="6" w:name="_Hlk66975466"/>
            <w:r>
              <w:rPr>
                <w:rFonts w:hint="default" w:ascii="仿宋_GB2312" w:hAnsi="sans-serif" w:eastAsia="仿宋_GB2312" w:cs="仿宋_GB2312"/>
                <w:i w:val="0"/>
                <w:iCs w:val="0"/>
                <w:caps w:val="0"/>
                <w:color w:val="000000"/>
                <w:spacing w:val="0"/>
                <w:sz w:val="21"/>
                <w:szCs w:val="21"/>
              </w:rPr>
              <w:t>补正后申请内容仍不明确</w:t>
            </w:r>
            <w:bookmarkEnd w:id="6"/>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105" w:right="0"/>
            </w:pPr>
            <w:r>
              <w:rPr>
                <w:rFonts w:hint="eastAsia" w:ascii="黑体" w:hAnsi="宋体" w:eastAsia="黑体" w:cs="黑体"/>
                <w:i w:val="0"/>
                <w:iCs w:val="0"/>
                <w:caps w:val="0"/>
                <w:color w:val="000000"/>
                <w:spacing w:val="0"/>
                <w:sz w:val="21"/>
                <w:szCs w:val="21"/>
              </w:rPr>
              <w:t>（五）不予处理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1.</w:t>
            </w:r>
            <w:bookmarkStart w:id="7" w:name="_Hlk66975537"/>
            <w:r>
              <w:rPr>
                <w:rFonts w:hint="default" w:ascii="仿宋_GB2312" w:hAnsi="sans-serif" w:eastAsia="仿宋_GB2312" w:cs="仿宋_GB2312"/>
                <w:i w:val="0"/>
                <w:iCs w:val="0"/>
                <w:caps w:val="0"/>
                <w:color w:val="000000"/>
                <w:spacing w:val="0"/>
                <w:sz w:val="21"/>
                <w:szCs w:val="21"/>
              </w:rPr>
              <w:t>信访举报投诉类申请</w:t>
            </w:r>
            <w:bookmarkEnd w:id="7"/>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2.重复申请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3.要求提供公开出版物</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pPr>
            <w:r>
              <w:rPr>
                <w:rFonts w:hint="default" w:ascii="仿宋_GB2312" w:hAnsi="sans-serif" w:eastAsia="仿宋_GB2312" w:cs="仿宋_GB2312"/>
                <w:i w:val="0"/>
                <w:iCs w:val="0"/>
                <w:caps w:val="0"/>
                <w:color w:val="000000"/>
                <w:spacing w:val="0"/>
                <w:sz w:val="21"/>
                <w:szCs w:val="21"/>
              </w:rPr>
              <w:t>4.无正当理由大量反复申请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default" w:ascii="仿宋_GB2312" w:hAnsi="sans-serif" w:eastAsia="仿宋_GB2312" w:cs="仿宋_GB2312"/>
                <w:i w:val="0"/>
                <w:iCs w:val="0"/>
                <w:caps w:val="0"/>
                <w:color w:val="000000"/>
                <w:spacing w:val="0"/>
                <w:sz w:val="21"/>
                <w:szCs w:val="21"/>
              </w:rPr>
              <w:t>5.要求行政机关确认或重新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210"/>
            </w:pPr>
            <w:r>
              <w:rPr>
                <w:rFonts w:hint="default" w:ascii="仿宋_GB2312" w:hAnsi="sans-serif" w:eastAsia="仿宋_GB2312" w:cs="仿宋_GB2312"/>
                <w:i w:val="0"/>
                <w:iCs w:val="0"/>
                <w:caps w:val="0"/>
                <w:color w:val="000000"/>
                <w:spacing w:val="0"/>
                <w:sz w:val="21"/>
                <w:szCs w:val="21"/>
              </w:rPr>
              <w:t>出具已获取信息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黑体" w:hAnsi="宋体" w:eastAsia="黑体" w:cs="黑体"/>
                <w:i w:val="0"/>
                <w:iCs w:val="0"/>
                <w:caps w:val="0"/>
                <w:color w:val="000000"/>
                <w:spacing w:val="0"/>
                <w:sz w:val="21"/>
                <w:szCs w:val="21"/>
              </w:rPr>
              <w:t>（六）其他处理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default" w:ascii="仿宋_GB2312" w:hAnsi="sans-serif" w:eastAsia="仿宋_GB2312" w:cs="仿宋_GB2312"/>
                <w:i w:val="0"/>
                <w:iCs w:val="0"/>
                <w:caps w:val="0"/>
                <w:color w:val="000000"/>
                <w:spacing w:val="0"/>
                <w:sz w:val="21"/>
                <w:szCs w:val="21"/>
              </w:rPr>
              <w:t>1.申请人无正当理由逾期不补正、行政机关不再处理其政府信息公开申请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default" w:ascii="仿宋_GB2312" w:hAnsi="sans-serif" w:eastAsia="仿宋_GB2312" w:cs="仿宋_GB2312"/>
                <w:i w:val="0"/>
                <w:iCs w:val="0"/>
                <w:caps w:val="0"/>
                <w:color w:val="000000"/>
                <w:spacing w:val="0"/>
                <w:sz w:val="21"/>
                <w:szCs w:val="21"/>
              </w:rPr>
              <w:t>2.申请人逾期未按收费通知要求缴纳费用、行政机关不再处理其政府信息公开申请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default" w:ascii="仿宋_GB2312" w:hAnsi="sans-serif" w:eastAsia="仿宋_GB2312" w:cs="仿宋_GB2312"/>
                <w:i w:val="0"/>
                <w:iCs w:val="0"/>
                <w:caps w:val="0"/>
                <w:color w:val="000000"/>
                <w:spacing w:val="0"/>
                <w:sz w:val="21"/>
                <w:szCs w:val="21"/>
              </w:rPr>
              <w:t>3.其他</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黑体" w:hAnsi="宋体" w:eastAsia="黑体" w:cs="黑体"/>
                <w:i w:val="0"/>
                <w:iCs w:val="0"/>
                <w:caps w:val="0"/>
                <w:color w:val="000000"/>
                <w:spacing w:val="0"/>
                <w:sz w:val="21"/>
                <w:szCs w:val="21"/>
              </w:rPr>
              <w:t>（七）总计</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pPr>
            <w:r>
              <w:rPr>
                <w:rFonts w:hint="eastAsia" w:ascii="黑体" w:hAnsi="宋体" w:eastAsia="黑体" w:cs="黑体"/>
                <w:i w:val="0"/>
                <w:iCs w:val="0"/>
                <w:caps w:val="0"/>
                <w:color w:val="000000"/>
                <w:spacing w:val="0"/>
                <w:sz w:val="21"/>
                <w:szCs w:val="21"/>
              </w:rPr>
              <w:t>四、结转下年度继续办理</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19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仿宋_GB2312" w:hAnsi="sans-serif" w:eastAsia="仿宋_GB2312" w:cs="仿宋_GB2312"/>
                <w:i w:val="0"/>
                <w:iCs w:val="0"/>
                <w:caps w:val="0"/>
                <w:color w:val="000000"/>
                <w:spacing w:val="0"/>
                <w:sz w:val="21"/>
                <w:szCs w:val="21"/>
              </w:rPr>
              <w:t>0</w:t>
            </w:r>
          </w:p>
        </w:tc>
      </w:tr>
    </w:tbl>
    <w:p>
      <w:pPr>
        <w:pStyle w:val="2"/>
        <w:keepNext w:val="0"/>
        <w:keepLines w:val="0"/>
        <w:widowControl/>
        <w:suppressLineNumbers w:val="0"/>
        <w:spacing w:before="0" w:beforeAutospacing="0" w:after="0" w:afterAutospacing="0" w:line="600" w:lineRule="atLeast"/>
        <w:ind w:left="630" w:right="0" w:firstLine="0"/>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四、因政府信息公开工作被申请行政复议、提起行政诉讼情况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561"/>
        <w:gridCol w:w="561"/>
        <w:gridCol w:w="561"/>
        <w:gridCol w:w="561"/>
        <w:gridCol w:w="637"/>
        <w:gridCol w:w="522"/>
        <w:gridCol w:w="561"/>
        <w:gridCol w:w="561"/>
        <w:gridCol w:w="561"/>
        <w:gridCol w:w="586"/>
        <w:gridCol w:w="561"/>
        <w:gridCol w:w="561"/>
        <w:gridCol w:w="561"/>
        <w:gridCol w:w="561"/>
        <w:gridCol w:w="60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19"/>
                <w:szCs w:val="19"/>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600" w:type="dxa"/>
            <w:vMerge w:val="restart"/>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eastAsia" w:ascii="黑体" w:hAnsi="宋体" w:eastAsia="黑体" w:cs="黑体"/>
                <w:i w:val="0"/>
                <w:iCs w:val="0"/>
                <w:caps w:val="0"/>
                <w:color w:val="000000"/>
                <w:spacing w:val="0"/>
                <w:sz w:val="19"/>
                <w:szCs w:val="19"/>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0" w:right="-165"/>
              <w:jc w:val="center"/>
            </w:pPr>
            <w:r>
              <w:rPr>
                <w:rFonts w:hint="eastAsia" w:ascii="黑体" w:hAnsi="宋体" w:eastAsia="黑体" w:cs="黑体"/>
                <w:i w:val="0"/>
                <w:iCs w:val="0"/>
                <w:caps w:val="0"/>
                <w:color w:val="000000"/>
                <w:spacing w:val="0"/>
                <w:sz w:val="19"/>
                <w:szCs w:val="19"/>
              </w:rPr>
              <w:t>维持</w:t>
            </w:r>
          </w:p>
        </w:tc>
        <w:tc>
          <w:tcPr>
            <w:tcW w:w="60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5" w:right="-135" w:firstLine="0"/>
              <w:jc w:val="center"/>
            </w:pPr>
            <w:r>
              <w:rPr>
                <w:rFonts w:hint="eastAsia" w:ascii="黑体" w:hAnsi="宋体" w:eastAsia="黑体" w:cs="黑体"/>
                <w:i w:val="0"/>
                <w:iCs w:val="0"/>
                <w:caps w:val="0"/>
                <w:color w:val="000000"/>
                <w:spacing w:val="0"/>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5" w:right="-90"/>
              <w:jc w:val="center"/>
            </w:pPr>
            <w:r>
              <w:rPr>
                <w:rFonts w:hint="eastAsia" w:ascii="黑体" w:hAnsi="宋体" w:eastAsia="黑体" w:cs="黑体"/>
                <w:i w:val="0"/>
                <w:iCs w:val="0"/>
                <w:caps w:val="0"/>
                <w:color w:val="000000"/>
                <w:spacing w:val="0"/>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eastAsia" w:ascii="黑体" w:hAnsi="宋体" w:eastAsia="黑体" w:cs="黑体"/>
                <w:i w:val="0"/>
                <w:iCs w:val="0"/>
                <w:caps w:val="0"/>
                <w:color w:val="000000"/>
                <w:spacing w:val="0"/>
                <w:sz w:val="19"/>
                <w:szCs w:val="19"/>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20"/>
              <w:jc w:val="center"/>
            </w:pPr>
            <w:r>
              <w:rPr>
                <w:rFonts w:hint="eastAsia" w:ascii="黑体" w:hAnsi="宋体" w:eastAsia="黑体" w:cs="黑体"/>
                <w:i w:val="0"/>
                <w:iCs w:val="0"/>
                <w:caps w:val="0"/>
                <w:color w:val="000000"/>
                <w:spacing w:val="0"/>
                <w:sz w:val="19"/>
                <w:szCs w:val="19"/>
              </w:rPr>
              <w:t>审结</w:t>
            </w:r>
          </w:p>
        </w:tc>
        <w:tc>
          <w:tcPr>
            <w:tcW w:w="660"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19"/>
                <w:szCs w:val="19"/>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19"/>
                <w:szCs w:val="19"/>
              </w:rPr>
              <w:t>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bookmarkStart w:id="8" w:name="_Hlk67039688"/>
            <w:r>
              <w:rPr>
                <w:rFonts w:hint="eastAsia" w:ascii="黑体" w:hAnsi="宋体" w:eastAsia="黑体" w:cs="黑体"/>
                <w:i w:val="0"/>
                <w:iCs w:val="0"/>
                <w:caps w:val="0"/>
                <w:color w:val="000000"/>
                <w:spacing w:val="0"/>
                <w:sz w:val="19"/>
                <w:szCs w:val="19"/>
              </w:rPr>
              <w:t>复议后起诉</w:t>
            </w:r>
            <w:bookmarkEnd w:id="8"/>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60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60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660"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120"/>
              <w:jc w:val="center"/>
            </w:pPr>
            <w:r>
              <w:rPr>
                <w:rFonts w:hint="eastAsia" w:ascii="黑体" w:hAnsi="宋体" w:eastAsia="黑体" w:cs="黑体"/>
                <w:i w:val="0"/>
                <w:iCs w:val="0"/>
                <w:caps w:val="0"/>
                <w:color w:val="000000"/>
                <w:spacing w:val="0"/>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90" w:right="-90"/>
              <w:jc w:val="center"/>
            </w:pPr>
            <w:r>
              <w:rPr>
                <w:rFonts w:hint="eastAsia" w:ascii="黑体" w:hAnsi="宋体" w:eastAsia="黑体" w:cs="黑体"/>
                <w:i w:val="0"/>
                <w:iCs w:val="0"/>
                <w:caps w:val="0"/>
                <w:color w:val="000000"/>
                <w:spacing w:val="0"/>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eastAsia" w:ascii="黑体" w:hAnsi="宋体" w:eastAsia="黑体" w:cs="黑体"/>
                <w:i w:val="0"/>
                <w:iCs w:val="0"/>
                <w:caps w:val="0"/>
                <w:color w:val="000000"/>
                <w:spacing w:val="0"/>
                <w:sz w:val="19"/>
                <w:szCs w:val="19"/>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20" w:right="-135"/>
              <w:jc w:val="center"/>
            </w:pPr>
            <w:r>
              <w:rPr>
                <w:rFonts w:hint="eastAsia" w:ascii="黑体" w:hAnsi="宋体" w:eastAsia="黑体" w:cs="黑体"/>
                <w:i w:val="0"/>
                <w:iCs w:val="0"/>
                <w:caps w:val="0"/>
                <w:color w:val="000000"/>
                <w:spacing w:val="0"/>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eastAsia" w:ascii="黑体" w:hAnsi="宋体" w:eastAsia="黑体" w:cs="黑体"/>
                <w:i w:val="0"/>
                <w:iCs w:val="0"/>
                <w:caps w:val="0"/>
                <w:color w:val="000000"/>
                <w:spacing w:val="0"/>
                <w:sz w:val="19"/>
                <w:szCs w:val="19"/>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65" w:right="-150"/>
              <w:jc w:val="center"/>
            </w:pPr>
            <w:r>
              <w:rPr>
                <w:rFonts w:hint="eastAsia" w:ascii="黑体" w:hAnsi="宋体" w:eastAsia="黑体" w:cs="黑体"/>
                <w:i w:val="0"/>
                <w:iCs w:val="0"/>
                <w:caps w:val="0"/>
                <w:color w:val="000000"/>
                <w:spacing w:val="0"/>
                <w:sz w:val="19"/>
                <w:szCs w:val="19"/>
              </w:rPr>
              <w:t>审结</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5" w:right="-75"/>
              <w:jc w:val="center"/>
            </w:pPr>
            <w:r>
              <w:rPr>
                <w:rFonts w:hint="eastAsia" w:ascii="黑体" w:hAnsi="宋体" w:eastAsia="黑体" w:cs="黑体"/>
                <w:i w:val="0"/>
                <w:iCs w:val="0"/>
                <w:caps w:val="0"/>
                <w:color w:val="000000"/>
                <w:spacing w:val="0"/>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eastAsia" w:ascii="黑体" w:hAnsi="宋体" w:eastAsia="黑体" w:cs="黑体"/>
                <w:i w:val="0"/>
                <w:iCs w:val="0"/>
                <w:caps w:val="0"/>
                <w:color w:val="000000"/>
                <w:spacing w:val="0"/>
                <w:sz w:val="19"/>
                <w:szCs w:val="19"/>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5" w:right="-120"/>
              <w:jc w:val="center"/>
            </w:pPr>
            <w:r>
              <w:rPr>
                <w:rFonts w:hint="eastAsia" w:ascii="黑体" w:hAnsi="宋体" w:eastAsia="黑体" w:cs="黑体"/>
                <w:i w:val="0"/>
                <w:iCs w:val="0"/>
                <w:caps w:val="0"/>
                <w:color w:val="000000"/>
                <w:spacing w:val="0"/>
                <w:sz w:val="19"/>
                <w:szCs w:val="19"/>
              </w:rPr>
              <w:t>纠正</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eastAsia" w:ascii="黑体" w:hAnsi="宋体" w:eastAsia="黑体" w:cs="黑体"/>
                <w:i w:val="0"/>
                <w:iCs w:val="0"/>
                <w:caps w:val="0"/>
                <w:color w:val="000000"/>
                <w:spacing w:val="0"/>
                <w:sz w:val="19"/>
                <w:szCs w:val="19"/>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80" w:right="-135" w:firstLine="0"/>
              <w:jc w:val="center"/>
            </w:pPr>
            <w:r>
              <w:rPr>
                <w:rFonts w:hint="eastAsia" w:ascii="黑体" w:hAnsi="宋体" w:eastAsia="黑体" w:cs="黑体"/>
                <w:i w:val="0"/>
                <w:iCs w:val="0"/>
                <w:caps w:val="0"/>
                <w:color w:val="000000"/>
                <w:spacing w:val="0"/>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105" w:firstLine="0"/>
              <w:jc w:val="center"/>
            </w:pPr>
            <w:r>
              <w:rPr>
                <w:rFonts w:hint="eastAsia" w:ascii="黑体" w:hAnsi="宋体" w:eastAsia="黑体" w:cs="黑体"/>
                <w:i w:val="0"/>
                <w:iCs w:val="0"/>
                <w:caps w:val="0"/>
                <w:color w:val="000000"/>
                <w:spacing w:val="0"/>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15" w:lineRule="atLeast"/>
              <w:ind w:left="0" w:right="0"/>
              <w:jc w:val="center"/>
            </w:pPr>
            <w:r>
              <w:rPr>
                <w:rFonts w:hint="default" w:ascii="Times New Roman" w:hAnsi="Times New Roman" w:eastAsia="宋体" w:cs="Times New Roman"/>
                <w:i w:val="0"/>
                <w:iCs w:val="0"/>
                <w:caps w:val="0"/>
                <w:color w:val="000000"/>
                <w:spacing w:val="0"/>
                <w:sz w:val="21"/>
                <w:szCs w:val="21"/>
              </w:rPr>
              <w:t>0</w:t>
            </w:r>
          </w:p>
        </w:tc>
      </w:tr>
    </w:tbl>
    <w:p>
      <w:pPr>
        <w:pStyle w:val="2"/>
        <w:keepNext w:val="0"/>
        <w:keepLines w:val="0"/>
        <w:widowControl/>
        <w:suppressLineNumbers w:val="0"/>
        <w:spacing w:before="0" w:beforeAutospacing="0" w:after="0" w:afterAutospacing="0" w:line="600" w:lineRule="atLeast"/>
        <w:ind w:left="645" w:right="0" w:firstLine="0"/>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五、存在的主要问题及改进情况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31"/>
          <w:szCs w:val="31"/>
        </w:rPr>
        <w:t>我单位政务信息公开工作主要存在以下问题有待改进：一是政务公开的内容还需进一步深化拓展。二是政府信息公开的队伍建设有待加强。为此，我单位下一步工作重点：</w:t>
      </w:r>
      <w:r>
        <w:rPr>
          <w:rFonts w:hint="default" w:ascii="仿宋_GB2312" w:hAnsi="sans-serif" w:eastAsia="仿宋_GB2312" w:cs="仿宋_GB2312"/>
          <w:b/>
          <w:bCs/>
          <w:i w:val="0"/>
          <w:iCs w:val="0"/>
          <w:caps w:val="0"/>
          <w:color w:val="000000"/>
          <w:spacing w:val="0"/>
          <w:sz w:val="31"/>
          <w:szCs w:val="31"/>
        </w:rPr>
        <w:t>一是不断丰富政府信息公开的内容。</w:t>
      </w:r>
      <w:r>
        <w:rPr>
          <w:rFonts w:hint="default" w:ascii="仿宋_GB2312" w:hAnsi="sans-serif" w:eastAsia="仿宋_GB2312" w:cs="仿宋_GB2312"/>
          <w:i w:val="0"/>
          <w:iCs w:val="0"/>
          <w:caps w:val="0"/>
          <w:color w:val="000000"/>
          <w:spacing w:val="0"/>
          <w:sz w:val="31"/>
          <w:szCs w:val="31"/>
        </w:rPr>
        <w:t>明确相关涉及内容科室职责责任，做到应公开尽公开，提高信息更新质量。</w:t>
      </w:r>
      <w:r>
        <w:rPr>
          <w:rFonts w:hint="default" w:ascii="仿宋_GB2312" w:hAnsi="sans-serif" w:eastAsia="仿宋_GB2312" w:cs="仿宋_GB2312"/>
          <w:b/>
          <w:bCs/>
          <w:i w:val="0"/>
          <w:iCs w:val="0"/>
          <w:caps w:val="0"/>
          <w:color w:val="000000"/>
          <w:spacing w:val="0"/>
          <w:sz w:val="31"/>
          <w:szCs w:val="31"/>
        </w:rPr>
        <w:t>二是加强信息公开工作人员的业务培训。</w:t>
      </w:r>
      <w:r>
        <w:rPr>
          <w:rFonts w:hint="default" w:ascii="仿宋_GB2312" w:hAnsi="sans-serif" w:eastAsia="仿宋_GB2312" w:cs="仿宋_GB2312"/>
          <w:i w:val="0"/>
          <w:iCs w:val="0"/>
          <w:caps w:val="0"/>
          <w:color w:val="000000"/>
          <w:spacing w:val="0"/>
          <w:sz w:val="31"/>
          <w:szCs w:val="31"/>
        </w:rPr>
        <w:t>组织开展本机关信息公开工作人员的业务培训，增强工作人员政务公开意识，提高政府信息采集、编辑、管理能力，努力提高政府信息公开水平。</w:t>
      </w:r>
    </w:p>
    <w:p>
      <w:pPr>
        <w:pStyle w:val="2"/>
        <w:keepNext w:val="0"/>
        <w:keepLines w:val="0"/>
        <w:widowControl/>
        <w:suppressLineNumbers w:val="0"/>
        <w:spacing w:before="0" w:beforeAutospacing="0" w:after="0" w:afterAutospacing="0" w:line="600" w:lineRule="atLeast"/>
        <w:ind w:left="0" w:right="0" w:firstLine="600"/>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0"/>
          <w:szCs w:val="30"/>
        </w:rPr>
        <w:t> </w:t>
      </w:r>
      <w:r>
        <w:rPr>
          <w:rFonts w:hint="eastAsia" w:ascii="黑体" w:hAnsi="宋体" w:eastAsia="黑体" w:cs="黑体"/>
          <w:i w:val="0"/>
          <w:iCs w:val="0"/>
          <w:caps w:val="0"/>
          <w:color w:val="000000"/>
          <w:spacing w:val="0"/>
          <w:sz w:val="31"/>
          <w:szCs w:val="31"/>
        </w:rPr>
        <w:t>六、其他需要报告的事项</w:t>
      </w:r>
    </w:p>
    <w:p>
      <w:pPr>
        <w:ind w:firstLine="620" w:firstLineChars="200"/>
        <w:jc w:val="both"/>
        <w:rPr>
          <w:rFonts w:hint="default" w:ascii="仿宋_GB2312" w:hAnsi="sans-serif" w:eastAsia="仿宋_GB2312" w:cs="仿宋_GB2312"/>
          <w:i w:val="0"/>
          <w:iCs w:val="0"/>
          <w:caps w:val="0"/>
          <w:color w:val="000000"/>
          <w:spacing w:val="0"/>
          <w:sz w:val="31"/>
          <w:szCs w:val="31"/>
        </w:rPr>
      </w:pPr>
      <w:r>
        <w:rPr>
          <w:rFonts w:hint="default" w:ascii="仿宋_GB2312" w:hAnsi="sans-serif" w:eastAsia="仿宋_GB2312" w:cs="仿宋_GB2312"/>
          <w:i w:val="0"/>
          <w:iCs w:val="0"/>
          <w:caps w:val="0"/>
          <w:color w:val="000000"/>
          <w:spacing w:val="0"/>
          <w:sz w:val="31"/>
          <w:szCs w:val="31"/>
        </w:rPr>
        <w:t>1.</w:t>
      </w:r>
      <w:r>
        <w:rPr>
          <w:rFonts w:ascii="仿宋_GB2312" w:hAnsi="宋体" w:eastAsia="仿宋_GB2312" w:cs="仿宋_GB2312"/>
          <w:i w:val="0"/>
          <w:iCs w:val="0"/>
          <w:caps w:val="0"/>
          <w:color w:val="000000"/>
          <w:spacing w:val="0"/>
          <w:sz w:val="31"/>
          <w:szCs w:val="31"/>
        </w:rPr>
        <w:t>收取信息处理费情况方面。</w:t>
      </w:r>
      <w:r>
        <w:rPr>
          <w:rFonts w:hint="default" w:ascii="仿宋_GB2312" w:hAnsi="sans-serif" w:eastAsia="仿宋_GB2312" w:cs="仿宋_GB2312"/>
          <w:i w:val="0"/>
          <w:iCs w:val="0"/>
          <w:caps w:val="0"/>
          <w:color w:val="000000"/>
          <w:spacing w:val="0"/>
          <w:sz w:val="31"/>
          <w:szCs w:val="31"/>
        </w:rPr>
        <w:t>依据《政府信息公开信息处理费管理办法》，本年度未收取政府信息公开信息处理费。</w:t>
      </w:r>
    </w:p>
    <w:p>
      <w:pPr>
        <w:ind w:firstLine="620" w:firstLineChars="200"/>
        <w:jc w:val="both"/>
        <w:rPr>
          <w:rFonts w:hint="default" w:ascii="仿宋_GB2312" w:hAnsi="sans-serif" w:eastAsia="仿宋_GB2312" w:cs="仿宋_GB2312"/>
          <w:i w:val="0"/>
          <w:iCs w:val="0"/>
          <w:caps w:val="0"/>
          <w:color w:val="000000"/>
          <w:spacing w:val="0"/>
          <w:sz w:val="31"/>
          <w:szCs w:val="31"/>
        </w:rPr>
      </w:pPr>
      <w:r>
        <w:rPr>
          <w:rFonts w:hint="default" w:ascii="仿宋_GB2312" w:hAnsi="sans-serif" w:eastAsia="仿宋_GB2312" w:cs="仿宋_GB2312"/>
          <w:i w:val="0"/>
          <w:iCs w:val="0"/>
          <w:caps w:val="0"/>
          <w:color w:val="000000"/>
          <w:spacing w:val="0"/>
          <w:sz w:val="31"/>
          <w:szCs w:val="31"/>
        </w:rPr>
        <w:t>2.</w:t>
      </w:r>
      <w:r>
        <w:rPr>
          <w:rFonts w:ascii="仿宋_GB2312" w:hAnsi="宋体" w:eastAsia="仿宋_GB2312" w:cs="仿宋_GB2312"/>
          <w:i w:val="0"/>
          <w:iCs w:val="0"/>
          <w:caps w:val="0"/>
          <w:color w:val="000000"/>
          <w:spacing w:val="0"/>
          <w:sz w:val="31"/>
          <w:szCs w:val="31"/>
        </w:rPr>
        <w:t>落实上级年度政务公开工作要点情况。</w:t>
      </w:r>
      <w:r>
        <w:rPr>
          <w:rFonts w:hint="default" w:ascii="仿宋_GB2312" w:hAnsi="sans-serif" w:eastAsia="仿宋_GB2312" w:cs="仿宋_GB2312"/>
          <w:i w:val="0"/>
          <w:iCs w:val="0"/>
          <w:caps w:val="0"/>
          <w:color w:val="000000"/>
          <w:spacing w:val="0"/>
          <w:sz w:val="31"/>
          <w:szCs w:val="31"/>
        </w:rPr>
        <w:t>认真落实滕州市政府办公室制定的2022年度政务公开工作要点，扎实做好信息公开工作。</w:t>
      </w:r>
    </w:p>
    <w:p>
      <w:pPr>
        <w:ind w:firstLine="620" w:firstLineChars="200"/>
        <w:jc w:val="both"/>
        <w:rPr>
          <w:rFonts w:hint="default" w:ascii="仿宋_GB2312" w:hAnsi="sans-serif" w:eastAsia="仿宋_GB2312" w:cs="仿宋_GB2312"/>
          <w:i w:val="0"/>
          <w:iCs w:val="0"/>
          <w:caps w:val="0"/>
          <w:color w:val="000000"/>
          <w:spacing w:val="0"/>
          <w:sz w:val="31"/>
          <w:szCs w:val="31"/>
        </w:rPr>
      </w:pPr>
      <w:r>
        <w:rPr>
          <w:rFonts w:hint="default" w:ascii="仿宋_GB2312" w:hAnsi="sans-serif" w:eastAsia="仿宋_GB2312" w:cs="仿宋_GB2312"/>
          <w:i w:val="0"/>
          <w:iCs w:val="0"/>
          <w:caps w:val="0"/>
          <w:color w:val="000000"/>
          <w:spacing w:val="0"/>
          <w:sz w:val="31"/>
          <w:szCs w:val="31"/>
        </w:rPr>
        <w:t>3.</w:t>
      </w:r>
      <w:r>
        <w:rPr>
          <w:rFonts w:ascii="仿宋_GB2312" w:hAnsi="宋体" w:eastAsia="仿宋_GB2312" w:cs="仿宋_GB2312"/>
          <w:i w:val="0"/>
          <w:iCs w:val="0"/>
          <w:caps w:val="0"/>
          <w:color w:val="000000"/>
          <w:spacing w:val="0"/>
          <w:sz w:val="31"/>
          <w:szCs w:val="31"/>
        </w:rPr>
        <w:t>人大代表建议和政协提案办理情况方面。</w:t>
      </w:r>
      <w:r>
        <w:rPr>
          <w:rFonts w:hint="default" w:ascii="仿宋_GB2312" w:hAnsi="sans-serif" w:eastAsia="仿宋_GB2312" w:cs="仿宋_GB2312"/>
          <w:i w:val="0"/>
          <w:iCs w:val="0"/>
          <w:caps w:val="0"/>
          <w:color w:val="000000"/>
          <w:spacing w:val="0"/>
          <w:sz w:val="31"/>
          <w:szCs w:val="31"/>
        </w:rPr>
        <w:t>2022年，市文化和旅游局高度重视人大代表建议和政协提案的办理工作，严格落实市委市政府关于建议提案办理的有关要求,坚持办理答复必须做到合法合规合理合情。办理人大代表建议8件、政协提案22件，并将办理结果在政务公开网站进行了公开。</w:t>
      </w:r>
    </w:p>
    <w:p>
      <w:pPr>
        <w:ind w:firstLine="620" w:firstLineChars="200"/>
        <w:jc w:val="both"/>
        <w:rPr>
          <w:rFonts w:hint="default" w:ascii="仿宋_GB2312" w:hAnsi="sans-serif" w:eastAsia="仿宋_GB2312" w:cs="仿宋_GB2312"/>
          <w:i w:val="0"/>
          <w:iCs w:val="0"/>
          <w:caps w:val="0"/>
          <w:color w:val="000000"/>
          <w:spacing w:val="0"/>
          <w:sz w:val="31"/>
          <w:szCs w:val="31"/>
        </w:rPr>
      </w:pPr>
      <w:r>
        <w:rPr>
          <w:rFonts w:hint="default" w:ascii="仿宋_GB2312" w:hAnsi="sans-serif" w:eastAsia="仿宋_GB2312" w:cs="仿宋_GB2312"/>
          <w:i w:val="0"/>
          <w:iCs w:val="0"/>
          <w:caps w:val="0"/>
          <w:color w:val="000000"/>
          <w:spacing w:val="0"/>
          <w:sz w:val="31"/>
          <w:szCs w:val="31"/>
        </w:rPr>
        <w:t>4.</w:t>
      </w:r>
      <w:r>
        <w:rPr>
          <w:rFonts w:ascii="仿宋_GB2312" w:hAnsi="宋体" w:eastAsia="仿宋_GB2312" w:cs="仿宋_GB2312"/>
          <w:i w:val="0"/>
          <w:iCs w:val="0"/>
          <w:caps w:val="0"/>
          <w:color w:val="000000"/>
          <w:spacing w:val="0"/>
          <w:sz w:val="31"/>
          <w:szCs w:val="31"/>
        </w:rPr>
        <w:t>开展政务公开创新方面。</w:t>
      </w:r>
      <w:r>
        <w:rPr>
          <w:rFonts w:hint="default" w:ascii="仿宋_GB2312" w:hAnsi="sans-serif" w:eastAsia="仿宋_GB2312" w:cs="仿宋_GB2312"/>
          <w:i w:val="0"/>
          <w:iCs w:val="0"/>
          <w:caps w:val="0"/>
          <w:color w:val="000000"/>
          <w:spacing w:val="0"/>
          <w:sz w:val="31"/>
          <w:szCs w:val="31"/>
        </w:rPr>
        <w:t>突出工作重点，紧密结合局机关工作职能，新增公共关注的旅游领域相关情况。</w:t>
      </w:r>
    </w:p>
    <w:p>
      <w:pPr>
        <w:ind w:firstLine="620" w:firstLineChars="200"/>
        <w:jc w:val="both"/>
        <w:rPr>
          <w:rFonts w:hint="default" w:ascii="仿宋_GB2312" w:hAnsi="sans-serif" w:eastAsia="仿宋_GB2312" w:cs="仿宋_GB2312"/>
          <w:i w:val="0"/>
          <w:iCs w:val="0"/>
          <w:caps w:val="0"/>
          <w:color w:val="000000"/>
          <w:spacing w:val="0"/>
          <w:sz w:val="31"/>
          <w:szCs w:val="31"/>
        </w:rPr>
      </w:pPr>
      <w:r>
        <w:rPr>
          <w:rFonts w:hint="default" w:ascii="仿宋_GB2312" w:hAnsi="sans-serif" w:eastAsia="仿宋_GB2312" w:cs="仿宋_GB2312"/>
          <w:i w:val="0"/>
          <w:iCs w:val="0"/>
          <w:caps w:val="0"/>
          <w:color w:val="000000"/>
          <w:spacing w:val="0"/>
          <w:sz w:val="31"/>
          <w:szCs w:val="31"/>
        </w:rPr>
        <w:t>5.本单位政府信息公开工作年度报告数据统计需要说明的事项：无。</w:t>
      </w:r>
    </w:p>
    <w:p>
      <w:pPr>
        <w:ind w:firstLine="620" w:firstLineChars="200"/>
        <w:jc w:val="both"/>
        <w:rPr>
          <w:rFonts w:hint="default" w:ascii="仿宋_GB2312" w:hAnsi="sans-serif" w:eastAsia="仿宋_GB2312" w:cs="仿宋_GB2312"/>
          <w:i w:val="0"/>
          <w:iCs w:val="0"/>
          <w:caps w:val="0"/>
          <w:color w:val="000000"/>
          <w:spacing w:val="0"/>
          <w:sz w:val="31"/>
          <w:szCs w:val="31"/>
        </w:rPr>
      </w:pPr>
      <w:r>
        <w:rPr>
          <w:rFonts w:hint="default" w:ascii="仿宋_GB2312" w:hAnsi="sans-serif" w:eastAsia="仿宋_GB2312" w:cs="仿宋_GB2312"/>
          <w:i w:val="0"/>
          <w:iCs w:val="0"/>
          <w:caps w:val="0"/>
          <w:color w:val="000000"/>
          <w:spacing w:val="0"/>
          <w:sz w:val="31"/>
          <w:szCs w:val="31"/>
        </w:rPr>
        <w:t>6.其他有关文件专门要求通过政府信息公开工作年度报告予以报告的事项：无。</w:t>
      </w:r>
    </w:p>
    <w:p>
      <w:pPr>
        <w:ind w:firstLine="620" w:firstLineChars="200"/>
        <w:jc w:val="both"/>
        <w:rPr>
          <w:rFonts w:hint="default" w:ascii="仿宋_GB2312" w:hAnsi="sans-serif" w:eastAsia="仿宋_GB2312" w:cs="仿宋_GB2312"/>
          <w:i w:val="0"/>
          <w:iCs w:val="0"/>
          <w:caps w:val="0"/>
          <w:color w:val="000000"/>
          <w:spacing w:val="0"/>
          <w:sz w:val="31"/>
          <w:szCs w:val="31"/>
        </w:rPr>
      </w:pPr>
      <w:r>
        <w:rPr>
          <w:rFonts w:hint="default" w:ascii="仿宋_GB2312" w:hAnsi="sans-serif" w:eastAsia="仿宋_GB2312" w:cs="仿宋_GB2312"/>
          <w:i w:val="0"/>
          <w:iCs w:val="0"/>
          <w:caps w:val="0"/>
          <w:color w:val="000000"/>
          <w:spacing w:val="0"/>
          <w:sz w:val="31"/>
          <w:szCs w:val="31"/>
        </w:rPr>
        <w:t>7.</w:t>
      </w:r>
      <w:r>
        <w:rPr>
          <w:rFonts w:ascii="仿宋_GB2312" w:hAnsi="宋体" w:eastAsia="仿宋_GB2312" w:cs="仿宋_GB2312"/>
          <w:i w:val="0"/>
          <w:iCs w:val="0"/>
          <w:caps w:val="0"/>
          <w:color w:val="000000"/>
          <w:spacing w:val="0"/>
          <w:sz w:val="31"/>
          <w:szCs w:val="31"/>
        </w:rPr>
        <w:t>本报告的电子版可在</w:t>
      </w:r>
      <w:r>
        <w:rPr>
          <w:rFonts w:hint="eastAsia" w:ascii="sans-serif" w:hAnsi="sans-serif" w:eastAsia="宋体" w:cs="sans-serif"/>
          <w:i w:val="0"/>
          <w:iCs w:val="0"/>
          <w:caps w:val="0"/>
          <w:color w:val="000000"/>
          <w:spacing w:val="0"/>
          <w:sz w:val="31"/>
          <w:szCs w:val="31"/>
          <w:lang w:eastAsia="zh-CN"/>
        </w:rPr>
        <w:t>“</w:t>
      </w:r>
      <w:r>
        <w:rPr>
          <w:rFonts w:hint="eastAsia" w:ascii="仿宋_GB2312" w:hAnsi="宋体" w:eastAsia="仿宋_GB2312" w:cs="仿宋_GB2312"/>
          <w:i w:val="0"/>
          <w:iCs w:val="0"/>
          <w:caps w:val="0"/>
          <w:color w:val="000000"/>
          <w:spacing w:val="0"/>
          <w:sz w:val="31"/>
          <w:szCs w:val="31"/>
        </w:rPr>
        <w:t>中国滕州网</w:t>
      </w:r>
      <w:r>
        <w:rPr>
          <w:rFonts w:hint="eastAsia" w:ascii="sans-serif" w:hAnsi="sans-serif" w:eastAsia="宋体" w:cs="sans-serif"/>
          <w:i w:val="0"/>
          <w:iCs w:val="0"/>
          <w:caps w:val="0"/>
          <w:color w:val="000000"/>
          <w:spacing w:val="0"/>
          <w:sz w:val="31"/>
          <w:szCs w:val="31"/>
          <w:lang w:eastAsia="zh-CN"/>
        </w:rPr>
        <w:t>”</w:t>
      </w:r>
      <w:r>
        <w:rPr>
          <w:rFonts w:hint="eastAsia" w:ascii="仿宋_GB2312" w:hAnsi="宋体" w:eastAsia="仿宋_GB2312" w:cs="仿宋_GB2312"/>
          <w:i w:val="0"/>
          <w:iCs w:val="0"/>
          <w:caps w:val="0"/>
          <w:color w:val="000000"/>
          <w:spacing w:val="0"/>
          <w:sz w:val="31"/>
          <w:szCs w:val="31"/>
        </w:rPr>
        <w:t>（http://www.tengzhou.gov.cn/）网站查询和下载。如对本报告有任何疑问，请与滕州市文化和旅游局办公室联系（地址：滕州市政务中心A325C，电话：0632-5513792；电子邮箱：tzwlj@zz.shandong.cn）。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TYzNGFkOWQxYTVjOTg5NWE2OWRhYjk2YmYzYWQifQ=="/>
  </w:docVars>
  <w:rsids>
    <w:rsidRoot w:val="00000000"/>
    <w:rsid w:val="01C33C63"/>
    <w:rsid w:val="0865674A"/>
    <w:rsid w:val="1188480C"/>
    <w:rsid w:val="12E110C3"/>
    <w:rsid w:val="1AC217DA"/>
    <w:rsid w:val="28DC11A7"/>
    <w:rsid w:val="2E243EDC"/>
    <w:rsid w:val="373A29CC"/>
    <w:rsid w:val="3C997A7F"/>
    <w:rsid w:val="48F8100F"/>
    <w:rsid w:val="4C470795"/>
    <w:rsid w:val="50432A5E"/>
    <w:rsid w:val="55382970"/>
    <w:rsid w:val="65541BF9"/>
    <w:rsid w:val="674C6B8B"/>
    <w:rsid w:val="71AA7EE2"/>
    <w:rsid w:val="7594476E"/>
    <w:rsid w:val="7996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2440</Words>
  <Characters>2578</Characters>
  <Lines>0</Lines>
  <Paragraphs>0</Paragraphs>
  <TotalTime>11</TotalTime>
  <ScaleCrop>false</ScaleCrop>
  <LinksUpToDate>false</LinksUpToDate>
  <CharactersWithSpaces>2590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2023-02-06T02:23:00Z</dcterms:created>
  <dc:creator>hp</dc:creator>
  <cp:lastModifiedBy>toutou</cp:lastModifiedBy>
  <dcterms:modified xsi:type="dcterms:W3CDTF">2023-11-14T08:14:44Z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4AA647BE3C3D4833BB9266F20DCCDD42</vt:lpwstr>
  </property>
</Properties>
</file>