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ind w:firstLine="760" w:firstLineChars="200"/>
        <w:jc w:val="center"/>
        <w:textAlignment w:val="auto"/>
      </w:pPr>
      <w:r>
        <w:rPr>
          <w:rFonts w:hint="eastAsia" w:ascii="宋体" w:hAnsi="宋体" w:eastAsia="宋体" w:cs="宋体"/>
          <w:color w:val="000000"/>
          <w:kern w:val="0"/>
          <w:sz w:val="38"/>
          <w:szCs w:val="38"/>
          <w:lang w:val="en-US" w:eastAsia="zh-CN" w:bidi="ar"/>
        </w:rPr>
        <w:t>姜屯镇 2022年度政府信息公开工作年度报告</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bookmarkStart w:id="11" w:name="_GoBack"/>
      <w:r>
        <w:rPr>
          <w:rFonts w:ascii="仿宋_GB2312" w:hAnsi="sans-serif" w:eastAsia="仿宋_GB2312" w:cs="仿宋_GB2312"/>
          <w:b w:val="0"/>
          <w:bCs w:val="0"/>
          <w:i w:val="0"/>
          <w:iCs w:val="0"/>
          <w:caps w:val="0"/>
          <w:color w:val="000000"/>
          <w:spacing w:val="0"/>
          <w:sz w:val="32"/>
          <w:szCs w:val="32"/>
          <w:shd w:val="clear" w:color="auto" w:fill="FFFFFF"/>
        </w:rPr>
        <w:t>根据《中华人民共和国政府信息公开条例》、《山东省政府信息公开办法》规定和省政府办公厅、枣庄市政府办公室、滕州市政府办公室《关于做好</w:t>
      </w:r>
      <w:r>
        <w:rPr>
          <w:rFonts w:hint="eastAsia" w:ascii="仿宋_GB2312" w:hAnsi="Calibri" w:eastAsia="仿宋_GB2312" w:cs="仿宋_GB2312"/>
          <w:b w:val="0"/>
          <w:bCs w:val="0"/>
          <w:i w:val="0"/>
          <w:iCs w:val="0"/>
          <w:caps w:val="0"/>
          <w:color w:val="000000"/>
          <w:spacing w:val="0"/>
          <w:sz w:val="32"/>
          <w:szCs w:val="32"/>
          <w:shd w:val="clear" w:color="auto" w:fill="FFFFFF"/>
        </w:rPr>
        <w:t>2022</w:t>
      </w:r>
      <w:r>
        <w:rPr>
          <w:rFonts w:hint="eastAsia" w:ascii="仿宋_GB2312" w:hAnsi="sans-serif" w:eastAsia="仿宋_GB2312" w:cs="仿宋_GB2312"/>
          <w:b w:val="0"/>
          <w:bCs w:val="0"/>
          <w:i w:val="0"/>
          <w:iCs w:val="0"/>
          <w:caps w:val="0"/>
          <w:color w:val="000000"/>
          <w:spacing w:val="0"/>
          <w:sz w:val="32"/>
          <w:szCs w:val="32"/>
          <w:shd w:val="clear" w:color="auto" w:fill="FFFFFF"/>
        </w:rPr>
        <w:t>年政府信息公开工作年度报告编制发布工作的通知》要求和有关文件要求，</w:t>
      </w: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结合姜屯镇人民政府 2022年度信息公开工作实际，编制本报告。报告主要内容包括：主动公开政府信息情况、依申请公开政府信息情况、建议提案办理公开情况、政府信息管理情况、公开平台建设情况、监督保障情况、政府信息公开工作存在的主要问题及改进情况等。现向社会公开姜屯镇人民政府2022年政府信息公开工作年度报告。本报告所列数据的统计时限自 2022年 1 月 1 日起至 2022年 12 月 31 日止。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6"/>
          <w:szCs w:val="26"/>
          <w:lang w:val="en-US" w:eastAsia="zh-CN" w:bidi="ar"/>
        </w:rPr>
      </w:pPr>
      <w:r>
        <w:drawing>
          <wp:inline distT="0" distB="0" distL="114300" distR="114300">
            <wp:extent cx="5268595" cy="3440430"/>
            <wp:effectExtent l="0" t="0" r="8255" b="762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4"/>
                    <a:stretch>
                      <a:fillRect/>
                    </a:stretch>
                  </pic:blipFill>
                  <pic:spPr>
                    <a:xfrm>
                      <a:off x="0" y="0"/>
                      <a:ext cx="5268595" cy="344043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一、总体情况2022年以来，姜屯镇坚持以习近平新时代中国特色社会主义思想为指导，秉持“以人为本、服务群众”的工作思路，不断加强组织领导，明确责任分工，夯实工作基础，提升服务质量，优化政府信息公开及公民的依申请公开内容，提升政府工作透明度，保障公民知情权、监督权，另外，紧紧围绕上级关于全面深化政务公开的有关部署，准确把握新时代政务公开工作的职责定位和面临的新形势，细化分解任务，加大督导力度，坚持“以公开为常态、不公开为例外”原则，全面提升政务公开质量和实效，有效地保障了公民的知情权，努力打造法治政府、创新政府、廉洁政府和服务型政府。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drawing>
          <wp:inline distT="0" distB="0" distL="114300" distR="114300">
            <wp:extent cx="5264785" cy="3848735"/>
            <wp:effectExtent l="0" t="0" r="12065" b="18415"/>
            <wp:docPr id="2" name="图片 8" descr="微信图片_20230129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微信图片_20230129100151"/>
                    <pic:cNvPicPr>
                      <a:picLocks noChangeAspect="1"/>
                    </pic:cNvPicPr>
                  </pic:nvPicPr>
                  <pic:blipFill>
                    <a:blip r:embed="rId5"/>
                    <a:stretch>
                      <a:fillRect/>
                    </a:stretch>
                  </pic:blipFill>
                  <pic:spPr>
                    <a:xfrm>
                      <a:off x="0" y="0"/>
                      <a:ext cx="5264785" cy="384873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1.政府信息主动公开情况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姜屯镇通过滕州市政务公开网、姜屯镇人民政府网站、微信等多种途径，及时准确地公开政府信息，共累计更新发布</w:t>
      </w:r>
      <w:bookmarkStart w:id="0" w:name="OLE_LINK1"/>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政务信息</w:t>
      </w:r>
      <w:bookmarkEnd w:id="0"/>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 1200余篇，姜屯镇人民政府网站 1000余篇，通过微信公众平台发布信息1300 余条。</w:t>
      </w:r>
      <w:r>
        <w:rPr>
          <w:rFonts w:hint="eastAsia" w:ascii="仿宋_GB2312" w:hAnsi="sans-serif" w:eastAsia="仿宋_GB2312" w:cs="仿宋_GB2312"/>
          <w:b w:val="0"/>
          <w:bCs w:val="0"/>
          <w:i w:val="0"/>
          <w:iCs w:val="0"/>
          <w:caps w:val="0"/>
          <w:color w:val="000000"/>
          <w:spacing w:val="0"/>
          <w:sz w:val="32"/>
          <w:szCs w:val="32"/>
          <w:shd w:val="clear" w:color="auto" w:fill="FFFFFF"/>
        </w:rPr>
        <w:t>其中，通知公告</w:t>
      </w:r>
      <w:r>
        <w:rPr>
          <w:rFonts w:hint="eastAsia" w:ascii="仿宋_GB2312" w:eastAsia="仿宋_GB2312" w:cs="仿宋_GB2312"/>
          <w:b w:val="0"/>
          <w:bCs w:val="0"/>
          <w:i w:val="0"/>
          <w:iCs w:val="0"/>
          <w:caps w:val="0"/>
          <w:color w:val="000000"/>
          <w:spacing w:val="0"/>
          <w:sz w:val="32"/>
          <w:szCs w:val="32"/>
          <w:shd w:val="clear" w:color="auto" w:fill="FFFFFF"/>
          <w:lang w:val="en-US" w:eastAsia="zh-CN"/>
        </w:rPr>
        <w:t>29</w:t>
      </w:r>
      <w:r>
        <w:rPr>
          <w:rFonts w:hint="eastAsia" w:ascii="仿宋_GB2312" w:hAnsi="sans-serif" w:eastAsia="仿宋_GB2312" w:cs="仿宋_GB2312"/>
          <w:b w:val="0"/>
          <w:bCs w:val="0"/>
          <w:i w:val="0"/>
          <w:iCs w:val="0"/>
          <w:caps w:val="0"/>
          <w:color w:val="000000"/>
          <w:spacing w:val="0"/>
          <w:sz w:val="32"/>
          <w:szCs w:val="32"/>
          <w:shd w:val="clear" w:color="auto" w:fill="FFFFFF"/>
        </w:rPr>
        <w:t>条，政策文件</w:t>
      </w: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3</w:t>
      </w:r>
      <w:r>
        <w:rPr>
          <w:rFonts w:hint="eastAsia" w:ascii="仿宋_GB2312" w:hAnsi="sans-serif" w:eastAsia="仿宋_GB2312" w:cs="仿宋_GB2312"/>
          <w:b w:val="0"/>
          <w:bCs w:val="0"/>
          <w:i w:val="0"/>
          <w:iCs w:val="0"/>
          <w:caps w:val="0"/>
          <w:color w:val="000000"/>
          <w:spacing w:val="0"/>
          <w:sz w:val="32"/>
          <w:szCs w:val="32"/>
          <w:shd w:val="clear" w:color="auto" w:fill="FFFFFF"/>
        </w:rPr>
        <w:t>条，规划计划</w:t>
      </w:r>
      <w:r>
        <w:rPr>
          <w:rFonts w:hint="eastAsia" w:ascii="仿宋_GB2312" w:hAnsi="Calibri" w:eastAsia="仿宋_GB2312" w:cs="仿宋_GB2312"/>
          <w:b w:val="0"/>
          <w:bCs w:val="0"/>
          <w:i w:val="0"/>
          <w:iCs w:val="0"/>
          <w:caps w:val="0"/>
          <w:color w:val="000000"/>
          <w:spacing w:val="0"/>
          <w:sz w:val="32"/>
          <w:szCs w:val="32"/>
          <w:shd w:val="clear" w:color="auto" w:fill="FFFFFF"/>
        </w:rPr>
        <w:t>1</w:t>
      </w:r>
      <w:r>
        <w:rPr>
          <w:rFonts w:hint="eastAsia" w:ascii="仿宋_GB2312" w:hAnsi="sans-serif" w:eastAsia="仿宋_GB2312" w:cs="仿宋_GB2312"/>
          <w:b w:val="0"/>
          <w:bCs w:val="0"/>
          <w:i w:val="0"/>
          <w:iCs w:val="0"/>
          <w:caps w:val="0"/>
          <w:color w:val="000000"/>
          <w:spacing w:val="0"/>
          <w:sz w:val="32"/>
          <w:szCs w:val="32"/>
          <w:shd w:val="clear" w:color="auto" w:fill="FFFFFF"/>
        </w:rPr>
        <w:t>条，组织管理</w:t>
      </w:r>
      <w:r>
        <w:rPr>
          <w:rFonts w:hint="eastAsia" w:ascii="仿宋_GB2312" w:hAnsi="Calibri" w:eastAsia="仿宋_GB2312" w:cs="仿宋_GB2312"/>
          <w:b w:val="0"/>
          <w:bCs w:val="0"/>
          <w:i w:val="0"/>
          <w:iCs w:val="0"/>
          <w:caps w:val="0"/>
          <w:color w:val="000000"/>
          <w:spacing w:val="0"/>
          <w:sz w:val="32"/>
          <w:szCs w:val="32"/>
          <w:shd w:val="clear" w:color="auto" w:fill="FFFFFF"/>
        </w:rPr>
        <w:t>11</w:t>
      </w:r>
      <w:r>
        <w:rPr>
          <w:rFonts w:hint="eastAsia" w:ascii="仿宋_GB2312" w:hAnsi="sans-serif" w:eastAsia="仿宋_GB2312" w:cs="仿宋_GB2312"/>
          <w:b w:val="0"/>
          <w:bCs w:val="0"/>
          <w:i w:val="0"/>
          <w:iCs w:val="0"/>
          <w:caps w:val="0"/>
          <w:color w:val="000000"/>
          <w:spacing w:val="0"/>
          <w:sz w:val="32"/>
          <w:szCs w:val="32"/>
          <w:shd w:val="clear" w:color="auto" w:fill="FFFFFF"/>
        </w:rPr>
        <w:t>条，公开基本目录</w:t>
      </w:r>
      <w:r>
        <w:rPr>
          <w:rFonts w:hint="eastAsia" w:ascii="仿宋_GB2312" w:hAnsi="Calibri" w:eastAsia="仿宋_GB2312" w:cs="仿宋_GB2312"/>
          <w:b w:val="0"/>
          <w:bCs w:val="0"/>
          <w:i w:val="0"/>
          <w:iCs w:val="0"/>
          <w:caps w:val="0"/>
          <w:color w:val="000000"/>
          <w:spacing w:val="0"/>
          <w:sz w:val="32"/>
          <w:szCs w:val="32"/>
          <w:shd w:val="clear" w:color="auto" w:fill="FFFFFF"/>
        </w:rPr>
        <w:t>2</w:t>
      </w:r>
      <w:r>
        <w:rPr>
          <w:rFonts w:hint="eastAsia" w:ascii="仿宋_GB2312" w:hAnsi="sans-serif" w:eastAsia="仿宋_GB2312" w:cs="仿宋_GB2312"/>
          <w:b w:val="0"/>
          <w:bCs w:val="0"/>
          <w:i w:val="0"/>
          <w:iCs w:val="0"/>
          <w:caps w:val="0"/>
          <w:color w:val="000000"/>
          <w:spacing w:val="0"/>
          <w:sz w:val="32"/>
          <w:szCs w:val="32"/>
          <w:shd w:val="clear" w:color="auto" w:fill="FFFFFF"/>
        </w:rPr>
        <w:t>条。</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仿宋_GB2312" w:hAnsi="sans-serif" w:eastAsia="仿宋_GB2312" w:cs="仿宋_GB2312"/>
          <w:b w:val="0"/>
          <w:bCs w:val="0"/>
          <w:i w:val="0"/>
          <w:iCs w:val="0"/>
          <w:caps w:val="0"/>
          <w:color w:val="000000"/>
          <w:spacing w:val="0"/>
          <w:sz w:val="32"/>
          <w:szCs w:val="32"/>
          <w:shd w:val="clear" w:color="auto" w:fill="FFFFFF"/>
        </w:rPr>
      </w:pPr>
      <w:r>
        <w:drawing>
          <wp:inline distT="0" distB="0" distL="114300" distR="114300">
            <wp:extent cx="5274310" cy="3254375"/>
            <wp:effectExtent l="0" t="0" r="2540" b="3175"/>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pic:cNvPicPr>
                  </pic:nvPicPr>
                  <pic:blipFill>
                    <a:blip r:embed="rId6"/>
                    <a:stretch>
                      <a:fillRect/>
                    </a:stretch>
                  </pic:blipFill>
                  <pic:spPr>
                    <a:xfrm>
                      <a:off x="0" y="0"/>
                      <a:ext cx="5274310" cy="325437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一是突出重点领域信息公开。2022年，主动公开重点领域信息共 21条。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二是加强政策解读，积极回应百姓诉求。高度重视政策解读工作，一方面对公开的政策文件高质量做好基础文字解读，除名录、名单类文件外，解读和关联率达 100%；另一方面多渠道多形式做好政策创新性解读，除官网这一平台，充分运用广播、公告栏等传统渠道和微信公众号等新媒体渠道，以多形式易了解的形式公开政府信息，保障群众“看得见”“听得懂”“能理解”。为社会公众提供了更加高效、优质的信息公开服务。 </w:t>
      </w:r>
    </w:p>
    <w:p>
      <w:pPr>
        <w:keepNext w:val="0"/>
        <w:keepLines w:val="0"/>
        <w:pageBreakBefore w:val="0"/>
        <w:kinsoku/>
        <w:overflowPunct/>
        <w:topLinePunct w:val="0"/>
        <w:autoSpaceDE/>
        <w:autoSpaceDN/>
        <w:bidi w:val="0"/>
        <w:adjustRightInd/>
        <w:snapToGrid/>
        <w:ind w:firstLine="420" w:firstLineChars="200"/>
        <w:textAlignment w:val="auto"/>
        <w:rPr>
          <w:rFonts w:hint="eastAsia" w:eastAsia="宋体"/>
          <w:lang w:eastAsia="zh-CN"/>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center"/>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drawing>
          <wp:inline distT="0" distB="0" distL="114300" distR="114300">
            <wp:extent cx="5272405" cy="4450080"/>
            <wp:effectExtent l="0" t="0" r="4445" b="7620"/>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7"/>
                    <a:stretch>
                      <a:fillRect/>
                    </a:stretch>
                  </pic:blipFill>
                  <pic:spPr>
                    <a:xfrm>
                      <a:off x="0" y="0"/>
                      <a:ext cx="5272405" cy="445008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（二）收到和处理政府信息公开申请情况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2022 年以来，坚持“归口办理、依法有据、严谨规范、慎重稳妥”的原则，完善受理、审查、处理、答复以及保存备查等各环节流程,保证依申请公开流程科学、程序合法、答复规范，示范指引，真正提升效能、服务于民。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1、公开概况。2022年姜屯镇共受理 0 件政府信息公开申请，结转上年政府信息公开申请 0 件，均为自然人提交。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2、处理情况。共答复政府信息公开申请0件，按时办结0件，按时办结率 100%。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（三）政府信息管理情况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2022 年以来，姜屯镇坚持依规范管理政府信息公开情况，一方面严 格落实公文公开属性源头认定机制，各部门报请镇政府发文的，须明确标识主动公开、依申请公开、不予公开属性，并同步报送政策解读稿件。另一方面明确信息公开时限要求，确保信息上传及时、避免出现空白栏 目，扎实做好信息上传维护工作。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四）公开平台建设情况2022年，我镇对政务公开网站各栏目进行全面核查，确保信息上传及时、避免出现空白栏目，扎实做好信息上传维护工作。同时，以姜屯镇人民政府门户网站为第一平台，完善了镇政务信息公开栏，通过微信、今日头条等公众号及时收集社情民意，及时回答并解决公众关心的热点、难点、焦点问题，增强了公众对政府的信任度。在工作执行上,能够认真落实市政府信息公开领导小组及其办公室的各项部署，较好地完成了信息公开办交办的工作任务。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五）监督保障情况为加强对政府信息公开工作的领导，成立了由镇长为组长，分管领导为副组长，宣传信息科科长为成员的领导小组，明确政务公开信息发布员，切实履行本镇政府信息公开的指导协调和督促检查职责。下设办公室，由镇宣传科负责推进、指导、协调、监督全镇政府信息公开工作，积极与上级对接，形成了上下联动、覆盖面广的信息公开网络体系，保证工作的顺利开展。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二、主动公开政府信息情况</w:t>
      </w:r>
    </w:p>
    <w:tbl>
      <w:tblPr>
        <w:tblStyle w:val="4"/>
        <w:tblW w:w="886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039"/>
        <w:gridCol w:w="2054"/>
        <w:gridCol w:w="2054"/>
        <w:gridCol w:w="271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45" w:hRule="atLeast"/>
          <w:jc w:val="center"/>
        </w:trPr>
        <w:tc>
          <w:tcPr>
            <w:tcW w:w="861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信息内容</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本年制发件数</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本年废止件数</w:t>
            </w:r>
          </w:p>
        </w:tc>
        <w:tc>
          <w:tcPr>
            <w:tcW w:w="1995" w:type="dxa"/>
            <w:tcBorders>
              <w:top w:val="nil"/>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规章</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sz w:val="19"/>
                <w:szCs w:val="19"/>
              </w:rPr>
            </w:pPr>
            <w:r>
              <w:rPr>
                <w:rFonts w:hint="eastAsia" w:ascii="仿宋_GB2312" w:eastAsia="仿宋_GB2312" w:cs="仿宋_GB2312"/>
                <w:b w:val="0"/>
                <w:bCs w:val="0"/>
                <w:color w:val="000000"/>
                <w:spacing w:val="0"/>
                <w:sz w:val="19"/>
                <w:szCs w:val="19"/>
              </w:rPr>
              <w:t>　　</w:t>
            </w:r>
            <w:r>
              <w:rPr>
                <w:rFonts w:hint="eastAsia" w:ascii="仿宋_GB2312" w:hAnsi="Calibri" w:eastAsia="仿宋_GB2312" w:cs="仿宋_GB2312"/>
                <w:b w:val="0"/>
                <w:bCs w:val="0"/>
                <w:color w:val="000000"/>
                <w:spacing w:val="0"/>
                <w:sz w:val="19"/>
                <w:szCs w:val="19"/>
              </w:rPr>
              <w:t>0</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sz w:val="19"/>
                <w:szCs w:val="19"/>
              </w:rPr>
            </w:pPr>
            <w:r>
              <w:rPr>
                <w:color w:val="000000"/>
                <w:spacing w:val="0"/>
                <w:sz w:val="19"/>
                <w:szCs w:val="19"/>
              </w:rPr>
              <w:t> </w:t>
            </w:r>
            <w:r>
              <w:rPr>
                <w:rFonts w:hint="eastAsia" w:ascii="仿宋_GB2312" w:eastAsia="仿宋_GB2312" w:cs="仿宋_GB2312"/>
                <w:b w:val="0"/>
                <w:bCs w:val="0"/>
                <w:color w:val="000000"/>
                <w:spacing w:val="0"/>
                <w:sz w:val="19"/>
                <w:szCs w:val="19"/>
              </w:rPr>
              <w:t>　</w:t>
            </w:r>
            <w:r>
              <w:rPr>
                <w:rFonts w:hint="eastAsia" w:ascii="仿宋_GB2312" w:hAnsi="Calibri" w:eastAsia="仿宋_GB2312" w:cs="仿宋_GB2312"/>
                <w:b w:val="0"/>
                <w:bCs w:val="0"/>
                <w:color w:val="000000"/>
                <w:spacing w:val="0"/>
                <w:sz w:val="19"/>
                <w:szCs w:val="19"/>
              </w:rPr>
              <w:t>0</w:t>
            </w:r>
          </w:p>
        </w:tc>
        <w:tc>
          <w:tcPr>
            <w:tcW w:w="1995" w:type="dxa"/>
            <w:tcBorders>
              <w:top w:val="nil"/>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sz w:val="19"/>
                <w:szCs w:val="19"/>
              </w:rPr>
            </w:pPr>
            <w:r>
              <w:rPr>
                <w:rFonts w:hint="eastAsia" w:ascii="仿宋_GB2312" w:eastAsia="仿宋_GB2312" w:cs="仿宋_GB2312"/>
                <w:b w:val="0"/>
                <w:bCs w:val="0"/>
                <w:color w:val="000000"/>
                <w:spacing w:val="0"/>
                <w:sz w:val="19"/>
                <w:szCs w:val="19"/>
              </w:rPr>
              <w:t>　</w:t>
            </w:r>
            <w:r>
              <w:rPr>
                <w:rFonts w:hint="eastAsia" w:ascii="仿宋_GB2312" w:hAnsi="Calibri" w:eastAsia="仿宋_GB2312" w:cs="仿宋_GB2312"/>
                <w:b w:val="0"/>
                <w:bC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行政规范性文件</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sz w:val="19"/>
                <w:szCs w:val="19"/>
              </w:rPr>
            </w:pPr>
            <w:r>
              <w:rPr>
                <w:rFonts w:hint="eastAsia" w:ascii="仿宋_GB2312" w:eastAsia="仿宋_GB2312" w:cs="仿宋_GB2312"/>
                <w:b w:val="0"/>
                <w:bCs w:val="0"/>
                <w:color w:val="000000"/>
                <w:spacing w:val="0"/>
                <w:sz w:val="19"/>
                <w:szCs w:val="19"/>
              </w:rPr>
              <w:t>　　</w:t>
            </w:r>
            <w:r>
              <w:rPr>
                <w:rFonts w:hint="eastAsia" w:ascii="仿宋_GB2312" w:hAnsi="Calibri" w:eastAsia="仿宋_GB2312" w:cs="仿宋_GB2312"/>
                <w:b w:val="0"/>
                <w:bCs w:val="0"/>
                <w:color w:val="000000"/>
                <w:spacing w:val="0"/>
                <w:sz w:val="19"/>
                <w:szCs w:val="19"/>
              </w:rPr>
              <w:t>0</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sz w:val="19"/>
                <w:szCs w:val="19"/>
              </w:rPr>
            </w:pPr>
            <w:r>
              <w:rPr>
                <w:color w:val="000000"/>
                <w:spacing w:val="0"/>
                <w:sz w:val="19"/>
                <w:szCs w:val="19"/>
              </w:rPr>
              <w:t> </w:t>
            </w:r>
            <w:r>
              <w:rPr>
                <w:rFonts w:hint="eastAsia" w:ascii="仿宋_GB2312" w:eastAsia="仿宋_GB2312" w:cs="仿宋_GB2312"/>
                <w:b w:val="0"/>
                <w:bCs w:val="0"/>
                <w:color w:val="000000"/>
                <w:spacing w:val="0"/>
                <w:sz w:val="19"/>
                <w:szCs w:val="19"/>
              </w:rPr>
              <w:t>　</w:t>
            </w:r>
            <w:r>
              <w:rPr>
                <w:rFonts w:hint="eastAsia" w:ascii="仿宋_GB2312" w:hAnsi="Calibri" w:eastAsia="仿宋_GB2312" w:cs="仿宋_GB2312"/>
                <w:b w:val="0"/>
                <w:bCs w:val="0"/>
                <w:color w:val="000000"/>
                <w:spacing w:val="0"/>
                <w:sz w:val="19"/>
                <w:szCs w:val="19"/>
              </w:rPr>
              <w:t>0</w:t>
            </w:r>
          </w:p>
        </w:tc>
        <w:tc>
          <w:tcPr>
            <w:tcW w:w="1995" w:type="dxa"/>
            <w:tcBorders>
              <w:top w:val="nil"/>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sz w:val="19"/>
                <w:szCs w:val="19"/>
              </w:rPr>
            </w:pPr>
            <w:r>
              <w:rPr>
                <w:rFonts w:hint="eastAsia" w:ascii="仿宋_GB2312" w:eastAsia="仿宋_GB2312" w:cs="仿宋_GB2312"/>
                <w:b w:val="0"/>
                <w:bCs w:val="0"/>
                <w:color w:val="000000"/>
                <w:spacing w:val="0"/>
                <w:sz w:val="19"/>
                <w:szCs w:val="19"/>
              </w:rPr>
              <w:t>　</w:t>
            </w:r>
            <w:r>
              <w:rPr>
                <w:rFonts w:hint="eastAsia" w:ascii="仿宋_GB2312" w:hAnsi="Calibri" w:eastAsia="仿宋_GB2312" w:cs="仿宋_GB2312"/>
                <w:b w:val="0"/>
                <w:bC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861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信息内容</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行政许可</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sz w:val="19"/>
                <w:szCs w:val="19"/>
              </w:rPr>
            </w:pPr>
            <w:r>
              <w:rPr>
                <w:rFonts w:hint="eastAsia" w:ascii="仿宋_GB2312" w:eastAsia="仿宋_GB2312" w:cs="仿宋_GB2312"/>
                <w:b w:val="0"/>
                <w:bCs w:val="0"/>
                <w:color w:val="000000"/>
                <w:spacing w:val="0"/>
                <w:sz w:val="19"/>
                <w:szCs w:val="19"/>
              </w:rPr>
              <w:t>　</w:t>
            </w:r>
            <w:r>
              <w:rPr>
                <w:rFonts w:hint="eastAsia" w:ascii="仿宋_GB2312" w:hAnsi="Calibri" w:eastAsia="仿宋_GB2312" w:cs="仿宋_GB2312"/>
                <w:b w:val="0"/>
                <w:bC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861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信息内容</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行政处罚</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sz w:val="19"/>
                <w:szCs w:val="19"/>
              </w:rPr>
            </w:pPr>
            <w:r>
              <w:rPr>
                <w:rFonts w:hint="eastAsia" w:ascii="仿宋_GB2312" w:eastAsia="仿宋_GB2312" w:cs="仿宋_GB2312"/>
                <w:b w:val="0"/>
                <w:bCs w:val="0"/>
                <w:color w:val="000000"/>
                <w:spacing w:val="0"/>
                <w:sz w:val="19"/>
                <w:szCs w:val="19"/>
              </w:rPr>
              <w:t>　</w:t>
            </w:r>
            <w:r>
              <w:rPr>
                <w:rFonts w:hint="eastAsia" w:ascii="仿宋_GB2312" w:hAnsi="Calibri" w:eastAsia="仿宋_GB2312" w:cs="仿宋_GB2312"/>
                <w:b w:val="0"/>
                <w:bC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行政强制</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sz w:val="19"/>
                <w:szCs w:val="19"/>
              </w:rPr>
            </w:pPr>
            <w:r>
              <w:rPr>
                <w:rFonts w:hint="eastAsia" w:ascii="仿宋_GB2312" w:eastAsia="仿宋_GB2312" w:cs="仿宋_GB2312"/>
                <w:b w:val="0"/>
                <w:bCs w:val="0"/>
                <w:color w:val="000000"/>
                <w:spacing w:val="0"/>
                <w:sz w:val="19"/>
                <w:szCs w:val="19"/>
              </w:rPr>
              <w:t>　</w:t>
            </w:r>
            <w:r>
              <w:rPr>
                <w:rFonts w:hint="eastAsia" w:ascii="仿宋_GB2312" w:hAnsi="Calibri" w:eastAsia="仿宋_GB2312" w:cs="仿宋_GB2312"/>
                <w:b w:val="0"/>
                <w:bC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861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jc w:val="center"/>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信息内容</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45" w:hRule="atLeast"/>
          <w:jc w:val="center"/>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行政事业性收费</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sz w:val="19"/>
                <w:szCs w:val="19"/>
              </w:rPr>
            </w:pPr>
            <w:r>
              <w:rPr>
                <w:rFonts w:hint="eastAsia" w:ascii="仿宋_GB2312" w:eastAsia="仿宋_GB2312" w:cs="仿宋_GB2312"/>
                <w:b w:val="0"/>
                <w:bCs w:val="0"/>
                <w:color w:val="000000"/>
                <w:spacing w:val="0"/>
                <w:sz w:val="19"/>
                <w:szCs w:val="19"/>
              </w:rPr>
              <w:t>　</w:t>
            </w:r>
            <w:r>
              <w:rPr>
                <w:rFonts w:hint="eastAsia" w:ascii="仿宋_GB2312" w:hAnsi="Calibri" w:eastAsia="仿宋_GB2312" w:cs="仿宋_GB2312"/>
                <w:b w:val="0"/>
                <w:bCs w:val="0"/>
                <w:color w:val="000000"/>
                <w:spacing w:val="0"/>
                <w:sz w:val="19"/>
                <w:szCs w:val="19"/>
              </w:rPr>
              <w:t>0</w:t>
            </w:r>
          </w:p>
        </w:tc>
      </w:tr>
    </w:tbl>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收到和处理政府信息公开申请情况</w:t>
      </w:r>
    </w:p>
    <w:tbl>
      <w:tblPr>
        <w:tblStyle w:val="4"/>
        <w:tblW w:w="930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923"/>
        <w:gridCol w:w="1113"/>
        <w:gridCol w:w="1646"/>
        <w:gridCol w:w="733"/>
        <w:gridCol w:w="733"/>
        <w:gridCol w:w="733"/>
        <w:gridCol w:w="733"/>
        <w:gridCol w:w="733"/>
        <w:gridCol w:w="865"/>
        <w:gridCol w:w="108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995" w:type="dxa"/>
            <w:gridSpan w:val="3"/>
            <w:vMerge w:val="restart"/>
            <w:tcBorders>
              <w:top w:val="single" w:color="000000" w:sz="8" w:space="0"/>
              <w:left w:val="single" w:color="000000" w:sz="8"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（本列数据的勾稽关系为：第一项加第二项之和，等于第三项加第四项之和）</w:t>
            </w:r>
          </w:p>
        </w:tc>
        <w:tc>
          <w:tcPr>
            <w:tcW w:w="3915" w:type="dxa"/>
            <w:gridSpan w:val="7"/>
            <w:tcBorders>
              <w:top w:val="single" w:color="000000" w:sz="8"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995" w:type="dxa"/>
            <w:gridSpan w:val="3"/>
            <w:vMerge w:val="continue"/>
            <w:tcBorders>
              <w:top w:val="single" w:color="000000" w:sz="8"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330" w:type="dxa"/>
            <w:vMerge w:val="restart"/>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自然人</w:t>
            </w:r>
          </w:p>
        </w:tc>
        <w:tc>
          <w:tcPr>
            <w:tcW w:w="2880" w:type="dxa"/>
            <w:gridSpan w:val="5"/>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法人或其他组织</w:t>
            </w:r>
          </w:p>
        </w:tc>
        <w:tc>
          <w:tcPr>
            <w:tcW w:w="285" w:type="dxa"/>
            <w:vMerge w:val="restart"/>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995" w:type="dxa"/>
            <w:gridSpan w:val="3"/>
            <w:vMerge w:val="continue"/>
            <w:tcBorders>
              <w:top w:val="single" w:color="000000" w:sz="8"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330"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商业企业</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科研机构</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社会公益组织</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法律服务机构</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其他</w:t>
            </w:r>
          </w:p>
        </w:tc>
        <w:tc>
          <w:tcPr>
            <w:tcW w:w="285" w:type="dxa"/>
            <w:vMerge w:val="continue"/>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16" w:hRule="atLeast"/>
          <w:jc w:val="center"/>
        </w:trPr>
        <w:tc>
          <w:tcPr>
            <w:tcW w:w="4995" w:type="dxa"/>
            <w:gridSpan w:val="3"/>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bookmarkStart w:id="1" w:name="_Hlk66973412"/>
            <w:bookmarkEnd w:id="1"/>
            <w:r>
              <w:rPr>
                <w:rFonts w:hint="eastAsia" w:ascii="仿宋_GB2312" w:eastAsia="仿宋_GB2312" w:cs="仿宋_GB2312"/>
                <w:b w:val="0"/>
                <w:bCs w:val="0"/>
                <w:spacing w:val="0"/>
                <w:sz w:val="19"/>
                <w:szCs w:val="19"/>
              </w:rPr>
              <w:t>一、本年新收政府信息公开申请数量</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16" w:hRule="atLeast"/>
          <w:jc w:val="center"/>
        </w:trPr>
        <w:tc>
          <w:tcPr>
            <w:tcW w:w="4995" w:type="dxa"/>
            <w:gridSpan w:val="3"/>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二、上年结转政府信息公开申请数量</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rFonts w:hint="eastAsia" w:eastAsia="宋体"/>
                <w:b w:val="0"/>
                <w:bCs w:val="0"/>
                <w:spacing w:val="0"/>
                <w:sz w:val="19"/>
                <w:szCs w:val="19"/>
                <w:lang w:val="en-US" w:eastAsia="zh-CN"/>
              </w:rPr>
            </w:pPr>
            <w:r>
              <w:rPr>
                <w:rFonts w:hint="eastAsia"/>
                <w:b w:val="0"/>
                <w:bCs w:val="0"/>
                <w:spacing w:val="0"/>
                <w:sz w:val="19"/>
                <w:szCs w:val="19"/>
                <w:lang w:val="en-US" w:eastAsia="zh-CN"/>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rFonts w:hint="eastAsia" w:eastAsia="宋体"/>
                <w:b w:val="0"/>
                <w:bCs w:val="0"/>
                <w:spacing w:val="0"/>
                <w:sz w:val="19"/>
                <w:szCs w:val="19"/>
                <w:lang w:val="en-US" w:eastAsia="zh-CN"/>
              </w:rPr>
            </w:pPr>
            <w:r>
              <w:rPr>
                <w:rFonts w:hint="eastAsia"/>
                <w:b w:val="0"/>
                <w:bCs w:val="0"/>
                <w:spacing w:val="0"/>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restart"/>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三、本年度办理结果</w:t>
            </w:r>
          </w:p>
        </w:tc>
        <w:tc>
          <w:tcPr>
            <w:tcW w:w="3975" w:type="dxa"/>
            <w:gridSpan w:val="2"/>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（一）予以公开</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rFonts w:hint="eastAsia" w:eastAsia="宋体"/>
                <w:b w:val="0"/>
                <w:bCs w:val="0"/>
                <w:spacing w:val="0"/>
                <w:sz w:val="19"/>
                <w:szCs w:val="19"/>
                <w:lang w:val="en-US" w:eastAsia="zh-CN"/>
              </w:rPr>
            </w:pPr>
            <w:r>
              <w:rPr>
                <w:rFonts w:hint="eastAsia"/>
                <w:b w:val="0"/>
                <w:bCs w:val="0"/>
                <w:spacing w:val="0"/>
                <w:sz w:val="19"/>
                <w:szCs w:val="19"/>
                <w:lang w:val="en-US" w:eastAsia="zh-CN"/>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rFonts w:hint="eastAsia" w:eastAsia="宋体"/>
                <w:b w:val="0"/>
                <w:bCs w:val="0"/>
                <w:spacing w:val="0"/>
                <w:sz w:val="19"/>
                <w:szCs w:val="19"/>
                <w:lang w:val="en-US" w:eastAsia="zh-CN"/>
              </w:rPr>
            </w:pPr>
            <w:r>
              <w:rPr>
                <w:rFonts w:hint="eastAsia"/>
                <w:b w:val="0"/>
                <w:bCs w:val="0"/>
                <w:spacing w:val="0"/>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3975" w:type="dxa"/>
            <w:gridSpan w:val="2"/>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bookmarkStart w:id="2" w:name="_Hlk66973981"/>
            <w:bookmarkEnd w:id="2"/>
            <w:r>
              <w:rPr>
                <w:rFonts w:hint="eastAsia" w:ascii="仿宋_GB2312" w:eastAsia="仿宋_GB2312" w:cs="仿宋_GB2312"/>
                <w:b w:val="0"/>
                <w:bCs w:val="0"/>
                <w:spacing w:val="0"/>
                <w:sz w:val="19"/>
                <w:szCs w:val="19"/>
              </w:rPr>
              <w:t>（二）部分公开（区分处理的，只计这一情形，不计其他情形）</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restart"/>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（三）不予公开</w:t>
            </w: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1.属于国家秘密</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bookmarkStart w:id="3" w:name="_Hlk66974104"/>
            <w:bookmarkEnd w:id="3"/>
            <w:r>
              <w:rPr>
                <w:rFonts w:hint="eastAsia" w:ascii="仿宋_GB2312" w:eastAsia="仿宋_GB2312" w:cs="仿宋_GB2312"/>
                <w:b w:val="0"/>
                <w:bCs w:val="0"/>
                <w:spacing w:val="0"/>
                <w:sz w:val="19"/>
                <w:szCs w:val="19"/>
              </w:rPr>
              <w:t>2.其他法律行政法规禁止公开</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3.危及“三安全一稳定”</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bookmarkStart w:id="4" w:name="_Hlk66974290"/>
            <w:bookmarkEnd w:id="4"/>
            <w:r>
              <w:rPr>
                <w:rFonts w:hint="eastAsia" w:ascii="仿宋_GB2312" w:eastAsia="仿宋_GB2312" w:cs="仿宋_GB2312"/>
                <w:b w:val="0"/>
                <w:bCs w:val="0"/>
                <w:spacing w:val="0"/>
                <w:sz w:val="19"/>
                <w:szCs w:val="19"/>
              </w:rPr>
              <w:t>4.保护第三方合法权益</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5.属于三类内部事务信息</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bookmarkStart w:id="5" w:name="_Hlk66974555"/>
            <w:bookmarkEnd w:id="5"/>
            <w:r>
              <w:rPr>
                <w:rFonts w:hint="eastAsia" w:ascii="仿宋_GB2312" w:eastAsia="仿宋_GB2312" w:cs="仿宋_GB2312"/>
                <w:b w:val="0"/>
                <w:bCs w:val="0"/>
                <w:spacing w:val="0"/>
                <w:sz w:val="19"/>
                <w:szCs w:val="19"/>
              </w:rPr>
              <w:t>6.属于四类过程性信息</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7.属于行政执法案卷</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bookmarkStart w:id="6" w:name="_Hlk66975211"/>
            <w:bookmarkEnd w:id="6"/>
            <w:r>
              <w:rPr>
                <w:rFonts w:hint="eastAsia" w:ascii="仿宋_GB2312" w:eastAsia="仿宋_GB2312" w:cs="仿宋_GB2312"/>
                <w:b w:val="0"/>
                <w:bCs w:val="0"/>
                <w:spacing w:val="0"/>
                <w:sz w:val="19"/>
                <w:szCs w:val="19"/>
              </w:rPr>
              <w:t>8.属于行政查询事项</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restart"/>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（四）无法提供</w:t>
            </w: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1.本机关不掌握相关政府信息</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bookmarkStart w:id="7" w:name="_Hlk66975392"/>
            <w:bookmarkEnd w:id="7"/>
            <w:r>
              <w:rPr>
                <w:rFonts w:hint="eastAsia" w:ascii="仿宋_GB2312" w:eastAsia="仿宋_GB2312" w:cs="仿宋_GB2312"/>
                <w:b w:val="0"/>
                <w:bCs w:val="0"/>
                <w:spacing w:val="0"/>
                <w:sz w:val="19"/>
                <w:szCs w:val="19"/>
              </w:rPr>
              <w:t>2.没有现成信息需要另行制作</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bookmarkStart w:id="8" w:name="_Hlk66975466"/>
            <w:bookmarkEnd w:id="8"/>
            <w:r>
              <w:rPr>
                <w:rFonts w:hint="eastAsia" w:ascii="仿宋_GB2312" w:eastAsia="仿宋_GB2312" w:cs="仿宋_GB2312"/>
                <w:b w:val="0"/>
                <w:bCs w:val="0"/>
                <w:spacing w:val="0"/>
                <w:sz w:val="19"/>
                <w:szCs w:val="19"/>
              </w:rPr>
              <w:t>3.补正后申请内容仍不明确</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restart"/>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（五）不予处理</w:t>
            </w: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bookmarkStart w:id="9" w:name="_Hlk66975537"/>
            <w:bookmarkEnd w:id="9"/>
            <w:r>
              <w:rPr>
                <w:rFonts w:hint="eastAsia" w:ascii="仿宋_GB2312" w:eastAsia="仿宋_GB2312" w:cs="仿宋_GB2312"/>
                <w:b w:val="0"/>
                <w:bCs w:val="0"/>
                <w:spacing w:val="0"/>
                <w:sz w:val="19"/>
                <w:szCs w:val="19"/>
              </w:rPr>
              <w:t>1.信访举报投诉类申请</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2.重复申请</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3.要求提供公开出版物</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4.无正当理由大量反复申请</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5.要求行政机关确认或重新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出具已获取信息</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restart"/>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（六）其他处理</w:t>
            </w:r>
          </w:p>
        </w:tc>
        <w:tc>
          <w:tcPr>
            <w:tcW w:w="2910" w:type="dxa"/>
            <w:tcBorders>
              <w:top w:val="single" w:color="000000" w:sz="6" w:space="0"/>
              <w:left w:val="single" w:color="000000" w:sz="6" w:space="0"/>
              <w:bottom w:val="single" w:color="000000" w:sz="6" w:space="0"/>
              <w:right w:val="nil"/>
            </w:tcBorders>
            <w:noWrap w:val="0"/>
            <w:tcMar>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1.申请人无正当理由逾期不补正、行政机关不再处理其政府信息公开申请</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2.申请人逾期未按收费通知要求缴纳费用、行政机关不再处理其政府信息公开申请</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855" w:type="dxa"/>
            <w:vMerge w:val="continue"/>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2910" w:type="dxa"/>
            <w:tcBorders>
              <w:top w:val="single" w:color="000000" w:sz="6" w:space="0"/>
              <w:left w:val="single" w:color="000000" w:sz="6" w:space="0"/>
              <w:bottom w:val="single" w:color="000000" w:sz="6" w:space="0"/>
              <w:right w:val="nil"/>
            </w:tcBorders>
            <w:noWrap w:val="0"/>
            <w:tcMar>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3.其他</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0" w:type="dxa"/>
            <w:vMerge w:val="continue"/>
            <w:tcBorders>
              <w:top w:val="single" w:color="000000" w:sz="6" w:space="0"/>
              <w:left w:val="single" w:color="000000" w:sz="8" w:space="0"/>
              <w:bottom w:val="single" w:color="000000" w:sz="6"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3975" w:type="dxa"/>
            <w:gridSpan w:val="2"/>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（七）总计</w:t>
            </w:r>
          </w:p>
        </w:tc>
        <w:tc>
          <w:tcPr>
            <w:tcW w:w="33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rFonts w:hint="eastAsia" w:eastAsia="宋体"/>
                <w:b w:val="0"/>
                <w:bCs w:val="0"/>
                <w:spacing w:val="0"/>
                <w:sz w:val="19"/>
                <w:szCs w:val="19"/>
                <w:lang w:val="en-US" w:eastAsia="zh-CN"/>
              </w:rPr>
            </w:pPr>
            <w:r>
              <w:rPr>
                <w:rFonts w:hint="eastAsia"/>
                <w:b w:val="0"/>
                <w:bCs w:val="0"/>
                <w:spacing w:val="0"/>
                <w:sz w:val="19"/>
                <w:szCs w:val="19"/>
                <w:lang w:val="en-US" w:eastAsia="zh-CN"/>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6"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6"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rFonts w:hint="eastAsia" w:eastAsia="宋体"/>
                <w:b w:val="0"/>
                <w:bCs w:val="0"/>
                <w:spacing w:val="0"/>
                <w:sz w:val="19"/>
                <w:szCs w:val="19"/>
                <w:lang w:val="en-US" w:eastAsia="zh-CN"/>
              </w:rPr>
            </w:pPr>
            <w:r>
              <w:rPr>
                <w:rFonts w:hint="eastAsia"/>
                <w:b w:val="0"/>
                <w:bCs w:val="0"/>
                <w:spacing w:val="0"/>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16" w:hRule="atLeast"/>
          <w:jc w:val="center"/>
        </w:trPr>
        <w:tc>
          <w:tcPr>
            <w:tcW w:w="4995" w:type="dxa"/>
            <w:gridSpan w:val="3"/>
            <w:tcBorders>
              <w:top w:val="single" w:color="000000" w:sz="6"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四、结转下年度继续办理</w:t>
            </w:r>
          </w:p>
        </w:tc>
        <w:tc>
          <w:tcPr>
            <w:tcW w:w="330" w:type="dxa"/>
            <w:tcBorders>
              <w:top w:val="single" w:color="000000" w:sz="6" w:space="0"/>
              <w:left w:val="single" w:color="000000" w:sz="6"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390" w:type="dxa"/>
            <w:tcBorders>
              <w:top w:val="single" w:color="000000" w:sz="6" w:space="0"/>
              <w:left w:val="single" w:color="000000" w:sz="6"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495" w:type="dxa"/>
            <w:tcBorders>
              <w:top w:val="single" w:color="000000" w:sz="6" w:space="0"/>
              <w:left w:val="single" w:color="000000" w:sz="6"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70" w:type="dxa"/>
            <w:tcBorders>
              <w:top w:val="single" w:color="000000" w:sz="6" w:space="0"/>
              <w:left w:val="single" w:color="000000" w:sz="6"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c>
          <w:tcPr>
            <w:tcW w:w="285" w:type="dxa"/>
            <w:tcBorders>
              <w:top w:val="single" w:color="000000" w:sz="6" w:space="0"/>
              <w:left w:val="single" w:color="000000" w:sz="6"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pacing w:val="0"/>
                <w:sz w:val="19"/>
                <w:szCs w:val="19"/>
              </w:rPr>
            </w:pPr>
            <w:r>
              <w:rPr>
                <w:rFonts w:hint="eastAsia" w:ascii="仿宋_GB2312" w:eastAsia="仿宋_GB2312" w:cs="仿宋_GB2312"/>
                <w:b w:val="0"/>
                <w:bCs w:val="0"/>
                <w:spacing w:val="0"/>
                <w:sz w:val="19"/>
                <w:szCs w:val="19"/>
              </w:rPr>
              <w:t>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四、政府信息公开行政复议、行政诉讼情况</w:t>
      </w:r>
    </w:p>
    <w:tbl>
      <w:tblPr>
        <w:tblStyle w:val="4"/>
        <w:tblW w:w="903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640"/>
        <w:gridCol w:w="640"/>
        <w:gridCol w:w="640"/>
        <w:gridCol w:w="640"/>
        <w:gridCol w:w="745"/>
        <w:gridCol w:w="640"/>
        <w:gridCol w:w="640"/>
        <w:gridCol w:w="640"/>
        <w:gridCol w:w="640"/>
        <w:gridCol w:w="745"/>
        <w:gridCol w:w="642"/>
        <w:gridCol w:w="640"/>
        <w:gridCol w:w="640"/>
        <w:gridCol w:w="640"/>
        <w:gridCol w:w="8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71" w:hRule="atLeast"/>
          <w:jc w:val="center"/>
        </w:trPr>
        <w:tc>
          <w:tcPr>
            <w:tcW w:w="2850" w:type="dxa"/>
            <w:gridSpan w:val="5"/>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400" w:firstLineChars="200"/>
              <w:jc w:val="center"/>
              <w:textAlignment w:val="auto"/>
              <w:rPr>
                <w:b w:val="0"/>
                <w:bCs w:val="0"/>
                <w:sz w:val="19"/>
                <w:szCs w:val="19"/>
              </w:rPr>
            </w:pPr>
            <w:r>
              <w:rPr>
                <w:rFonts w:hint="eastAsia" w:ascii="仿宋_GB2312" w:eastAsia="仿宋_GB2312" w:cs="仿宋_GB2312"/>
                <w:b w:val="0"/>
                <w:bCs w:val="0"/>
                <w:sz w:val="20"/>
                <w:szCs w:val="20"/>
              </w:rPr>
              <w:t>行政复议</w:t>
            </w:r>
          </w:p>
        </w:tc>
        <w:tc>
          <w:tcPr>
            <w:tcW w:w="5790" w:type="dxa"/>
            <w:gridSpan w:val="10"/>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400" w:firstLineChars="200"/>
              <w:jc w:val="center"/>
              <w:textAlignment w:val="auto"/>
              <w:rPr>
                <w:b w:val="0"/>
                <w:bCs w:val="0"/>
                <w:sz w:val="19"/>
                <w:szCs w:val="19"/>
              </w:rPr>
            </w:pPr>
            <w:r>
              <w:rPr>
                <w:rFonts w:hint="eastAsia" w:ascii="仿宋_GB2312" w:eastAsia="仿宋_GB2312" w:cs="仿宋_GB2312"/>
                <w:b w:val="0"/>
                <w:bCs w:val="0"/>
                <w:sz w:val="20"/>
                <w:szCs w:val="2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75" w:type="dxa"/>
            <w:vMerge w:val="restart"/>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44" w:right="-173" w:firstLine="400" w:firstLineChars="200"/>
              <w:jc w:val="center"/>
              <w:textAlignment w:val="auto"/>
              <w:rPr>
                <w:b w:val="0"/>
                <w:bCs w:val="0"/>
                <w:sz w:val="19"/>
                <w:szCs w:val="19"/>
              </w:rPr>
            </w:pPr>
            <w:r>
              <w:rPr>
                <w:rFonts w:hint="eastAsia" w:ascii="仿宋_GB2312" w:eastAsia="仿宋_GB2312" w:cs="仿宋_GB2312"/>
                <w:b w:val="0"/>
                <w:bCs w:val="0"/>
                <w:sz w:val="20"/>
                <w:szCs w:val="20"/>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44" w:right="-173" w:firstLine="400" w:firstLineChars="200"/>
              <w:jc w:val="center"/>
              <w:textAlignment w:val="auto"/>
              <w:rPr>
                <w:b w:val="0"/>
                <w:bCs w:val="0"/>
                <w:sz w:val="19"/>
                <w:szCs w:val="19"/>
              </w:rPr>
            </w:pPr>
            <w:r>
              <w:rPr>
                <w:rFonts w:hint="eastAsia" w:ascii="仿宋_GB2312" w:eastAsia="仿宋_GB2312" w:cs="仿宋_GB2312"/>
                <w:b w:val="0"/>
                <w:bCs w:val="0"/>
                <w:sz w:val="20"/>
                <w:szCs w:val="20"/>
              </w:rPr>
              <w:t>维持</w:t>
            </w:r>
          </w:p>
        </w:tc>
        <w:tc>
          <w:tcPr>
            <w:tcW w:w="390" w:type="dxa"/>
            <w:vMerge w:val="restart"/>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43" w:right="-130" w:firstLine="400" w:firstLineChars="200"/>
              <w:jc w:val="center"/>
              <w:textAlignment w:val="auto"/>
              <w:rPr>
                <w:b w:val="0"/>
                <w:bCs w:val="0"/>
                <w:sz w:val="19"/>
                <w:szCs w:val="19"/>
              </w:rPr>
            </w:pPr>
            <w:r>
              <w:rPr>
                <w:rFonts w:hint="eastAsia" w:ascii="仿宋_GB2312" w:eastAsia="仿宋_GB2312" w:cs="仿宋_GB2312"/>
                <w:b w:val="0"/>
                <w:bCs w:val="0"/>
                <w:sz w:val="20"/>
                <w:szCs w:val="20"/>
              </w:rPr>
              <w:t>结果纠正</w:t>
            </w:r>
          </w:p>
        </w:tc>
        <w:tc>
          <w:tcPr>
            <w:tcW w:w="390" w:type="dxa"/>
            <w:vMerge w:val="restart"/>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86" w:right="-101" w:firstLine="400" w:firstLineChars="200"/>
              <w:jc w:val="center"/>
              <w:textAlignment w:val="auto"/>
              <w:rPr>
                <w:b w:val="0"/>
                <w:bCs w:val="0"/>
                <w:sz w:val="19"/>
                <w:szCs w:val="19"/>
              </w:rPr>
            </w:pPr>
            <w:r>
              <w:rPr>
                <w:rFonts w:hint="eastAsia" w:ascii="仿宋_GB2312" w:eastAsia="仿宋_GB2312" w:cs="仿宋_GB2312"/>
                <w:b w:val="0"/>
                <w:bCs w:val="0"/>
                <w:sz w:val="20"/>
                <w:szCs w:val="20"/>
              </w:rPr>
              <w:t>其他结果</w:t>
            </w:r>
          </w:p>
        </w:tc>
        <w:tc>
          <w:tcPr>
            <w:tcW w:w="390" w:type="dxa"/>
            <w:vMerge w:val="restart"/>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15" w:right="-115" w:firstLine="400" w:firstLineChars="200"/>
              <w:jc w:val="center"/>
              <w:textAlignment w:val="auto"/>
              <w:rPr>
                <w:b w:val="0"/>
                <w:bCs w:val="0"/>
                <w:sz w:val="19"/>
                <w:szCs w:val="19"/>
              </w:rPr>
            </w:pPr>
            <w:r>
              <w:rPr>
                <w:rFonts w:hint="eastAsia" w:ascii="仿宋_GB2312" w:eastAsia="仿宋_GB2312" w:cs="仿宋_GB2312"/>
                <w:b w:val="0"/>
                <w:bCs w:val="0"/>
                <w:sz w:val="20"/>
                <w:szCs w:val="20"/>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15" w:right="-115" w:firstLine="400" w:firstLineChars="200"/>
              <w:jc w:val="center"/>
              <w:textAlignment w:val="auto"/>
              <w:rPr>
                <w:b w:val="0"/>
                <w:bCs w:val="0"/>
                <w:sz w:val="19"/>
                <w:szCs w:val="19"/>
              </w:rPr>
            </w:pPr>
            <w:r>
              <w:rPr>
                <w:rFonts w:hint="eastAsia" w:ascii="仿宋_GB2312" w:eastAsia="仿宋_GB2312" w:cs="仿宋_GB2312"/>
                <w:b w:val="0"/>
                <w:bCs w:val="0"/>
                <w:sz w:val="20"/>
                <w:szCs w:val="20"/>
              </w:rPr>
              <w:t>审结</w:t>
            </w:r>
          </w:p>
        </w:tc>
        <w:tc>
          <w:tcPr>
            <w:tcW w:w="450" w:type="dxa"/>
            <w:vMerge w:val="restart"/>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400" w:firstLineChars="200"/>
              <w:jc w:val="center"/>
              <w:textAlignment w:val="auto"/>
              <w:rPr>
                <w:b w:val="0"/>
                <w:bCs w:val="0"/>
                <w:sz w:val="19"/>
                <w:szCs w:val="19"/>
              </w:rPr>
            </w:pPr>
            <w:r>
              <w:rPr>
                <w:rFonts w:hint="eastAsia" w:ascii="仿宋_GB2312" w:eastAsia="仿宋_GB2312" w:cs="仿宋_GB2312"/>
                <w:b w:val="0"/>
                <w:bCs w:val="0"/>
                <w:sz w:val="20"/>
                <w:szCs w:val="20"/>
              </w:rPr>
              <w:t>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400" w:firstLineChars="200"/>
              <w:jc w:val="center"/>
              <w:textAlignment w:val="auto"/>
              <w:rPr>
                <w:b w:val="0"/>
                <w:bCs w:val="0"/>
                <w:sz w:val="19"/>
                <w:szCs w:val="19"/>
              </w:rPr>
            </w:pPr>
            <w:r>
              <w:rPr>
                <w:rFonts w:hint="eastAsia" w:ascii="仿宋_GB2312" w:eastAsia="仿宋_GB2312" w:cs="仿宋_GB2312"/>
                <w:b w:val="0"/>
                <w:bCs w:val="0"/>
                <w:sz w:val="20"/>
                <w:szCs w:val="20"/>
              </w:rPr>
              <w:t>计</w:t>
            </w:r>
          </w:p>
        </w:tc>
        <w:tc>
          <w:tcPr>
            <w:tcW w:w="2760" w:type="dxa"/>
            <w:gridSpan w:val="5"/>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400" w:firstLineChars="200"/>
              <w:jc w:val="center"/>
              <w:textAlignment w:val="auto"/>
              <w:rPr>
                <w:b w:val="0"/>
                <w:bCs w:val="0"/>
                <w:sz w:val="19"/>
                <w:szCs w:val="19"/>
              </w:rPr>
            </w:pPr>
            <w:r>
              <w:rPr>
                <w:rFonts w:hint="eastAsia" w:ascii="仿宋_GB2312" w:eastAsia="仿宋_GB2312" w:cs="仿宋_GB2312"/>
                <w:b w:val="0"/>
                <w:bCs w:val="0"/>
                <w:sz w:val="20"/>
                <w:szCs w:val="20"/>
              </w:rPr>
              <w:t>未经复议直接起诉</w:t>
            </w:r>
          </w:p>
        </w:tc>
        <w:tc>
          <w:tcPr>
            <w:tcW w:w="2820" w:type="dxa"/>
            <w:gridSpan w:val="5"/>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400" w:firstLineChars="200"/>
              <w:jc w:val="center"/>
              <w:textAlignment w:val="auto"/>
              <w:rPr>
                <w:b w:val="0"/>
                <w:bCs w:val="0"/>
                <w:sz w:val="19"/>
                <w:szCs w:val="19"/>
              </w:rPr>
            </w:pPr>
            <w:bookmarkStart w:id="10" w:name="_Hlk67039688"/>
            <w:bookmarkEnd w:id="10"/>
            <w:r>
              <w:rPr>
                <w:rFonts w:hint="eastAsia" w:ascii="仿宋_GB2312" w:eastAsia="仿宋_GB2312" w:cs="仿宋_GB2312"/>
                <w:b w:val="0"/>
                <w:bCs w:val="0"/>
                <w:sz w:val="20"/>
                <w:szCs w:val="20"/>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75" w:type="dxa"/>
            <w:vMerge w:val="continue"/>
            <w:tcBorders>
              <w:top w:val="nil"/>
              <w:left w:val="single" w:color="000000" w:sz="8" w:space="0"/>
              <w:bottom w:val="single" w:color="000000" w:sz="8"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390" w:type="dxa"/>
            <w:vMerge w:val="continue"/>
            <w:tcBorders>
              <w:top w:val="nil"/>
              <w:left w:val="single" w:color="000000" w:sz="8" w:space="0"/>
              <w:bottom w:val="single" w:color="000000" w:sz="8"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390" w:type="dxa"/>
            <w:vMerge w:val="continue"/>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390" w:type="dxa"/>
            <w:vMerge w:val="continue"/>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450" w:type="dxa"/>
            <w:vMerge w:val="continue"/>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keepNext w:val="0"/>
              <w:keepLines w:val="0"/>
              <w:pageBreakBefore w:val="0"/>
              <w:kinsoku/>
              <w:overflowPunct/>
              <w:topLinePunct w:val="0"/>
              <w:autoSpaceDE/>
              <w:autoSpaceDN/>
              <w:bidi w:val="0"/>
              <w:adjustRightInd/>
              <w:snapToGrid/>
              <w:ind w:firstLine="480" w:firstLineChars="200"/>
              <w:textAlignment w:val="auto"/>
              <w:rPr>
                <w:rFonts w:hint="eastAsia" w:ascii="宋体"/>
                <w:sz w:val="24"/>
                <w:szCs w:val="24"/>
              </w:rPr>
            </w:pPr>
          </w:p>
        </w:tc>
        <w:tc>
          <w:tcPr>
            <w:tcW w:w="34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01" w:right="-130" w:firstLine="400" w:firstLineChars="200"/>
              <w:jc w:val="center"/>
              <w:textAlignment w:val="auto"/>
              <w:rPr>
                <w:b w:val="0"/>
                <w:bCs w:val="0"/>
                <w:sz w:val="19"/>
                <w:szCs w:val="19"/>
              </w:rPr>
            </w:pPr>
            <w:r>
              <w:rPr>
                <w:rFonts w:hint="eastAsia" w:ascii="仿宋_GB2312" w:eastAsia="仿宋_GB2312" w:cs="仿宋_GB2312"/>
                <w:b w:val="0"/>
                <w:bCs w:val="0"/>
                <w:sz w:val="20"/>
                <w:szCs w:val="20"/>
              </w:rPr>
              <w:t>结果维持</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86" w:right="-86" w:firstLine="400" w:firstLineChars="200"/>
              <w:jc w:val="center"/>
              <w:textAlignment w:val="auto"/>
              <w:rPr>
                <w:b w:val="0"/>
                <w:bCs w:val="0"/>
                <w:sz w:val="19"/>
                <w:szCs w:val="19"/>
              </w:rPr>
            </w:pPr>
            <w:r>
              <w:rPr>
                <w:rFonts w:hint="eastAsia" w:ascii="仿宋_GB2312" w:eastAsia="仿宋_GB2312" w:cs="仿宋_GB2312"/>
                <w:b w:val="0"/>
                <w:bCs w:val="0"/>
                <w:sz w:val="20"/>
                <w:szCs w:val="20"/>
              </w:rPr>
              <w:t>结果纠正</w:t>
            </w:r>
          </w:p>
        </w:tc>
        <w:tc>
          <w:tcPr>
            <w:tcW w:w="390" w:type="dxa"/>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30" w:right="-130" w:firstLine="400" w:firstLineChars="200"/>
              <w:jc w:val="center"/>
              <w:textAlignment w:val="auto"/>
              <w:rPr>
                <w:b w:val="0"/>
                <w:bCs w:val="0"/>
                <w:sz w:val="19"/>
                <w:szCs w:val="19"/>
              </w:rPr>
            </w:pPr>
            <w:r>
              <w:rPr>
                <w:rFonts w:hint="eastAsia" w:ascii="仿宋_GB2312" w:eastAsia="仿宋_GB2312" w:cs="仿宋_GB2312"/>
                <w:b w:val="0"/>
                <w:bCs w:val="0"/>
                <w:sz w:val="20"/>
                <w:szCs w:val="20"/>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30" w:right="-130" w:firstLine="400" w:firstLineChars="200"/>
              <w:jc w:val="center"/>
              <w:textAlignment w:val="auto"/>
              <w:rPr>
                <w:b w:val="0"/>
                <w:bCs w:val="0"/>
                <w:sz w:val="19"/>
                <w:szCs w:val="19"/>
              </w:rPr>
            </w:pPr>
            <w:r>
              <w:rPr>
                <w:rFonts w:hint="eastAsia" w:ascii="仿宋_GB2312" w:eastAsia="仿宋_GB2312" w:cs="仿宋_GB2312"/>
                <w:b w:val="0"/>
                <w:bCs w:val="0"/>
                <w:sz w:val="20"/>
                <w:szCs w:val="20"/>
              </w:rPr>
              <w:t>结果</w:t>
            </w:r>
          </w:p>
        </w:tc>
        <w:tc>
          <w:tcPr>
            <w:tcW w:w="390" w:type="dxa"/>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58" w:right="-158" w:firstLine="400" w:firstLineChars="200"/>
              <w:jc w:val="center"/>
              <w:textAlignment w:val="auto"/>
              <w:rPr>
                <w:b w:val="0"/>
                <w:bCs w:val="0"/>
                <w:sz w:val="19"/>
                <w:szCs w:val="19"/>
              </w:rPr>
            </w:pPr>
            <w:r>
              <w:rPr>
                <w:rFonts w:hint="eastAsia" w:ascii="仿宋_GB2312" w:eastAsia="仿宋_GB2312" w:cs="仿宋_GB2312"/>
                <w:b w:val="0"/>
                <w:bCs w:val="0"/>
                <w:sz w:val="20"/>
                <w:szCs w:val="20"/>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58" w:right="-158" w:firstLine="400" w:firstLineChars="200"/>
              <w:jc w:val="center"/>
              <w:textAlignment w:val="auto"/>
              <w:rPr>
                <w:b w:val="0"/>
                <w:bCs w:val="0"/>
                <w:sz w:val="19"/>
                <w:szCs w:val="19"/>
              </w:rPr>
            </w:pPr>
            <w:r>
              <w:rPr>
                <w:rFonts w:hint="eastAsia" w:ascii="仿宋_GB2312" w:eastAsia="仿宋_GB2312" w:cs="仿宋_GB2312"/>
                <w:b w:val="0"/>
                <w:bCs w:val="0"/>
                <w:sz w:val="20"/>
                <w:szCs w:val="20"/>
              </w:rPr>
              <w:t>审结</w:t>
            </w:r>
          </w:p>
        </w:tc>
        <w:tc>
          <w:tcPr>
            <w:tcW w:w="390" w:type="dxa"/>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400" w:firstLineChars="200"/>
              <w:jc w:val="center"/>
              <w:textAlignment w:val="auto"/>
              <w:rPr>
                <w:b w:val="0"/>
                <w:bCs w:val="0"/>
                <w:sz w:val="19"/>
                <w:szCs w:val="19"/>
              </w:rPr>
            </w:pPr>
            <w:r>
              <w:rPr>
                <w:rFonts w:hint="eastAsia" w:ascii="仿宋_GB2312" w:eastAsia="仿宋_GB2312" w:cs="仿宋_GB2312"/>
                <w:b w:val="0"/>
                <w:bCs w:val="0"/>
                <w:sz w:val="20"/>
                <w:szCs w:val="20"/>
              </w:rPr>
              <w:t>总计</w:t>
            </w:r>
          </w:p>
        </w:tc>
        <w:tc>
          <w:tcPr>
            <w:tcW w:w="390" w:type="dxa"/>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01" w:right="-72" w:firstLine="400" w:firstLineChars="200"/>
              <w:jc w:val="center"/>
              <w:textAlignment w:val="auto"/>
              <w:rPr>
                <w:b w:val="0"/>
                <w:bCs w:val="0"/>
                <w:sz w:val="19"/>
                <w:szCs w:val="19"/>
              </w:rPr>
            </w:pPr>
            <w:r>
              <w:rPr>
                <w:rFonts w:hint="eastAsia" w:ascii="仿宋_GB2312" w:eastAsia="仿宋_GB2312" w:cs="仿宋_GB2312"/>
                <w:b w:val="0"/>
                <w:bCs w:val="0"/>
                <w:sz w:val="20"/>
                <w:szCs w:val="20"/>
              </w:rPr>
              <w:t>结果维持</w:t>
            </w:r>
          </w:p>
        </w:tc>
        <w:tc>
          <w:tcPr>
            <w:tcW w:w="390" w:type="dxa"/>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30" w:right="-130" w:firstLine="400" w:firstLineChars="200"/>
              <w:jc w:val="center"/>
              <w:textAlignment w:val="auto"/>
              <w:rPr>
                <w:b w:val="0"/>
                <w:bCs w:val="0"/>
                <w:sz w:val="19"/>
                <w:szCs w:val="19"/>
              </w:rPr>
            </w:pPr>
            <w:r>
              <w:rPr>
                <w:rFonts w:hint="eastAsia" w:ascii="仿宋_GB2312" w:eastAsia="仿宋_GB2312" w:cs="仿宋_GB2312"/>
                <w:b w:val="0"/>
                <w:bCs w:val="0"/>
                <w:sz w:val="20"/>
                <w:szCs w:val="20"/>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30" w:right="-130" w:firstLine="400" w:firstLineChars="200"/>
              <w:jc w:val="center"/>
              <w:textAlignment w:val="auto"/>
              <w:rPr>
                <w:b w:val="0"/>
                <w:bCs w:val="0"/>
                <w:sz w:val="19"/>
                <w:szCs w:val="19"/>
              </w:rPr>
            </w:pPr>
            <w:r>
              <w:rPr>
                <w:rFonts w:hint="eastAsia" w:ascii="仿宋_GB2312" w:eastAsia="仿宋_GB2312" w:cs="仿宋_GB2312"/>
                <w:b w:val="0"/>
                <w:bCs w:val="0"/>
                <w:sz w:val="20"/>
                <w:szCs w:val="20"/>
              </w:rPr>
              <w:t>纠正</w:t>
            </w:r>
          </w:p>
        </w:tc>
        <w:tc>
          <w:tcPr>
            <w:tcW w:w="390" w:type="dxa"/>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73" w:right="-130" w:firstLine="400" w:firstLineChars="200"/>
              <w:jc w:val="center"/>
              <w:textAlignment w:val="auto"/>
              <w:rPr>
                <w:b w:val="0"/>
                <w:bCs w:val="0"/>
                <w:sz w:val="19"/>
                <w:szCs w:val="19"/>
              </w:rPr>
            </w:pPr>
            <w:r>
              <w:rPr>
                <w:rFonts w:hint="eastAsia" w:ascii="仿宋_GB2312" w:eastAsia="仿宋_GB2312" w:cs="仿宋_GB2312"/>
                <w:b w:val="0"/>
                <w:bCs w:val="0"/>
                <w:sz w:val="20"/>
                <w:szCs w:val="20"/>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173" w:right="-130" w:firstLine="400" w:firstLineChars="200"/>
              <w:jc w:val="center"/>
              <w:textAlignment w:val="auto"/>
              <w:rPr>
                <w:b w:val="0"/>
                <w:bCs w:val="0"/>
                <w:sz w:val="19"/>
                <w:szCs w:val="19"/>
              </w:rPr>
            </w:pPr>
            <w:r>
              <w:rPr>
                <w:rFonts w:hint="eastAsia" w:ascii="仿宋_GB2312" w:eastAsia="仿宋_GB2312" w:cs="仿宋_GB2312"/>
                <w:b w:val="0"/>
                <w:bCs w:val="0"/>
                <w:sz w:val="20"/>
                <w:szCs w:val="20"/>
              </w:rPr>
              <w:t>结果</w:t>
            </w:r>
          </w:p>
        </w:tc>
        <w:tc>
          <w:tcPr>
            <w:tcW w:w="390" w:type="dxa"/>
            <w:tcBorders>
              <w:top w:val="single" w:color="000000" w:sz="8" w:space="0"/>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72" w:right="-101" w:firstLine="400" w:firstLineChars="200"/>
              <w:jc w:val="center"/>
              <w:textAlignment w:val="auto"/>
              <w:rPr>
                <w:b w:val="0"/>
                <w:bCs w:val="0"/>
                <w:sz w:val="19"/>
                <w:szCs w:val="19"/>
              </w:rPr>
            </w:pPr>
            <w:r>
              <w:rPr>
                <w:rFonts w:hint="eastAsia" w:ascii="仿宋_GB2312" w:eastAsia="仿宋_GB2312" w:cs="仿宋_GB2312"/>
                <w:b w:val="0"/>
                <w:bCs w:val="0"/>
                <w:sz w:val="20"/>
                <w:szCs w:val="20"/>
              </w:rPr>
              <w:t>尚未审结</w:t>
            </w:r>
          </w:p>
        </w:tc>
        <w:tc>
          <w:tcPr>
            <w:tcW w:w="405" w:type="dxa"/>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400" w:firstLineChars="200"/>
              <w:jc w:val="center"/>
              <w:textAlignment w:val="auto"/>
              <w:rPr>
                <w:b w:val="0"/>
                <w:bCs w:val="0"/>
                <w:sz w:val="19"/>
                <w:szCs w:val="19"/>
              </w:rPr>
            </w:pPr>
            <w:r>
              <w:rPr>
                <w:rFonts w:hint="eastAsia" w:ascii="仿宋_GB2312" w:eastAsia="仿宋_GB2312" w:cs="仿宋_GB2312"/>
                <w:b w:val="0"/>
                <w:bCs w:val="0"/>
                <w:sz w:val="20"/>
                <w:szCs w:val="2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7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45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34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rFonts w:hint="eastAsia" w:eastAsia="宋体"/>
                <w:b w:val="0"/>
                <w:bCs w:val="0"/>
                <w:sz w:val="19"/>
                <w:szCs w:val="19"/>
                <w:lang w:val="en-US" w:eastAsia="zh-CN"/>
              </w:rPr>
            </w:pPr>
            <w:r>
              <w:rPr>
                <w:rFonts w:hint="eastAsia"/>
                <w:b w:val="0"/>
                <w:bCs w:val="0"/>
                <w:sz w:val="19"/>
                <w:szCs w:val="19"/>
                <w:lang w:val="en-US" w:eastAsia="zh-CN"/>
              </w:rPr>
              <w:t>0</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390"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b w:val="0"/>
                <w:bCs w:val="0"/>
                <w:sz w:val="19"/>
                <w:szCs w:val="19"/>
              </w:rPr>
            </w:pPr>
            <w:r>
              <w:rPr>
                <w:rFonts w:hint="eastAsia" w:ascii="仿宋_GB2312" w:eastAsia="仿宋_GB2312" w:cs="仿宋_GB2312"/>
                <w:b w:val="0"/>
                <w:bCs w:val="0"/>
                <w:sz w:val="19"/>
                <w:szCs w:val="19"/>
              </w:rPr>
              <w:t>0</w:t>
            </w:r>
          </w:p>
        </w:tc>
        <w:tc>
          <w:tcPr>
            <w:tcW w:w="405" w:type="dxa"/>
            <w:tcBorders>
              <w:top w:val="nil"/>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5" w:lineRule="atLeast"/>
              <w:ind w:left="0" w:right="0" w:firstLine="380" w:firstLineChars="200"/>
              <w:jc w:val="center"/>
              <w:textAlignment w:val="auto"/>
              <w:rPr>
                <w:rFonts w:hint="eastAsia" w:eastAsia="宋体"/>
                <w:b w:val="0"/>
                <w:bCs w:val="0"/>
                <w:sz w:val="19"/>
                <w:szCs w:val="19"/>
                <w:lang w:val="en-US" w:eastAsia="zh-CN"/>
              </w:rPr>
            </w:pPr>
            <w:r>
              <w:rPr>
                <w:rFonts w:hint="eastAsia"/>
                <w:b w:val="0"/>
                <w:bCs w:val="0"/>
                <w:sz w:val="19"/>
                <w:szCs w:val="19"/>
                <w:lang w:val="en-US" w:eastAsia="zh-CN"/>
              </w:rPr>
              <w:t>0</w:t>
            </w:r>
          </w:p>
        </w:tc>
      </w:tr>
    </w:tbl>
    <w:p>
      <w:pPr>
        <w:keepNext w:val="0"/>
        <w:keepLines w:val="0"/>
        <w:pageBreakBefore w:val="0"/>
        <w:widowControl/>
        <w:numPr>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五、存在的主要问题及改进情况针对政务公开工作中存在的公开意识有待提高、工作力量有待加强、工作水平有待提升问题，下一步，我们将采取多种措施，力促政务公开工作再上新台阶。 一是加强信息联络人员与业务科室、有关单位部门的衔接与沟通，努力将信息收集与公开同步进行，确保信息的及时、准确、全面；二是加强对业务人员的培训，着力提高机关工作人员信息公开意识，开阔工作人员视野以多形式易了解的形式公开政府信息，使群众“看得见、听得懂”，让广大人民群众熟悉政务公开</w:t>
      </w: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；三是通过增加公开栏和政府开放日等形式，</w:t>
      </w:r>
      <w:r>
        <w:rPr>
          <w:rFonts w:ascii="仿宋_GB2312" w:hAnsi="ÃƒÂ¥Ã‚Â¾Ã‚Â®ÃƒÂ¨Ã‚Â½Ã‚Â¯ÃƒÂ©Ã¢â" w:eastAsia="仿宋_GB2312" w:cs="仿宋_GB2312"/>
          <w:i w:val="0"/>
          <w:iCs w:val="0"/>
          <w:caps w:val="0"/>
          <w:color w:val="000000"/>
          <w:spacing w:val="0"/>
          <w:sz w:val="32"/>
          <w:szCs w:val="32"/>
          <w:shd w:val="clear" w:fill="FFFFFF"/>
        </w:rPr>
        <w:t>推进决策、执行、管理、服务、结果“五公开”，对涉及群众切身利益的事项，采取听证、座谈等方式充分听取意见。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六、其他需要报告的事项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1.收取信息处理费情况方面。2022年度，本单位未收取信息处理费；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default"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2.落实上级年度政务公开工作要点情况。对照《枣庄市2022年政务公开政务公开工作要点》，印发《滕州市2022年政务公开工作要点》和《落实枣庄市2022年政务公开工作要点工作台账》，围绕重点领域信息公开、政策发布解读与回应、政民互动、基层政务公开标准化规范化建设和工作保障和落实逐项明确责任主体和完成时限。</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default"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3.人大代表建议和政协提案办理情况方面。2022年，姜屯镇未承办人大和政协提案。</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default"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4.开展政务公开创新方面。政府办公室持续推进利益相关方列席政府常务会议、公共企事业单位信息公开、政府开放日、政务公开体验区等创新形式。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default"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5.本单位政府信息公开工作年度报告数据统计需要说明的事项：无</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default"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6.其他有关文件专门要求通过政府信息公开工作年度报告予以报告的事项：无</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7.本报告的电子版可在“中国滕州网”（http://www.tengzhou.gov.cn/）网站查询和下载。如对本报告有任何疑问，请与姜屯镇政务信息公开办公室联系。（地址：山东省滕州市姜屯镇政府，联系电话：0632—5011168）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center"/>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                                 姜屯镇人民政府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right"/>
        <w:textAlignment w:val="auto"/>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sans-serif" w:eastAsia="仿宋_GB2312" w:cs="仿宋_GB2312"/>
          <w:b w:val="0"/>
          <w:bCs w:val="0"/>
          <w:i w:val="0"/>
          <w:iCs w:val="0"/>
          <w:caps w:val="0"/>
          <w:color w:val="000000"/>
          <w:spacing w:val="0"/>
          <w:sz w:val="32"/>
          <w:szCs w:val="32"/>
          <w:shd w:val="clear" w:color="auto" w:fill="FFFFFF"/>
          <w:lang w:val="en-US" w:eastAsia="zh-CN"/>
        </w:rPr>
        <w:t xml:space="preserve">2023年1月19日 </w:t>
      </w:r>
    </w:p>
    <w:bookmarkEnd w:id="11"/>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both"/>
        <w:textAlignment w:val="auto"/>
        <w:rPr>
          <w:rFonts w:hint="default" w:ascii="仿宋_GB2312" w:hAnsi="sans-serif" w:eastAsia="仿宋_GB2312" w:cs="仿宋_GB2312"/>
          <w:b w:val="0"/>
          <w:bCs w:val="0"/>
          <w:i w:val="0"/>
          <w:iCs w:val="0"/>
          <w:caps w:val="0"/>
          <w:color w:val="000000"/>
          <w:spacing w:val="0"/>
          <w:sz w:val="32"/>
          <w:szCs w:val="32"/>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ÃƒÂ¥Ã‚Â¾Ã‚Â®ÃƒÂ¨Ã‚Â½Ã‚Â¯ÃƒÂ©Ã¢â‚¬ÂºÃ¢â‚¬Â¦ÃƒÂ©Ã‚Â»Ã¢â‚¬Ëœ">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ÃƒÂ¥Ã‚Â¾Ã‚Â®ÃƒÂ¨Ã‚Â½Ã‚Â¯ÃƒÂ©Ã¢â">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762FB"/>
    <w:multiLevelType w:val="singleLevel"/>
    <w:tmpl w:val="960762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OGQ5YmQ5YmE4NzM0OTg2NGUwNmYyZTg5MDVhZTcifQ=="/>
  </w:docVars>
  <w:rsids>
    <w:rsidRoot w:val="24047848"/>
    <w:rsid w:val="02AF0BB9"/>
    <w:rsid w:val="086F77B9"/>
    <w:rsid w:val="0BC67E81"/>
    <w:rsid w:val="105D24B8"/>
    <w:rsid w:val="144D1B4E"/>
    <w:rsid w:val="16B74E2C"/>
    <w:rsid w:val="191A70DD"/>
    <w:rsid w:val="24047848"/>
    <w:rsid w:val="2E1E4633"/>
    <w:rsid w:val="3BA26D92"/>
    <w:rsid w:val="439172D7"/>
    <w:rsid w:val="458D2861"/>
    <w:rsid w:val="510734C7"/>
    <w:rsid w:val="51AC406F"/>
    <w:rsid w:val="5A5525AE"/>
    <w:rsid w:val="5AA63D51"/>
    <w:rsid w:val="5D9E6F62"/>
    <w:rsid w:val="612E684E"/>
    <w:rsid w:val="62C02178"/>
    <w:rsid w:val="64A55079"/>
    <w:rsid w:val="657B5DDA"/>
    <w:rsid w:val="6F0E4B5F"/>
    <w:rsid w:val="740954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3264</Words>
  <Characters>3401</Characters>
  <Lines>0</Lines>
  <Paragraphs>0</Paragraphs>
  <TotalTime>17</TotalTime>
  <ScaleCrop>false</ScaleCrop>
  <LinksUpToDate>false</LinksUpToDate>
  <CharactersWithSpaces>3489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2023-01-28T04:53:00Z</dcterms:created>
  <dc:creator>中国梦</dc:creator>
  <cp:lastModifiedBy>中国梦</cp:lastModifiedBy>
  <dcterms:modified xsi:type="dcterms:W3CDTF">2023-02-06T08:08:03Z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47E2614D46F24700A70EFE1DE2A32D0A</vt:lpwstr>
  </property>
</Properties>
</file>