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i w:val="0"/>
          <w:iCs w:val="0"/>
          <w:caps w:val="0"/>
          <w:color w:val="000000"/>
          <w:spacing w:val="0"/>
          <w:sz w:val="31"/>
          <w:szCs w:val="31"/>
          <w:shd w:val="clear" w:color="auto" w:fill="FFFFFF"/>
        </w:rPr>
      </w:pPr>
      <w:r>
        <w:rPr>
          <w:rFonts w:ascii="仿宋" w:hAnsi="仿宋" w:eastAsia="仿宋" w:cs="仿宋"/>
          <w:i w:val="0"/>
          <w:iCs w:val="0"/>
          <w:caps w:val="0"/>
          <w:color w:val="000000"/>
          <w:spacing w:val="0"/>
          <w:sz w:val="32"/>
          <w:szCs w:val="32"/>
          <w:shd w:val="clear" w:color="auto" w:fill="FFFFFF"/>
        </w:rPr>
        <w:t> </w:t>
      </w:r>
      <w:r>
        <w:rPr>
          <w:rFonts w:hint="eastAsia" w:ascii="黑体" w:hAnsi="黑体" w:eastAsia="黑体" w:cs="黑体"/>
          <w:i w:val="0"/>
          <w:iCs w:val="0"/>
          <w:caps w:val="0"/>
          <w:color w:val="000000"/>
          <w:spacing w:val="0"/>
          <w:sz w:val="44"/>
          <w:szCs w:val="44"/>
          <w:shd w:val="clear" w:color="auto" w:fill="FFFFFF"/>
        </w:rPr>
        <w:t>滕州市</w:t>
      </w:r>
      <w:r>
        <w:rPr>
          <w:rFonts w:hint="eastAsia" w:ascii="黑体" w:hAnsi="黑体" w:eastAsia="黑体" w:cs="黑体"/>
          <w:i w:val="0"/>
          <w:iCs w:val="0"/>
          <w:caps w:val="0"/>
          <w:color w:val="000000"/>
          <w:spacing w:val="0"/>
          <w:sz w:val="44"/>
          <w:szCs w:val="44"/>
          <w:shd w:val="clear" w:color="auto" w:fill="FFFFFF"/>
          <w:lang w:val="en-US" w:eastAsia="zh-CN"/>
        </w:rPr>
        <w:t>木石</w:t>
      </w:r>
      <w:r>
        <w:rPr>
          <w:rFonts w:hint="eastAsia" w:ascii="黑体" w:hAnsi="黑体" w:eastAsia="黑体" w:cs="黑体"/>
          <w:i w:val="0"/>
          <w:iCs w:val="0"/>
          <w:caps w:val="0"/>
          <w:color w:val="000000"/>
          <w:spacing w:val="0"/>
          <w:sz w:val="44"/>
          <w:szCs w:val="44"/>
          <w:shd w:val="clear" w:color="auto" w:fill="FFFFFF"/>
        </w:rPr>
        <w:t>镇202</w:t>
      </w:r>
      <w:r>
        <w:rPr>
          <w:rFonts w:hint="eastAsia" w:ascii="黑体" w:hAnsi="黑体" w:eastAsia="黑体" w:cs="黑体"/>
          <w:i w:val="0"/>
          <w:iCs w:val="0"/>
          <w:caps w:val="0"/>
          <w:color w:val="000000"/>
          <w:spacing w:val="0"/>
          <w:sz w:val="44"/>
          <w:szCs w:val="44"/>
          <w:shd w:val="clear" w:color="auto" w:fill="FFFFFF"/>
          <w:lang w:val="en-US" w:eastAsia="zh-CN"/>
        </w:rPr>
        <w:t>2</w:t>
      </w:r>
      <w:r>
        <w:rPr>
          <w:rFonts w:hint="eastAsia" w:ascii="黑体" w:hAnsi="黑体" w:eastAsia="黑体" w:cs="黑体"/>
          <w:i w:val="0"/>
          <w:iCs w:val="0"/>
          <w:caps w:val="0"/>
          <w:color w:val="000000"/>
          <w:spacing w:val="0"/>
          <w:sz w:val="44"/>
          <w:szCs w:val="44"/>
          <w:shd w:val="clear" w:color="auto" w:fill="FFFFFF"/>
        </w:rPr>
        <w:t>年政府信息公开工作年度报告</w:t>
      </w:r>
    </w:p>
    <w:p>
      <w:pPr>
        <w:jc w:val="left"/>
        <w:rPr>
          <w:rFonts w:ascii="仿宋" w:hAnsi="仿宋" w:eastAsia="仿宋" w:cs="仿宋"/>
          <w:i w:val="0"/>
          <w:iCs w:val="0"/>
          <w:caps w:val="0"/>
          <w:color w:val="000000"/>
          <w:spacing w:val="0"/>
          <w:sz w:val="31"/>
          <w:szCs w:val="31"/>
          <w:shd w:val="clear" w:color="auto" w:fill="FFFFFF"/>
        </w:rPr>
      </w:pPr>
    </w:p>
    <w:p>
      <w:pPr>
        <w:ind w:firstLine="620" w:firstLineChars="200"/>
        <w:jc w:val="left"/>
        <w:rPr>
          <w:rFonts w:hint="eastAsia" w:eastAsia="仿宋_GB2312"/>
          <w:lang w:eastAsia="zh-CN"/>
        </w:rPr>
      </w:pPr>
      <w:r>
        <w:rPr>
          <w:rFonts w:ascii="仿宋_GB2312" w:hAnsi="宋体" w:eastAsia="仿宋_GB2312" w:cs="仿宋_GB2312"/>
          <w:i w:val="0"/>
          <w:iCs w:val="0"/>
          <w:caps w:val="0"/>
          <w:color w:val="000000"/>
          <w:spacing w:val="0"/>
          <w:sz w:val="31"/>
          <w:szCs w:val="31"/>
          <w:shd w:val="clear" w:color="auto" w:fill="FFFFFF"/>
        </w:rPr>
        <w:t>根据《中华人民共和国政府信息公开条例》、《山东省政府信息公开办法》规定和省政府办公厅、枣庄市政府办公室、滕州市政府办公室通知要求和有关文件要求，结合滕州市</w:t>
      </w:r>
      <w:r>
        <w:rPr>
          <w:rFonts w:hint="eastAsia" w:ascii="仿宋_GB2312" w:hAnsi="宋体" w:eastAsia="仿宋_GB2312" w:cs="仿宋_GB2312"/>
          <w:i w:val="0"/>
          <w:iCs w:val="0"/>
          <w:caps w:val="0"/>
          <w:color w:val="000000"/>
          <w:spacing w:val="0"/>
          <w:sz w:val="31"/>
          <w:szCs w:val="31"/>
          <w:shd w:val="clear" w:color="auto" w:fill="FFFFFF"/>
          <w:lang w:eastAsia="zh-CN"/>
        </w:rPr>
        <w:t>木石</w:t>
      </w:r>
      <w:r>
        <w:rPr>
          <w:rFonts w:ascii="仿宋_GB2312" w:hAnsi="宋体" w:eastAsia="仿宋_GB2312" w:cs="仿宋_GB2312"/>
          <w:i w:val="0"/>
          <w:iCs w:val="0"/>
          <w:caps w:val="0"/>
          <w:color w:val="000000"/>
          <w:spacing w:val="0"/>
          <w:sz w:val="31"/>
          <w:szCs w:val="31"/>
          <w:shd w:val="clear" w:color="auto" w:fill="FFFFFF"/>
        </w:rPr>
        <w:t>镇人民政府202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ascii="仿宋_GB2312" w:hAnsi="宋体" w:eastAsia="仿宋_GB2312" w:cs="仿宋_GB2312"/>
          <w:i w:val="0"/>
          <w:iCs w:val="0"/>
          <w:caps w:val="0"/>
          <w:color w:val="000000"/>
          <w:spacing w:val="0"/>
          <w:sz w:val="31"/>
          <w:szCs w:val="31"/>
          <w:shd w:val="clear" w:color="auto" w:fill="FFFFFF"/>
        </w:rPr>
        <w:t>年度信息公开工作实际，编制了本报告。报告主要内容包括：主动公开政府信息情况、依申请公开政府信息情况、政府信息管理情况、公开平台建设情况、监督保障情况、政府信息公开工作存在的主要问题及改进情况等。现向社会公开滕州市</w:t>
      </w:r>
      <w:r>
        <w:rPr>
          <w:rFonts w:hint="eastAsia" w:ascii="仿宋_GB2312" w:hAnsi="宋体" w:eastAsia="仿宋_GB2312" w:cs="仿宋_GB2312"/>
          <w:i w:val="0"/>
          <w:iCs w:val="0"/>
          <w:caps w:val="0"/>
          <w:color w:val="000000"/>
          <w:spacing w:val="0"/>
          <w:sz w:val="31"/>
          <w:szCs w:val="31"/>
          <w:shd w:val="clear" w:color="auto" w:fill="FFFFFF"/>
          <w:lang w:eastAsia="zh-CN"/>
        </w:rPr>
        <w:t>木石</w:t>
      </w:r>
      <w:r>
        <w:rPr>
          <w:rFonts w:ascii="仿宋_GB2312" w:hAnsi="宋体" w:eastAsia="仿宋_GB2312" w:cs="仿宋_GB2312"/>
          <w:i w:val="0"/>
          <w:iCs w:val="0"/>
          <w:caps w:val="0"/>
          <w:color w:val="000000"/>
          <w:spacing w:val="0"/>
          <w:sz w:val="31"/>
          <w:szCs w:val="31"/>
          <w:shd w:val="clear" w:color="auto" w:fill="FFFFFF"/>
        </w:rPr>
        <w:t>镇人民政府202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ascii="仿宋_GB2312" w:hAnsi="宋体" w:eastAsia="仿宋_GB2312" w:cs="仿宋_GB2312"/>
          <w:i w:val="0"/>
          <w:iCs w:val="0"/>
          <w:caps w:val="0"/>
          <w:color w:val="000000"/>
          <w:spacing w:val="0"/>
          <w:sz w:val="31"/>
          <w:szCs w:val="31"/>
          <w:shd w:val="clear" w:color="auto" w:fill="FFFFFF"/>
        </w:rPr>
        <w:t>年政府信息公开工作年度报告。本报告所列数据的统计时限自202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ascii="仿宋_GB2312" w:hAnsi="宋体" w:eastAsia="仿宋_GB2312" w:cs="仿宋_GB2312"/>
          <w:i w:val="0"/>
          <w:iCs w:val="0"/>
          <w:caps w:val="0"/>
          <w:color w:val="000000"/>
          <w:spacing w:val="0"/>
          <w:sz w:val="31"/>
          <w:szCs w:val="31"/>
          <w:shd w:val="clear" w:color="auto" w:fill="FFFFFF"/>
        </w:rPr>
        <w:t>年1月1日起至202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ascii="仿宋_GB2312" w:hAnsi="宋体" w:eastAsia="仿宋_GB2312" w:cs="仿宋_GB2312"/>
          <w:i w:val="0"/>
          <w:iCs w:val="0"/>
          <w:caps w:val="0"/>
          <w:color w:val="000000"/>
          <w:spacing w:val="0"/>
          <w:sz w:val="31"/>
          <w:szCs w:val="31"/>
          <w:shd w:val="clear" w:color="auto" w:fill="FFFFFF"/>
        </w:rPr>
        <w:t>年12月31日止。</w:t>
      </w:r>
      <w:r>
        <w:rPr>
          <w:rFonts w:hint="eastAsia" w:eastAsia="仿宋_GB2312"/>
          <w:lang w:eastAsia="zh-CN"/>
        </w:rPr>
        <w:drawing>
          <wp:inline distT="0" distB="0" distL="114300" distR="114300">
            <wp:extent cx="5263515" cy="2336165"/>
            <wp:effectExtent l="0" t="0" r="13335" b="6985"/>
            <wp:docPr id="4"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捕获"/>
                    <pic:cNvPicPr>
                      <a:picLocks noChangeAspect="1"/>
                    </pic:cNvPicPr>
                  </pic:nvPicPr>
                  <pic:blipFill>
                    <a:blip r:embed="rId4"/>
                    <a:stretch>
                      <a:fillRect/>
                    </a:stretch>
                  </pic:blipFill>
                  <pic:spPr>
                    <a:xfrm>
                      <a:off x="0" y="0"/>
                      <a:ext cx="5263515" cy="2336165"/>
                    </a:xfrm>
                    <a:prstGeom prst="rect">
                      <a:avLst/>
                    </a:prstGeom>
                    <a:noFill/>
                    <a:ln>
                      <a:noFill/>
                    </a:ln>
                  </pic:spPr>
                </pic:pic>
              </a:graphicData>
            </a:graphic>
          </wp:inline>
        </w:drawing>
      </w:r>
    </w:p>
    <w:p>
      <w:pPr>
        <w:jc w:val="left"/>
        <w:rPr>
          <w:rFonts w:hint="eastAsia" w:ascii="仿宋_GB2312" w:hAnsi="宋体" w:eastAsia="仿宋_GB2312" w:cs="仿宋_GB2312"/>
          <w:i w:val="0"/>
          <w:iCs w:val="0"/>
          <w:caps w:val="0"/>
          <w:color w:val="000000"/>
          <w:spacing w:val="0"/>
          <w:sz w:val="31"/>
          <w:szCs w:val="31"/>
          <w:shd w:val="clear" w:color="auto" w:fill="FFFFFF"/>
          <w:lang w:eastAsia="zh-CN"/>
        </w:rPr>
      </w:pPr>
      <w:r>
        <w:rPr>
          <w:rFonts w:hint="eastAsia" w:ascii="仿宋_GB2312" w:hAnsi="宋体" w:eastAsia="仿宋_GB2312" w:cs="仿宋_GB2312"/>
          <w:i w:val="0"/>
          <w:iCs w:val="0"/>
          <w:caps w:val="0"/>
          <w:color w:val="000000"/>
          <w:spacing w:val="0"/>
          <w:sz w:val="31"/>
          <w:szCs w:val="31"/>
          <w:shd w:val="clear" w:color="auto" w:fill="FFFFFF"/>
          <w:lang w:eastAsia="zh-CN"/>
        </w:rPr>
        <w:t> 一、总体情况</w:t>
      </w:r>
    </w:p>
    <w:p>
      <w:pPr>
        <w:ind w:firstLine="620" w:firstLineChars="200"/>
        <w:jc w:val="left"/>
        <w:rPr>
          <w:rFonts w:hint="eastAsia" w:ascii="仿宋_GB2312" w:hAnsi="宋体" w:eastAsia="仿宋_GB2312" w:cs="仿宋_GB2312"/>
          <w:i w:val="0"/>
          <w:iCs w:val="0"/>
          <w:caps w:val="0"/>
          <w:color w:val="000000"/>
          <w:spacing w:val="0"/>
          <w:sz w:val="31"/>
          <w:szCs w:val="31"/>
          <w:shd w:val="clear" w:color="auto" w:fill="FFFFFF"/>
          <w:lang w:eastAsia="zh-CN"/>
        </w:rPr>
      </w:pPr>
      <w:r>
        <w:rPr>
          <w:rFonts w:hint="eastAsia" w:ascii="仿宋_GB2312" w:hAnsi="宋体" w:eastAsia="仿宋_GB2312" w:cs="仿宋_GB2312"/>
          <w:i w:val="0"/>
          <w:iCs w:val="0"/>
          <w:caps w:val="0"/>
          <w:color w:val="000000"/>
          <w:spacing w:val="0"/>
          <w:sz w:val="31"/>
          <w:szCs w:val="31"/>
          <w:shd w:val="clear" w:color="auto" w:fill="FFFFFF"/>
          <w:lang w:eastAsia="zh-CN"/>
        </w:rPr>
        <w:t>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hint="eastAsia" w:ascii="仿宋_GB2312" w:hAnsi="宋体" w:eastAsia="仿宋_GB2312" w:cs="仿宋_GB2312"/>
          <w:i w:val="0"/>
          <w:iCs w:val="0"/>
          <w:caps w:val="0"/>
          <w:color w:val="000000"/>
          <w:spacing w:val="0"/>
          <w:sz w:val="31"/>
          <w:szCs w:val="31"/>
          <w:shd w:val="clear" w:color="auto" w:fill="FFFFFF"/>
          <w:lang w:eastAsia="zh-CN"/>
        </w:rPr>
        <w:t>年以来，木石镇坚持以习近平新时代中国特色社会主义思想为指导，全面贯彻党的十九大和十九届历次全会精神，深入贯彻习近平总书记系列重要讲话精神，严格贯彻落实新修订的政府信息公开条例要求，扎实推进政府信息公开工作，不断加大和改进政府信息公开工作力度，结合木石镇实际，积极开拓公开渠道，创新公开方式，进一步提高政府治理和政务服务水平，增强人民群众获得感和满意度。</w:t>
      </w:r>
    </w:p>
    <w:p>
      <w:pPr>
        <w:jc w:val="left"/>
        <w:rPr>
          <w:rFonts w:hint="eastAsia" w:ascii="仿宋_GB2312" w:hAnsi="宋体" w:eastAsia="仿宋_GB2312" w:cs="仿宋_GB2312"/>
          <w:i w:val="0"/>
          <w:iCs w:val="0"/>
          <w:caps w:val="0"/>
          <w:color w:val="000000"/>
          <w:spacing w:val="0"/>
          <w:sz w:val="31"/>
          <w:szCs w:val="31"/>
          <w:shd w:val="clear" w:color="auto" w:fill="FFFFFF"/>
          <w:lang w:eastAsia="zh-CN"/>
        </w:rPr>
      </w:pPr>
      <w:r>
        <w:rPr>
          <w:rFonts w:hint="eastAsia" w:ascii="仿宋_GB2312" w:hAnsi="宋体" w:eastAsia="仿宋_GB2312" w:cs="仿宋_GB2312"/>
          <w:i w:val="0"/>
          <w:iCs w:val="0"/>
          <w:caps w:val="0"/>
          <w:color w:val="000000"/>
          <w:spacing w:val="0"/>
          <w:sz w:val="31"/>
          <w:szCs w:val="31"/>
          <w:shd w:val="clear" w:color="auto" w:fill="FFFFFF"/>
          <w:lang w:eastAsia="zh-CN"/>
        </w:rPr>
        <w:drawing>
          <wp:inline distT="0" distB="0" distL="114300" distR="114300">
            <wp:extent cx="5264150" cy="2340610"/>
            <wp:effectExtent l="0" t="0" r="12700" b="2540"/>
            <wp:docPr id="5" name="图片 2"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捕获2"/>
                    <pic:cNvPicPr>
                      <a:picLocks noChangeAspect="1"/>
                    </pic:cNvPicPr>
                  </pic:nvPicPr>
                  <pic:blipFill>
                    <a:blip r:embed="rId5"/>
                    <a:stretch>
                      <a:fillRect/>
                    </a:stretch>
                  </pic:blipFill>
                  <pic:spPr>
                    <a:xfrm>
                      <a:off x="0" y="0"/>
                      <a:ext cx="5264150" cy="2340610"/>
                    </a:xfrm>
                    <a:prstGeom prst="rect">
                      <a:avLst/>
                    </a:prstGeom>
                    <a:noFill/>
                    <a:ln>
                      <a:noFill/>
                    </a:ln>
                  </pic:spPr>
                </pic:pic>
              </a:graphicData>
            </a:graphic>
          </wp:inline>
        </w:drawing>
      </w:r>
    </w:p>
    <w:p>
      <w:pPr>
        <w:jc w:val="left"/>
        <w:rPr>
          <w:rFonts w:hint="eastAsia" w:ascii="仿宋_GB2312" w:hAnsi="宋体" w:eastAsia="仿宋_GB2312" w:cs="仿宋_GB2312"/>
          <w:i w:val="0"/>
          <w:iCs w:val="0"/>
          <w:caps w:val="0"/>
          <w:color w:val="000000"/>
          <w:spacing w:val="0"/>
          <w:sz w:val="31"/>
          <w:szCs w:val="31"/>
          <w:shd w:val="clear" w:color="auto" w:fill="FFFFFF"/>
          <w:lang w:eastAsia="zh-CN"/>
        </w:rPr>
      </w:pPr>
    </w:p>
    <w:p>
      <w:pPr>
        <w:jc w:val="left"/>
        <w:rPr>
          <w:rFonts w:hint="eastAsia" w:ascii="仿宋_GB2312" w:hAnsi="宋体" w:eastAsia="仿宋_GB2312" w:cs="仿宋_GB2312"/>
          <w:i w:val="0"/>
          <w:iCs w:val="0"/>
          <w:caps w:val="0"/>
          <w:color w:val="000000"/>
          <w:spacing w:val="0"/>
          <w:sz w:val="31"/>
          <w:szCs w:val="31"/>
          <w:shd w:val="clear" w:color="auto" w:fill="FFFFFF"/>
          <w:lang w:eastAsia="zh-CN"/>
        </w:rPr>
      </w:pPr>
      <w:r>
        <w:rPr>
          <w:rFonts w:hint="eastAsia" w:ascii="仿宋_GB2312" w:hAnsi="宋体" w:eastAsia="仿宋_GB2312" w:cs="仿宋_GB2312"/>
          <w:i w:val="0"/>
          <w:iCs w:val="0"/>
          <w:caps w:val="0"/>
          <w:color w:val="000000"/>
          <w:spacing w:val="0"/>
          <w:sz w:val="31"/>
          <w:szCs w:val="31"/>
          <w:shd w:val="clear" w:color="auto" w:fill="FFFFFF"/>
          <w:lang w:eastAsia="zh-CN"/>
        </w:rPr>
        <w:t>（一）政府信息主动公开情况</w:t>
      </w:r>
    </w:p>
    <w:p>
      <w:pPr>
        <w:ind w:firstLine="620" w:firstLineChars="200"/>
        <w:jc w:val="left"/>
        <w:rPr>
          <w:rFonts w:hint="default" w:ascii="仿宋_GB2312" w:hAnsi="宋体" w:eastAsia="仿宋_GB2312" w:cs="仿宋_GB2312"/>
          <w:i w:val="0"/>
          <w:iCs w:val="0"/>
          <w:caps w:val="0"/>
          <w:color w:val="000000"/>
          <w:spacing w:val="0"/>
          <w:sz w:val="31"/>
          <w:szCs w:val="31"/>
          <w:shd w:val="clear" w:color="auto" w:fill="FFFFFF"/>
          <w:lang w:eastAsia="zh-CN"/>
        </w:rPr>
      </w:pPr>
      <w:r>
        <w:rPr>
          <w:rFonts w:hint="eastAsia" w:ascii="仿宋_GB2312" w:hAnsi="宋体" w:eastAsia="仿宋_GB2312" w:cs="仿宋_GB2312"/>
          <w:i w:val="0"/>
          <w:iCs w:val="0"/>
          <w:caps w:val="0"/>
          <w:color w:val="000000"/>
          <w:spacing w:val="0"/>
          <w:sz w:val="31"/>
          <w:szCs w:val="31"/>
          <w:shd w:val="clear" w:color="auto" w:fill="FFFFFF"/>
          <w:lang w:eastAsia="zh-CN"/>
        </w:rPr>
        <w:t>木石</w:t>
      </w:r>
      <w:r>
        <w:rPr>
          <w:rFonts w:hint="default" w:ascii="仿宋_GB2312" w:hAnsi="宋体" w:eastAsia="仿宋_GB2312" w:cs="仿宋_GB2312"/>
          <w:i w:val="0"/>
          <w:iCs w:val="0"/>
          <w:caps w:val="0"/>
          <w:color w:val="000000"/>
          <w:spacing w:val="0"/>
          <w:sz w:val="31"/>
          <w:szCs w:val="31"/>
          <w:shd w:val="clear" w:color="auto" w:fill="FFFFFF"/>
          <w:lang w:eastAsia="zh-CN"/>
        </w:rPr>
        <w:t>镇通过滕州市政府信息公开、滕州市</w:t>
      </w:r>
      <w:r>
        <w:rPr>
          <w:rFonts w:hint="eastAsia" w:ascii="仿宋_GB2312" w:hAnsi="宋体" w:eastAsia="仿宋_GB2312" w:cs="仿宋_GB2312"/>
          <w:i w:val="0"/>
          <w:iCs w:val="0"/>
          <w:caps w:val="0"/>
          <w:color w:val="000000"/>
          <w:spacing w:val="0"/>
          <w:sz w:val="31"/>
          <w:szCs w:val="31"/>
          <w:shd w:val="clear" w:color="auto" w:fill="FFFFFF"/>
          <w:lang w:eastAsia="zh-CN"/>
        </w:rPr>
        <w:t>木石</w:t>
      </w:r>
      <w:r>
        <w:rPr>
          <w:rFonts w:hint="default" w:ascii="仿宋_GB2312" w:hAnsi="宋体" w:eastAsia="仿宋_GB2312" w:cs="仿宋_GB2312"/>
          <w:i w:val="0"/>
          <w:iCs w:val="0"/>
          <w:caps w:val="0"/>
          <w:color w:val="000000"/>
          <w:spacing w:val="0"/>
          <w:sz w:val="31"/>
          <w:szCs w:val="31"/>
          <w:shd w:val="clear" w:color="auto" w:fill="FFFFFF"/>
          <w:lang w:eastAsia="zh-CN"/>
        </w:rPr>
        <w:t>镇政府网站、微信等多种途径，及时准确地公开政府信息，202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hint="default" w:ascii="仿宋_GB2312" w:hAnsi="宋体" w:eastAsia="仿宋_GB2312" w:cs="仿宋_GB2312"/>
          <w:i w:val="0"/>
          <w:iCs w:val="0"/>
          <w:caps w:val="0"/>
          <w:color w:val="000000"/>
          <w:spacing w:val="0"/>
          <w:sz w:val="31"/>
          <w:szCs w:val="31"/>
          <w:shd w:val="clear" w:color="auto" w:fill="FFFFFF"/>
          <w:lang w:eastAsia="zh-CN"/>
        </w:rPr>
        <w:t>年全年通过木石镇网站发布信息</w:t>
      </w:r>
      <w:r>
        <w:rPr>
          <w:rFonts w:hint="eastAsia" w:ascii="仿宋_GB2312" w:hAnsi="宋体" w:eastAsia="仿宋_GB2312" w:cs="仿宋_GB2312"/>
          <w:i w:val="0"/>
          <w:iCs w:val="0"/>
          <w:caps w:val="0"/>
          <w:color w:val="000000"/>
          <w:spacing w:val="0"/>
          <w:sz w:val="31"/>
          <w:szCs w:val="31"/>
          <w:shd w:val="clear" w:color="auto" w:fill="FFFFFF"/>
          <w:lang w:val="en-US" w:eastAsia="zh-CN"/>
        </w:rPr>
        <w:t>152</w:t>
      </w:r>
      <w:r>
        <w:rPr>
          <w:rFonts w:hint="default" w:ascii="仿宋_GB2312" w:hAnsi="宋体" w:eastAsia="仿宋_GB2312" w:cs="仿宋_GB2312"/>
          <w:i w:val="0"/>
          <w:iCs w:val="0"/>
          <w:caps w:val="0"/>
          <w:color w:val="000000"/>
          <w:spacing w:val="0"/>
          <w:sz w:val="31"/>
          <w:szCs w:val="31"/>
          <w:shd w:val="clear" w:color="auto" w:fill="FFFFFF"/>
          <w:lang w:eastAsia="zh-CN"/>
        </w:rPr>
        <w:t>条；通过微信公众号推送图文信息</w:t>
      </w:r>
      <w:r>
        <w:rPr>
          <w:rFonts w:hint="eastAsia" w:ascii="仿宋_GB2312" w:hAnsi="宋体" w:eastAsia="仿宋_GB2312" w:cs="仿宋_GB2312"/>
          <w:i w:val="0"/>
          <w:iCs w:val="0"/>
          <w:caps w:val="0"/>
          <w:color w:val="000000"/>
          <w:spacing w:val="0"/>
          <w:sz w:val="31"/>
          <w:szCs w:val="31"/>
          <w:shd w:val="clear" w:color="auto" w:fill="FFFFFF"/>
          <w:lang w:val="en-US" w:eastAsia="zh-CN"/>
        </w:rPr>
        <w:t>788</w:t>
      </w:r>
      <w:r>
        <w:rPr>
          <w:rFonts w:hint="default" w:ascii="仿宋_GB2312" w:hAnsi="宋体" w:eastAsia="仿宋_GB2312" w:cs="仿宋_GB2312"/>
          <w:i w:val="0"/>
          <w:iCs w:val="0"/>
          <w:caps w:val="0"/>
          <w:color w:val="000000"/>
          <w:spacing w:val="0"/>
          <w:sz w:val="31"/>
          <w:szCs w:val="31"/>
          <w:shd w:val="clear" w:color="auto" w:fill="FFFFFF"/>
          <w:lang w:eastAsia="zh-CN"/>
        </w:rPr>
        <w:t>条；通过新浪微博推送图文信息</w:t>
      </w:r>
      <w:r>
        <w:rPr>
          <w:rFonts w:hint="eastAsia" w:ascii="仿宋_GB2312" w:hAnsi="宋体" w:eastAsia="仿宋_GB2312" w:cs="仿宋_GB2312"/>
          <w:i w:val="0"/>
          <w:iCs w:val="0"/>
          <w:caps w:val="0"/>
          <w:color w:val="000000"/>
          <w:spacing w:val="0"/>
          <w:sz w:val="31"/>
          <w:szCs w:val="31"/>
          <w:shd w:val="clear" w:color="auto" w:fill="FFFFFF"/>
          <w:lang w:val="en-US" w:eastAsia="zh-CN"/>
        </w:rPr>
        <w:t>42</w:t>
      </w:r>
      <w:r>
        <w:rPr>
          <w:rFonts w:hint="default" w:ascii="仿宋_GB2312" w:hAnsi="宋体" w:eastAsia="仿宋_GB2312" w:cs="仿宋_GB2312"/>
          <w:i w:val="0"/>
          <w:iCs w:val="0"/>
          <w:caps w:val="0"/>
          <w:color w:val="000000"/>
          <w:spacing w:val="0"/>
          <w:sz w:val="31"/>
          <w:szCs w:val="31"/>
          <w:shd w:val="clear" w:color="auto" w:fill="FFFFFF"/>
          <w:lang w:eastAsia="zh-CN"/>
        </w:rPr>
        <w:t>条；通过信息公开网站主动公开政府信息数</w:t>
      </w:r>
      <w:r>
        <w:rPr>
          <w:rFonts w:hint="eastAsia" w:ascii="仿宋_GB2312" w:hAnsi="宋体" w:eastAsia="仿宋_GB2312" w:cs="仿宋_GB2312"/>
          <w:i w:val="0"/>
          <w:iCs w:val="0"/>
          <w:caps w:val="0"/>
          <w:color w:val="000000"/>
          <w:spacing w:val="0"/>
          <w:sz w:val="31"/>
          <w:szCs w:val="31"/>
          <w:shd w:val="clear" w:color="auto" w:fill="FFFFFF"/>
          <w:lang w:val="en-US" w:eastAsia="zh-CN"/>
        </w:rPr>
        <w:t>19</w:t>
      </w:r>
      <w:r>
        <w:rPr>
          <w:rFonts w:hint="default" w:ascii="仿宋_GB2312" w:hAnsi="宋体" w:eastAsia="仿宋_GB2312" w:cs="仿宋_GB2312"/>
          <w:i w:val="0"/>
          <w:iCs w:val="0"/>
          <w:caps w:val="0"/>
          <w:color w:val="000000"/>
          <w:spacing w:val="0"/>
          <w:sz w:val="31"/>
          <w:szCs w:val="31"/>
          <w:shd w:val="clear" w:color="auto" w:fill="FFFFFF"/>
          <w:lang w:eastAsia="zh-CN"/>
        </w:rPr>
        <w:t>条，其中，通知公告2条，政策文件</w:t>
      </w:r>
      <w:r>
        <w:rPr>
          <w:rFonts w:hint="eastAsia" w:ascii="仿宋_GB2312" w:hAnsi="宋体" w:eastAsia="仿宋_GB2312" w:cs="仿宋_GB2312"/>
          <w:i w:val="0"/>
          <w:iCs w:val="0"/>
          <w:caps w:val="0"/>
          <w:color w:val="000000"/>
          <w:spacing w:val="0"/>
          <w:sz w:val="31"/>
          <w:szCs w:val="31"/>
          <w:shd w:val="clear" w:color="auto" w:fill="FFFFFF"/>
          <w:lang w:val="en-US" w:eastAsia="zh-CN"/>
        </w:rPr>
        <w:t>4</w:t>
      </w:r>
      <w:r>
        <w:rPr>
          <w:rFonts w:hint="default" w:ascii="仿宋_GB2312" w:hAnsi="宋体" w:eastAsia="仿宋_GB2312" w:cs="仿宋_GB2312"/>
          <w:i w:val="0"/>
          <w:iCs w:val="0"/>
          <w:caps w:val="0"/>
          <w:color w:val="000000"/>
          <w:spacing w:val="0"/>
          <w:sz w:val="31"/>
          <w:szCs w:val="31"/>
          <w:shd w:val="clear" w:color="auto" w:fill="FFFFFF"/>
          <w:lang w:eastAsia="zh-CN"/>
        </w:rPr>
        <w:t>条，规划计划1条，组织管理</w:t>
      </w:r>
      <w:r>
        <w:rPr>
          <w:rFonts w:hint="eastAsia" w:ascii="仿宋_GB2312" w:hAnsi="宋体" w:eastAsia="仿宋_GB2312" w:cs="仿宋_GB2312"/>
          <w:i w:val="0"/>
          <w:iCs w:val="0"/>
          <w:caps w:val="0"/>
          <w:color w:val="000000"/>
          <w:spacing w:val="0"/>
          <w:sz w:val="31"/>
          <w:szCs w:val="31"/>
          <w:shd w:val="clear" w:color="auto" w:fill="FFFFFF"/>
          <w:lang w:val="en-US" w:eastAsia="zh-CN"/>
        </w:rPr>
        <w:t>6</w:t>
      </w:r>
      <w:r>
        <w:rPr>
          <w:rFonts w:hint="default" w:ascii="仿宋_GB2312" w:hAnsi="宋体" w:eastAsia="仿宋_GB2312" w:cs="仿宋_GB2312"/>
          <w:i w:val="0"/>
          <w:iCs w:val="0"/>
          <w:caps w:val="0"/>
          <w:color w:val="000000"/>
          <w:spacing w:val="0"/>
          <w:sz w:val="31"/>
          <w:szCs w:val="31"/>
          <w:shd w:val="clear" w:color="auto" w:fill="FFFFFF"/>
          <w:lang w:eastAsia="zh-CN"/>
        </w:rPr>
        <w:t>条，公开基本目录</w:t>
      </w:r>
      <w:r>
        <w:rPr>
          <w:rFonts w:hint="eastAsia" w:ascii="仿宋_GB2312" w:hAnsi="宋体" w:eastAsia="仿宋_GB2312" w:cs="仿宋_GB2312"/>
          <w:i w:val="0"/>
          <w:iCs w:val="0"/>
          <w:caps w:val="0"/>
          <w:color w:val="000000"/>
          <w:spacing w:val="0"/>
          <w:sz w:val="31"/>
          <w:szCs w:val="31"/>
          <w:shd w:val="clear" w:color="auto" w:fill="FFFFFF"/>
          <w:lang w:val="en-US" w:eastAsia="zh-CN"/>
        </w:rPr>
        <w:t>1</w:t>
      </w:r>
      <w:r>
        <w:rPr>
          <w:rFonts w:hint="default" w:ascii="仿宋_GB2312" w:hAnsi="宋体" w:eastAsia="仿宋_GB2312" w:cs="仿宋_GB2312"/>
          <w:i w:val="0"/>
          <w:iCs w:val="0"/>
          <w:caps w:val="0"/>
          <w:color w:val="000000"/>
          <w:spacing w:val="0"/>
          <w:sz w:val="31"/>
          <w:szCs w:val="31"/>
          <w:shd w:val="clear" w:color="auto" w:fill="FFFFFF"/>
          <w:lang w:eastAsia="zh-CN"/>
        </w:rPr>
        <w:t>条，基本信息</w:t>
      </w:r>
      <w:r>
        <w:rPr>
          <w:rFonts w:hint="eastAsia" w:ascii="仿宋_GB2312" w:hAnsi="宋体" w:eastAsia="仿宋_GB2312" w:cs="仿宋_GB2312"/>
          <w:i w:val="0"/>
          <w:iCs w:val="0"/>
          <w:caps w:val="0"/>
          <w:color w:val="000000"/>
          <w:spacing w:val="0"/>
          <w:sz w:val="31"/>
          <w:szCs w:val="31"/>
          <w:shd w:val="clear" w:color="auto" w:fill="FFFFFF"/>
          <w:lang w:val="en-US" w:eastAsia="zh-CN"/>
        </w:rPr>
        <w:t>5</w:t>
      </w:r>
      <w:r>
        <w:rPr>
          <w:rFonts w:hint="default" w:ascii="仿宋_GB2312" w:hAnsi="宋体" w:eastAsia="仿宋_GB2312" w:cs="仿宋_GB2312"/>
          <w:i w:val="0"/>
          <w:iCs w:val="0"/>
          <w:caps w:val="0"/>
          <w:color w:val="000000"/>
          <w:spacing w:val="0"/>
          <w:sz w:val="31"/>
          <w:szCs w:val="31"/>
          <w:shd w:val="clear" w:color="auto" w:fill="FFFFFF"/>
          <w:lang w:eastAsia="zh-CN"/>
        </w:rPr>
        <w:t>条。</w:t>
      </w:r>
    </w:p>
    <w:p>
      <w:pPr>
        <w:jc w:val="left"/>
        <w:rPr>
          <w:rFonts w:hint="default" w:ascii="仿宋_GB2312" w:hAnsi="宋体" w:eastAsia="仿宋_GB2312" w:cs="仿宋_GB2312"/>
          <w:i w:val="0"/>
          <w:iCs w:val="0"/>
          <w:caps w:val="0"/>
          <w:color w:val="000000"/>
          <w:spacing w:val="0"/>
          <w:sz w:val="31"/>
          <w:szCs w:val="31"/>
          <w:shd w:val="clear" w:color="auto" w:fill="FFFFFF"/>
          <w:lang w:eastAsia="zh-CN"/>
        </w:rPr>
      </w:pPr>
    </w:p>
    <w:p>
      <w:pPr>
        <w:jc w:val="left"/>
        <w:rPr>
          <w:rFonts w:hint="default" w:ascii="仿宋_GB2312" w:hAnsi="宋体" w:eastAsia="仿宋_GB2312" w:cs="仿宋_GB2312"/>
          <w:i w:val="0"/>
          <w:iCs w:val="0"/>
          <w:caps w:val="0"/>
          <w:color w:val="000000"/>
          <w:spacing w:val="0"/>
          <w:sz w:val="31"/>
          <w:szCs w:val="31"/>
          <w:shd w:val="clear" w:color="auto" w:fill="FFFFFF"/>
          <w:lang w:eastAsia="zh-CN"/>
        </w:rPr>
      </w:pPr>
      <w:r>
        <w:rPr>
          <w:rFonts w:hint="default" w:ascii="仿宋_GB2312" w:hAnsi="宋体" w:eastAsia="仿宋_GB2312" w:cs="仿宋_GB2312"/>
          <w:i w:val="0"/>
          <w:iCs w:val="0"/>
          <w:caps w:val="0"/>
          <w:color w:val="000000"/>
          <w:spacing w:val="0"/>
          <w:sz w:val="31"/>
          <w:szCs w:val="31"/>
          <w:shd w:val="clear" w:color="auto" w:fill="FFFFFF"/>
          <w:lang w:eastAsia="zh-CN"/>
        </w:rPr>
        <w:drawing>
          <wp:inline distT="0" distB="0" distL="114300" distR="114300">
            <wp:extent cx="5219700" cy="2914650"/>
            <wp:effectExtent l="0" t="0" r="0" b="0"/>
            <wp:docPr id="6" name="图片 3" descr="84df071d45963ee451b5a9b4cc22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84df071d45963ee451b5a9b4cc2235d"/>
                    <pic:cNvPicPr>
                      <a:picLocks noChangeAspect="1"/>
                    </pic:cNvPicPr>
                  </pic:nvPicPr>
                  <pic:blipFill>
                    <a:blip r:embed="rId6"/>
                    <a:stretch>
                      <a:fillRect/>
                    </a:stretch>
                  </pic:blipFill>
                  <pic:spPr>
                    <a:xfrm>
                      <a:off x="0" y="0"/>
                      <a:ext cx="5219700" cy="2914650"/>
                    </a:xfrm>
                    <a:prstGeom prst="rect">
                      <a:avLst/>
                    </a:prstGeom>
                    <a:noFill/>
                    <a:ln>
                      <a:noFill/>
                    </a:ln>
                  </pic:spPr>
                </pic:pic>
              </a:graphicData>
            </a:graphic>
          </wp:inline>
        </w:drawing>
      </w:r>
    </w:p>
    <w:p>
      <w:pPr>
        <w:jc w:val="left"/>
        <w:rPr>
          <w:rFonts w:hint="eastAsia" w:ascii="仿宋_GB2312" w:hAnsi="宋体" w:eastAsia="仿宋_GB2312" w:cs="仿宋_GB2312"/>
          <w:i w:val="0"/>
          <w:iCs w:val="0"/>
          <w:caps w:val="0"/>
          <w:color w:val="000000"/>
          <w:spacing w:val="0"/>
          <w:sz w:val="31"/>
          <w:szCs w:val="31"/>
          <w:shd w:val="clear" w:color="auto" w:fill="FFFFFF"/>
          <w:lang w:val="en-US" w:eastAsia="zh-CN"/>
        </w:rPr>
      </w:pPr>
      <w:r>
        <w:rPr>
          <w:rFonts w:hint="default" w:ascii="仿宋_GB2312" w:hAnsi="宋体" w:eastAsia="仿宋_GB2312" w:cs="仿宋_GB2312"/>
          <w:i w:val="0"/>
          <w:iCs w:val="0"/>
          <w:caps w:val="0"/>
          <w:color w:val="000000"/>
          <w:spacing w:val="0"/>
          <w:sz w:val="31"/>
          <w:szCs w:val="31"/>
          <w:shd w:val="clear" w:color="auto" w:fill="FFFFFF"/>
          <w:lang w:eastAsia="zh-CN"/>
        </w:rPr>
        <w:drawing>
          <wp:anchor distT="0" distB="0" distL="114300" distR="114300" simplePos="0" relativeHeight="251659264" behindDoc="0" locked="0" layoutInCell="1" allowOverlap="1">
            <wp:simplePos x="0" y="0"/>
            <wp:positionH relativeFrom="column">
              <wp:posOffset>78105</wp:posOffset>
            </wp:positionH>
            <wp:positionV relativeFrom="paragraph">
              <wp:posOffset>356870</wp:posOffset>
            </wp:positionV>
            <wp:extent cx="4879975" cy="2950845"/>
            <wp:effectExtent l="0" t="0" r="15875" b="1905"/>
            <wp:wrapTopAndBottom/>
            <wp:docPr id="1" name="图片 2" descr="e0542918c8883686048bb86b15cf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e0542918c8883686048bb86b15cf2f1"/>
                    <pic:cNvPicPr>
                      <a:picLocks noChangeAspect="1"/>
                    </pic:cNvPicPr>
                  </pic:nvPicPr>
                  <pic:blipFill>
                    <a:blip r:embed="rId7"/>
                    <a:stretch>
                      <a:fillRect/>
                    </a:stretch>
                  </pic:blipFill>
                  <pic:spPr>
                    <a:xfrm>
                      <a:off x="0" y="0"/>
                      <a:ext cx="4879975" cy="2950845"/>
                    </a:xfrm>
                    <a:prstGeom prst="rect">
                      <a:avLst/>
                    </a:prstGeom>
                    <a:noFill/>
                    <a:ln>
                      <a:noFill/>
                    </a:ln>
                  </pic:spPr>
                </pic:pic>
              </a:graphicData>
            </a:graphic>
          </wp:anchor>
        </w:drawing>
      </w:r>
    </w:p>
    <w:p>
      <w:pPr>
        <w:jc w:val="left"/>
        <w:rPr>
          <w:rFonts w:hint="eastAsia" w:ascii="仿宋_GB2312" w:hAnsi="宋体" w:eastAsia="仿宋_GB2312" w:cs="仿宋_GB2312"/>
          <w:i w:val="0"/>
          <w:iCs w:val="0"/>
          <w:caps w:val="0"/>
          <w:color w:val="000000"/>
          <w:spacing w:val="0"/>
          <w:sz w:val="31"/>
          <w:szCs w:val="31"/>
          <w:shd w:val="clear" w:color="auto" w:fill="FFFFFF"/>
          <w:lang w:eastAsia="zh-CN"/>
        </w:rPr>
      </w:pPr>
      <w:r>
        <w:rPr>
          <w:rFonts w:hint="eastAsia" w:ascii="仿宋_GB2312" w:hAnsi="宋体" w:eastAsia="仿宋_GB2312" w:cs="仿宋_GB2312"/>
          <w:i w:val="0"/>
          <w:iCs w:val="0"/>
          <w:caps w:val="0"/>
          <w:color w:val="000000"/>
          <w:spacing w:val="0"/>
          <w:sz w:val="31"/>
          <w:szCs w:val="31"/>
          <w:shd w:val="clear" w:color="auto" w:fill="FFFFFF"/>
          <w:lang w:eastAsia="zh-CN"/>
        </w:rPr>
        <w:t> （二）收到和处理政府信息公开申请情况</w:t>
      </w:r>
    </w:p>
    <w:p>
      <w:pPr>
        <w:ind w:firstLine="620" w:firstLineChars="200"/>
        <w:jc w:val="left"/>
        <w:rPr>
          <w:rFonts w:hint="default" w:ascii="仿宋_GB2312" w:hAnsi="宋体" w:eastAsia="仿宋_GB2312" w:cs="仿宋_GB2312"/>
          <w:i w:val="0"/>
          <w:iCs w:val="0"/>
          <w:caps w:val="0"/>
          <w:color w:val="000000"/>
          <w:spacing w:val="0"/>
          <w:sz w:val="31"/>
          <w:szCs w:val="31"/>
          <w:shd w:val="clear" w:color="auto" w:fill="FFFFFF"/>
          <w:lang w:eastAsia="zh-CN"/>
        </w:rPr>
      </w:pPr>
      <w:r>
        <w:rPr>
          <w:rFonts w:hint="default" w:ascii="仿宋_GB2312" w:hAnsi="宋体" w:eastAsia="仿宋_GB2312" w:cs="仿宋_GB2312"/>
          <w:i w:val="0"/>
          <w:iCs w:val="0"/>
          <w:caps w:val="0"/>
          <w:color w:val="000000"/>
          <w:spacing w:val="0"/>
          <w:sz w:val="31"/>
          <w:szCs w:val="31"/>
          <w:shd w:val="clear" w:color="auto" w:fill="FFFFFF"/>
          <w:lang w:eastAsia="zh-CN"/>
        </w:rPr>
        <w:t>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hint="default" w:ascii="仿宋_GB2312" w:hAnsi="宋体" w:eastAsia="仿宋_GB2312" w:cs="仿宋_GB2312"/>
          <w:i w:val="0"/>
          <w:iCs w:val="0"/>
          <w:caps w:val="0"/>
          <w:color w:val="000000"/>
          <w:spacing w:val="0"/>
          <w:sz w:val="31"/>
          <w:szCs w:val="31"/>
          <w:shd w:val="clear" w:color="auto" w:fill="FFFFFF"/>
          <w:lang w:eastAsia="zh-CN"/>
        </w:rPr>
        <w:t>年以来，坚持“归口办理、依法有据、严谨规范、慎重稳妥”的原则，完善受理、审查、处理、答复以及保存备查等各环节流程,保证依申请公开流程科学、程序合法、答复规范，示范指引，真正提升效能、服务于民。</w:t>
      </w:r>
    </w:p>
    <w:p>
      <w:pPr>
        <w:ind w:firstLine="620" w:firstLineChars="200"/>
        <w:jc w:val="left"/>
        <w:rPr>
          <w:rFonts w:hint="default" w:ascii="仿宋_GB2312" w:hAnsi="宋体" w:eastAsia="仿宋_GB2312" w:cs="仿宋_GB2312"/>
          <w:i w:val="0"/>
          <w:iCs w:val="0"/>
          <w:caps w:val="0"/>
          <w:color w:val="000000"/>
          <w:spacing w:val="0"/>
          <w:sz w:val="31"/>
          <w:szCs w:val="31"/>
          <w:shd w:val="clear" w:color="auto" w:fill="FFFFFF"/>
          <w:lang w:eastAsia="zh-CN"/>
        </w:rPr>
      </w:pPr>
      <w:r>
        <w:rPr>
          <w:rFonts w:hint="default" w:ascii="仿宋_GB2312" w:hAnsi="宋体" w:eastAsia="仿宋_GB2312" w:cs="仿宋_GB2312"/>
          <w:i w:val="0"/>
          <w:iCs w:val="0"/>
          <w:caps w:val="0"/>
          <w:color w:val="000000"/>
          <w:spacing w:val="0"/>
          <w:sz w:val="31"/>
          <w:szCs w:val="31"/>
          <w:shd w:val="clear" w:color="auto" w:fill="FFFFFF"/>
          <w:lang w:eastAsia="zh-CN"/>
        </w:rPr>
        <w:t>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hint="default" w:ascii="仿宋_GB2312" w:hAnsi="宋体" w:eastAsia="仿宋_GB2312" w:cs="仿宋_GB2312"/>
          <w:i w:val="0"/>
          <w:iCs w:val="0"/>
          <w:caps w:val="0"/>
          <w:color w:val="000000"/>
          <w:spacing w:val="0"/>
          <w:sz w:val="31"/>
          <w:szCs w:val="31"/>
          <w:shd w:val="clear" w:color="auto" w:fill="FFFFFF"/>
          <w:lang w:eastAsia="zh-CN"/>
        </w:rPr>
        <w:t>年，滕州市</w:t>
      </w:r>
      <w:r>
        <w:rPr>
          <w:rFonts w:hint="eastAsia" w:ascii="仿宋_GB2312" w:hAnsi="宋体" w:eastAsia="仿宋_GB2312" w:cs="仿宋_GB2312"/>
          <w:i w:val="0"/>
          <w:iCs w:val="0"/>
          <w:caps w:val="0"/>
          <w:color w:val="000000"/>
          <w:spacing w:val="0"/>
          <w:sz w:val="31"/>
          <w:szCs w:val="31"/>
          <w:shd w:val="clear" w:color="auto" w:fill="FFFFFF"/>
          <w:lang w:eastAsia="zh-CN"/>
        </w:rPr>
        <w:t>木石</w:t>
      </w:r>
      <w:r>
        <w:rPr>
          <w:rFonts w:hint="default" w:ascii="仿宋_GB2312" w:hAnsi="宋体" w:eastAsia="仿宋_GB2312" w:cs="仿宋_GB2312"/>
          <w:i w:val="0"/>
          <w:iCs w:val="0"/>
          <w:caps w:val="0"/>
          <w:color w:val="000000"/>
          <w:spacing w:val="0"/>
          <w:sz w:val="31"/>
          <w:szCs w:val="31"/>
          <w:shd w:val="clear" w:color="auto" w:fill="FFFFFF"/>
          <w:lang w:eastAsia="zh-CN"/>
        </w:rPr>
        <w:t>镇人民政府新</w:t>
      </w:r>
      <w:r>
        <w:rPr>
          <w:rFonts w:hint="eastAsia" w:ascii="仿宋_GB2312" w:hAnsi="宋体" w:eastAsia="仿宋_GB2312" w:cs="仿宋_GB2312"/>
          <w:i w:val="0"/>
          <w:iCs w:val="0"/>
          <w:caps w:val="0"/>
          <w:color w:val="000000"/>
          <w:spacing w:val="0"/>
          <w:sz w:val="31"/>
          <w:szCs w:val="31"/>
          <w:shd w:val="clear" w:color="auto" w:fill="FFFFFF"/>
          <w:lang w:val="en-US" w:eastAsia="zh-CN"/>
        </w:rPr>
        <w:t>1</w:t>
      </w:r>
      <w:r>
        <w:rPr>
          <w:rFonts w:hint="default" w:ascii="仿宋_GB2312" w:hAnsi="宋体" w:eastAsia="仿宋_GB2312" w:cs="仿宋_GB2312"/>
          <w:i w:val="0"/>
          <w:iCs w:val="0"/>
          <w:caps w:val="0"/>
          <w:color w:val="000000"/>
          <w:spacing w:val="0"/>
          <w:sz w:val="31"/>
          <w:szCs w:val="31"/>
          <w:shd w:val="clear" w:color="auto" w:fill="FFFFFF"/>
          <w:lang w:eastAsia="zh-CN"/>
        </w:rPr>
        <w:t>件政府信息公开申请</w:t>
      </w:r>
      <w:r>
        <w:rPr>
          <w:rFonts w:hint="eastAsia" w:ascii="仿宋_GB2312" w:hAnsi="宋体" w:eastAsia="仿宋_GB2312" w:cs="仿宋_GB2312"/>
          <w:i w:val="0"/>
          <w:iCs w:val="0"/>
          <w:caps w:val="0"/>
          <w:color w:val="000000"/>
          <w:spacing w:val="0"/>
          <w:sz w:val="31"/>
          <w:szCs w:val="31"/>
          <w:shd w:val="clear" w:color="auto" w:fill="FFFFFF"/>
          <w:lang w:eastAsia="zh-CN"/>
        </w:rPr>
        <w:t>，上年结转0件，合计</w:t>
      </w:r>
      <w:r>
        <w:rPr>
          <w:rFonts w:hint="eastAsia" w:ascii="仿宋_GB2312" w:hAnsi="宋体" w:eastAsia="仿宋_GB2312" w:cs="仿宋_GB2312"/>
          <w:i w:val="0"/>
          <w:iCs w:val="0"/>
          <w:caps w:val="0"/>
          <w:color w:val="000000"/>
          <w:spacing w:val="0"/>
          <w:sz w:val="31"/>
          <w:szCs w:val="31"/>
          <w:shd w:val="clear" w:color="auto" w:fill="FFFFFF"/>
          <w:lang w:val="en-US" w:eastAsia="zh-CN"/>
        </w:rPr>
        <w:t>1</w:t>
      </w:r>
      <w:r>
        <w:rPr>
          <w:rFonts w:hint="eastAsia" w:ascii="仿宋_GB2312" w:hAnsi="宋体" w:eastAsia="仿宋_GB2312" w:cs="仿宋_GB2312"/>
          <w:i w:val="0"/>
          <w:iCs w:val="0"/>
          <w:caps w:val="0"/>
          <w:color w:val="000000"/>
          <w:spacing w:val="0"/>
          <w:sz w:val="31"/>
          <w:szCs w:val="31"/>
          <w:shd w:val="clear" w:color="auto" w:fill="FFFFFF"/>
          <w:lang w:eastAsia="zh-CN"/>
        </w:rPr>
        <w:t>件。自然人申请</w:t>
      </w:r>
      <w:r>
        <w:rPr>
          <w:rFonts w:hint="eastAsia" w:ascii="仿宋_GB2312" w:hAnsi="宋体" w:eastAsia="仿宋_GB2312" w:cs="仿宋_GB2312"/>
          <w:i w:val="0"/>
          <w:iCs w:val="0"/>
          <w:caps w:val="0"/>
          <w:color w:val="000000"/>
          <w:spacing w:val="0"/>
          <w:sz w:val="31"/>
          <w:szCs w:val="31"/>
          <w:shd w:val="clear" w:color="auto" w:fill="FFFFFF"/>
          <w:lang w:val="en-US" w:eastAsia="zh-CN"/>
        </w:rPr>
        <w:t>1</w:t>
      </w:r>
      <w:r>
        <w:rPr>
          <w:rFonts w:hint="eastAsia" w:ascii="仿宋_GB2312" w:hAnsi="宋体" w:eastAsia="仿宋_GB2312" w:cs="仿宋_GB2312"/>
          <w:i w:val="0"/>
          <w:iCs w:val="0"/>
          <w:caps w:val="0"/>
          <w:color w:val="000000"/>
          <w:spacing w:val="0"/>
          <w:sz w:val="31"/>
          <w:szCs w:val="31"/>
          <w:shd w:val="clear" w:color="auto" w:fill="FFFFFF"/>
          <w:lang w:eastAsia="zh-CN"/>
        </w:rPr>
        <w:t>件，其他处理0件。</w:t>
      </w:r>
      <w:r>
        <w:rPr>
          <w:rFonts w:hint="eastAsia" w:ascii="仿宋_GB2312" w:hAnsi="宋体" w:eastAsia="仿宋_GB2312" w:cs="仿宋_GB2312"/>
          <w:i w:val="0"/>
          <w:iCs w:val="0"/>
          <w:caps w:val="0"/>
          <w:color w:val="000000"/>
          <w:spacing w:val="0"/>
          <w:sz w:val="31"/>
          <w:szCs w:val="31"/>
          <w:shd w:val="clear" w:color="auto" w:fill="FFFFFF"/>
          <w:lang w:val="en-US" w:eastAsia="zh-CN"/>
        </w:rPr>
        <w:t xml:space="preserve">    </w:t>
      </w:r>
      <w:r>
        <w:rPr>
          <w:rFonts w:hint="default" w:ascii="仿宋_GB2312" w:hAnsi="宋体" w:eastAsia="仿宋_GB2312" w:cs="仿宋_GB2312"/>
          <w:i w:val="0"/>
          <w:iCs w:val="0"/>
          <w:caps w:val="0"/>
          <w:color w:val="000000"/>
          <w:spacing w:val="0"/>
          <w:sz w:val="31"/>
          <w:szCs w:val="31"/>
          <w:shd w:val="clear" w:color="auto" w:fill="FFFFFF"/>
          <w:lang w:eastAsia="zh-CN"/>
        </w:rPr>
        <w:t>202</w:t>
      </w:r>
      <w:r>
        <w:rPr>
          <w:rFonts w:hint="eastAsia" w:ascii="仿宋_GB2312" w:hAnsi="宋体" w:eastAsia="仿宋_GB2312" w:cs="仿宋_GB2312"/>
          <w:i w:val="0"/>
          <w:iCs w:val="0"/>
          <w:caps w:val="0"/>
          <w:color w:val="000000"/>
          <w:spacing w:val="0"/>
          <w:sz w:val="31"/>
          <w:szCs w:val="31"/>
          <w:shd w:val="clear" w:color="auto" w:fill="FFFFFF"/>
          <w:lang w:val="en-US" w:eastAsia="zh-CN"/>
        </w:rPr>
        <w:t>2</w:t>
      </w:r>
      <w:r>
        <w:rPr>
          <w:rFonts w:hint="default" w:ascii="仿宋_GB2312" w:hAnsi="宋体" w:eastAsia="仿宋_GB2312" w:cs="仿宋_GB2312"/>
          <w:i w:val="0"/>
          <w:iCs w:val="0"/>
          <w:caps w:val="0"/>
          <w:color w:val="000000"/>
          <w:spacing w:val="0"/>
          <w:sz w:val="31"/>
          <w:szCs w:val="31"/>
          <w:shd w:val="clear" w:color="auto" w:fill="FFFFFF"/>
          <w:lang w:eastAsia="zh-CN"/>
        </w:rPr>
        <w:t>年，滕州市</w:t>
      </w:r>
      <w:r>
        <w:rPr>
          <w:rFonts w:hint="eastAsia" w:ascii="仿宋_GB2312" w:hAnsi="宋体" w:eastAsia="仿宋_GB2312" w:cs="仿宋_GB2312"/>
          <w:i w:val="0"/>
          <w:iCs w:val="0"/>
          <w:caps w:val="0"/>
          <w:color w:val="000000"/>
          <w:spacing w:val="0"/>
          <w:sz w:val="31"/>
          <w:szCs w:val="31"/>
          <w:shd w:val="clear" w:color="auto" w:fill="FFFFFF"/>
          <w:lang w:eastAsia="zh-CN"/>
        </w:rPr>
        <w:t>木石</w:t>
      </w:r>
      <w:r>
        <w:rPr>
          <w:rFonts w:hint="default" w:ascii="仿宋_GB2312" w:hAnsi="宋体" w:eastAsia="仿宋_GB2312" w:cs="仿宋_GB2312"/>
          <w:i w:val="0"/>
          <w:iCs w:val="0"/>
          <w:caps w:val="0"/>
          <w:color w:val="000000"/>
          <w:spacing w:val="0"/>
          <w:sz w:val="31"/>
          <w:szCs w:val="31"/>
          <w:shd w:val="clear" w:color="auto" w:fill="FFFFFF"/>
          <w:lang w:eastAsia="zh-CN"/>
        </w:rPr>
        <w:t>镇人民政府因信息公开被行政诉讼</w:t>
      </w:r>
      <w:r>
        <w:rPr>
          <w:rFonts w:hint="eastAsia" w:ascii="仿宋_GB2312" w:hAnsi="宋体" w:eastAsia="仿宋_GB2312" w:cs="仿宋_GB2312"/>
          <w:i w:val="0"/>
          <w:iCs w:val="0"/>
          <w:caps w:val="0"/>
          <w:color w:val="000000"/>
          <w:spacing w:val="0"/>
          <w:sz w:val="31"/>
          <w:szCs w:val="31"/>
          <w:shd w:val="clear" w:color="auto" w:fill="FFFFFF"/>
          <w:lang w:val="en-US" w:eastAsia="zh-CN"/>
        </w:rPr>
        <w:t>0</w:t>
      </w:r>
      <w:r>
        <w:rPr>
          <w:rFonts w:hint="default" w:ascii="仿宋_GB2312" w:hAnsi="宋体" w:eastAsia="仿宋_GB2312" w:cs="仿宋_GB2312"/>
          <w:i w:val="0"/>
          <w:iCs w:val="0"/>
          <w:caps w:val="0"/>
          <w:color w:val="000000"/>
          <w:spacing w:val="0"/>
          <w:sz w:val="31"/>
          <w:szCs w:val="31"/>
          <w:shd w:val="clear" w:color="auto" w:fill="FFFFFF"/>
          <w:lang w:eastAsia="zh-CN"/>
        </w:rPr>
        <w:t>件，其中复议后起诉尚未审结</w:t>
      </w:r>
      <w:r>
        <w:rPr>
          <w:rFonts w:hint="eastAsia" w:ascii="仿宋_GB2312" w:hAnsi="宋体" w:eastAsia="仿宋_GB2312" w:cs="仿宋_GB2312"/>
          <w:i w:val="0"/>
          <w:iCs w:val="0"/>
          <w:caps w:val="0"/>
          <w:color w:val="000000"/>
          <w:spacing w:val="0"/>
          <w:sz w:val="31"/>
          <w:szCs w:val="31"/>
          <w:shd w:val="clear" w:color="auto" w:fill="FFFFFF"/>
          <w:lang w:val="en-US" w:eastAsia="zh-CN"/>
        </w:rPr>
        <w:t>0</w:t>
      </w:r>
      <w:r>
        <w:rPr>
          <w:rFonts w:hint="default" w:ascii="仿宋_GB2312" w:hAnsi="宋体" w:eastAsia="仿宋_GB2312" w:cs="仿宋_GB2312"/>
          <w:i w:val="0"/>
          <w:iCs w:val="0"/>
          <w:caps w:val="0"/>
          <w:color w:val="000000"/>
          <w:spacing w:val="0"/>
          <w:sz w:val="31"/>
          <w:szCs w:val="31"/>
          <w:shd w:val="clear" w:color="auto" w:fill="FFFFFF"/>
          <w:lang w:eastAsia="zh-CN"/>
        </w:rPr>
        <w:t>件。</w:t>
      </w:r>
    </w:p>
    <w:p>
      <w:pPr>
        <w:jc w:val="left"/>
        <w:rPr>
          <w:rFonts w:hint="eastAsia" w:ascii="仿宋_GB2312" w:hAnsi="宋体" w:eastAsia="仿宋_GB2312" w:cs="仿宋_GB2312"/>
          <w:i w:val="0"/>
          <w:iCs w:val="0"/>
          <w:caps w:val="0"/>
          <w:color w:val="000000"/>
          <w:spacing w:val="0"/>
          <w:sz w:val="31"/>
          <w:szCs w:val="31"/>
          <w:shd w:val="clear" w:color="auto" w:fill="FFFFFF"/>
          <w:lang w:eastAsia="zh-CN"/>
        </w:rPr>
      </w:pPr>
      <w:r>
        <w:rPr>
          <w:rFonts w:hint="eastAsia" w:ascii="仿宋_GB2312" w:hAnsi="宋体" w:eastAsia="仿宋_GB2312" w:cs="仿宋_GB2312"/>
          <w:i w:val="0"/>
          <w:iCs w:val="0"/>
          <w:caps w:val="0"/>
          <w:color w:val="000000"/>
          <w:spacing w:val="0"/>
          <w:sz w:val="31"/>
          <w:szCs w:val="31"/>
          <w:shd w:val="clear" w:color="auto" w:fill="FFFFFF"/>
          <w:lang w:eastAsia="zh-CN"/>
        </w:rPr>
        <w:t> （三）政府信息管理情况</w:t>
      </w:r>
    </w:p>
    <w:p>
      <w:pPr>
        <w:ind w:firstLine="620" w:firstLineChars="200"/>
        <w:jc w:val="left"/>
        <w:rPr>
          <w:rFonts w:hint="default" w:ascii="仿宋_GB2312" w:hAnsi="宋体" w:eastAsia="仿宋_GB2312" w:cs="仿宋_GB2312"/>
          <w:i w:val="0"/>
          <w:iCs w:val="0"/>
          <w:caps w:val="0"/>
          <w:color w:val="000000"/>
          <w:spacing w:val="0"/>
          <w:sz w:val="31"/>
          <w:szCs w:val="31"/>
          <w:shd w:val="clear" w:color="auto" w:fill="FFFFFF"/>
          <w:lang w:eastAsia="zh-CN"/>
        </w:rPr>
      </w:pPr>
      <w:r>
        <w:rPr>
          <w:rFonts w:hint="default" w:ascii="仿宋_GB2312" w:hAnsi="宋体" w:eastAsia="仿宋_GB2312" w:cs="仿宋_GB2312"/>
          <w:i w:val="0"/>
          <w:iCs w:val="0"/>
          <w:caps w:val="0"/>
          <w:color w:val="000000"/>
          <w:spacing w:val="0"/>
          <w:sz w:val="31"/>
          <w:szCs w:val="31"/>
          <w:shd w:val="clear" w:color="auto" w:fill="FFFFFF"/>
          <w:lang w:eastAsia="zh-CN"/>
        </w:rPr>
        <w:t>在贯彻落实省、市两级关于政务公开指示精神的过程中，结合本单位实际，制定出台了《滕州市</w:t>
      </w:r>
      <w:r>
        <w:rPr>
          <w:rFonts w:hint="eastAsia" w:ascii="仿宋_GB2312" w:hAnsi="宋体" w:eastAsia="仿宋_GB2312" w:cs="仿宋_GB2312"/>
          <w:i w:val="0"/>
          <w:iCs w:val="0"/>
          <w:caps w:val="0"/>
          <w:color w:val="000000"/>
          <w:spacing w:val="0"/>
          <w:sz w:val="31"/>
          <w:szCs w:val="31"/>
          <w:shd w:val="clear" w:color="auto" w:fill="FFFFFF"/>
          <w:lang w:eastAsia="zh-CN"/>
        </w:rPr>
        <w:t>木石</w:t>
      </w:r>
      <w:r>
        <w:rPr>
          <w:rFonts w:hint="default" w:ascii="仿宋_GB2312" w:hAnsi="宋体" w:eastAsia="仿宋_GB2312" w:cs="仿宋_GB2312"/>
          <w:i w:val="0"/>
          <w:iCs w:val="0"/>
          <w:caps w:val="0"/>
          <w:color w:val="000000"/>
          <w:spacing w:val="0"/>
          <w:sz w:val="31"/>
          <w:szCs w:val="31"/>
          <w:shd w:val="clear" w:color="auto" w:fill="FFFFFF"/>
          <w:lang w:eastAsia="zh-CN"/>
        </w:rPr>
        <w:t>镇人民政府信息公开指南》。进一步规范了主动公开政府信息、依申请公开政府信息等操作流程。加强政府信息管理，明确分工，细化责任，建立了工作考核、社会评议和责任追究等监督保障机制，确保政府信息及时主动公开，信息公开申请及时办理反馈。</w:t>
      </w:r>
    </w:p>
    <w:p>
      <w:pPr>
        <w:jc w:val="left"/>
        <w:rPr>
          <w:rFonts w:hint="default" w:ascii="仿宋_GB2312" w:hAnsi="宋体" w:eastAsia="仿宋_GB2312" w:cs="仿宋_GB2312"/>
          <w:i w:val="0"/>
          <w:iCs w:val="0"/>
          <w:caps w:val="0"/>
          <w:color w:val="000000"/>
          <w:spacing w:val="0"/>
          <w:sz w:val="31"/>
          <w:szCs w:val="31"/>
          <w:shd w:val="clear" w:color="auto" w:fill="FFFFFF"/>
          <w:lang w:eastAsia="zh-CN"/>
        </w:rPr>
      </w:pPr>
      <w:r>
        <w:rPr>
          <w:rFonts w:hint="default" w:ascii="仿宋_GB2312" w:hAnsi="宋体" w:eastAsia="仿宋_GB2312" w:cs="仿宋_GB2312"/>
          <w:i w:val="0"/>
          <w:iCs w:val="0"/>
          <w:caps w:val="0"/>
          <w:color w:val="000000"/>
          <w:spacing w:val="0"/>
          <w:sz w:val="31"/>
          <w:szCs w:val="31"/>
          <w:shd w:val="clear" w:color="auto" w:fill="FFFFFF"/>
          <w:lang w:eastAsia="zh-CN"/>
        </w:rPr>
        <w:t> （四）公开平台建设情况</w:t>
      </w:r>
    </w:p>
    <w:p>
      <w:pPr>
        <w:ind w:firstLine="620" w:firstLineChars="200"/>
        <w:jc w:val="left"/>
        <w:rPr>
          <w:rFonts w:hint="default" w:ascii="仿宋_GB2312" w:hAnsi="宋体" w:eastAsia="仿宋_GB2312" w:cs="仿宋_GB2312"/>
          <w:i w:val="0"/>
          <w:iCs w:val="0"/>
          <w:caps w:val="0"/>
          <w:color w:val="000000"/>
          <w:spacing w:val="0"/>
          <w:sz w:val="31"/>
          <w:szCs w:val="31"/>
          <w:shd w:val="clear" w:color="auto" w:fill="FFFFFF"/>
          <w:lang w:eastAsia="zh-CN"/>
        </w:rPr>
      </w:pPr>
      <w:r>
        <w:rPr>
          <w:rFonts w:hint="default" w:ascii="仿宋_GB2312" w:hAnsi="宋体" w:eastAsia="仿宋_GB2312" w:cs="仿宋_GB2312"/>
          <w:i w:val="0"/>
          <w:iCs w:val="0"/>
          <w:caps w:val="0"/>
          <w:color w:val="000000"/>
          <w:spacing w:val="0"/>
          <w:sz w:val="31"/>
          <w:szCs w:val="31"/>
          <w:shd w:val="clear" w:color="auto" w:fill="FFFFFF"/>
          <w:lang w:eastAsia="zh-CN"/>
        </w:rPr>
        <w:t>按照上级对政府信息平台建设工作的各项要求，我镇积极完善政府信息公开制度，开设政府信息公开专区，公开政府信息查阅范围、方式和流程。同时，以</w:t>
      </w:r>
      <w:r>
        <w:rPr>
          <w:rFonts w:hint="eastAsia" w:ascii="仿宋_GB2312" w:hAnsi="宋体" w:eastAsia="仿宋_GB2312" w:cs="仿宋_GB2312"/>
          <w:i w:val="0"/>
          <w:iCs w:val="0"/>
          <w:caps w:val="0"/>
          <w:color w:val="000000"/>
          <w:spacing w:val="0"/>
          <w:sz w:val="31"/>
          <w:szCs w:val="31"/>
          <w:shd w:val="clear" w:color="auto" w:fill="FFFFFF"/>
          <w:lang w:eastAsia="zh-CN"/>
        </w:rPr>
        <w:t>木石</w:t>
      </w:r>
      <w:r>
        <w:rPr>
          <w:rFonts w:hint="default" w:ascii="仿宋_GB2312" w:hAnsi="宋体" w:eastAsia="仿宋_GB2312" w:cs="仿宋_GB2312"/>
          <w:i w:val="0"/>
          <w:iCs w:val="0"/>
          <w:caps w:val="0"/>
          <w:color w:val="000000"/>
          <w:spacing w:val="0"/>
          <w:sz w:val="31"/>
          <w:szCs w:val="31"/>
          <w:shd w:val="clear" w:color="auto" w:fill="FFFFFF"/>
          <w:lang w:eastAsia="zh-CN"/>
        </w:rPr>
        <w:t>镇人民政府门户网站为第一平台，完善了镇政务信息公开栏，通过微信公众号及时收集社情民意，及时回答并解决公众关心的热点、难点、焦点问题，增强了公众对政府的信任度。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6" w:lineRule="atLeast"/>
        <w:ind w:left="0" w:right="0" w:firstLine="420"/>
        <w:jc w:val="center"/>
        <w:rPr>
          <w:rFonts w:hint="default"/>
          <w:lang w:val="en-US" w:eastAsia="zh-CN"/>
        </w:rPr>
      </w:pPr>
      <w:r>
        <w:rPr>
          <w:rFonts w:hint="default" w:ascii="仿宋_GB2312" w:hAnsi="宋体" w:eastAsia="仿宋_GB2312" w:cs="仿宋_GB2312"/>
          <w:i w:val="0"/>
          <w:iCs w:val="0"/>
          <w:caps w:val="0"/>
          <w:color w:val="000000"/>
          <w:spacing w:val="0"/>
          <w:sz w:val="31"/>
          <w:szCs w:val="31"/>
          <w:shd w:val="clear" w:color="auto" w:fill="FFFFFF"/>
          <w:lang w:val="en-US" w:eastAsia="zh-CN"/>
        </w:rPr>
        <w:drawing>
          <wp:inline distT="0" distB="0" distL="114300" distR="114300">
            <wp:extent cx="4869180" cy="3326765"/>
            <wp:effectExtent l="0" t="0" r="7620" b="6985"/>
            <wp:docPr id="2" name="图片 4" descr="ee7983678f5856f8d78513b2548d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ee7983678f5856f8d78513b2548d462"/>
                    <pic:cNvPicPr>
                      <a:picLocks noChangeAspect="1"/>
                    </pic:cNvPicPr>
                  </pic:nvPicPr>
                  <pic:blipFill>
                    <a:blip r:embed="rId8"/>
                    <a:stretch>
                      <a:fillRect/>
                    </a:stretch>
                  </pic:blipFill>
                  <pic:spPr>
                    <a:xfrm>
                      <a:off x="0" y="0"/>
                      <a:ext cx="4869180" cy="3326765"/>
                    </a:xfrm>
                    <a:prstGeom prst="rect">
                      <a:avLst/>
                    </a:prstGeom>
                    <a:noFill/>
                    <a:ln>
                      <a:noFill/>
                    </a:ln>
                  </pic:spPr>
                </pic:pic>
              </a:graphicData>
            </a:graphic>
          </wp:inline>
        </w:drawing>
      </w:r>
    </w:p>
    <w:p>
      <w:pPr>
        <w:jc w:val="right"/>
        <w:rPr>
          <w:rFonts w:hint="eastAsia" w:ascii="仿宋_GB2312" w:hAnsi="宋体" w:eastAsia="仿宋_GB2312" w:cs="仿宋_GB2312"/>
          <w:i w:val="0"/>
          <w:iCs w:val="0"/>
          <w:caps w:val="0"/>
          <w:color w:val="000000"/>
          <w:spacing w:val="0"/>
          <w:sz w:val="31"/>
          <w:szCs w:val="31"/>
          <w:shd w:val="clear" w:color="auto" w:fill="FFFFFF"/>
          <w:lang w:eastAsia="zh-CN"/>
        </w:rPr>
      </w:pPr>
    </w:p>
    <w:p>
      <w:pPr>
        <w:jc w:val="left"/>
        <w:rPr>
          <w:rFonts w:hint="eastAsia" w:eastAsia="仿宋_GB2312"/>
          <w:lang w:eastAsia="zh-CN"/>
        </w:rPr>
      </w:pPr>
      <w:r>
        <w:rPr>
          <w:rFonts w:hint="eastAsia" w:eastAsia="仿宋_GB2312"/>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10160</wp:posOffset>
            </wp:positionV>
            <wp:extent cx="5264785" cy="4337685"/>
            <wp:effectExtent l="0" t="0" r="12065" b="5715"/>
            <wp:wrapTopAndBottom/>
            <wp:docPr id="3" name="图片 3" descr="86e2c648529ecd665dac19766de5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e2c648529ecd665dac19766de57b3"/>
                    <pic:cNvPicPr>
                      <a:picLocks noChangeAspect="1"/>
                    </pic:cNvPicPr>
                  </pic:nvPicPr>
                  <pic:blipFill>
                    <a:blip r:embed="rId9"/>
                    <a:stretch>
                      <a:fillRect/>
                    </a:stretch>
                  </pic:blipFill>
                  <pic:spPr>
                    <a:xfrm>
                      <a:off x="0" y="0"/>
                      <a:ext cx="5264785" cy="4337685"/>
                    </a:xfrm>
                    <a:prstGeom prst="rect">
                      <a:avLst/>
                    </a:prstGeom>
                    <a:noFill/>
                    <a:ln>
                      <a:noFill/>
                    </a:ln>
                  </pic:spPr>
                </pic:pic>
              </a:graphicData>
            </a:graphic>
          </wp:anchor>
        </w:drawing>
      </w:r>
    </w:p>
    <w:p>
      <w:pPr>
        <w:jc w:val="left"/>
        <w:rPr>
          <w:rFonts w:hint="eastAsia" w:eastAsia="仿宋_GB2312"/>
          <w:lang w:eastAsia="zh-CN"/>
        </w:rPr>
      </w:pPr>
    </w:p>
    <w:p>
      <w:pPr>
        <w:jc w:val="left"/>
        <w:rPr>
          <w:rFonts w:hint="eastAsia" w:eastAsia="仿宋_GB2312"/>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20"/>
        <w:jc w:val="left"/>
        <w:rPr>
          <w:sz w:val="24"/>
          <w:szCs w:val="24"/>
        </w:rPr>
      </w:pPr>
      <w:r>
        <w:rPr>
          <w:rFonts w:ascii="仿宋_GB2312" w:eastAsia="仿宋_GB2312" w:cs="仿宋_GB2312"/>
          <w:spacing w:val="0"/>
          <w:sz w:val="31"/>
          <w:szCs w:val="31"/>
        </w:rPr>
        <w:t>（五）监督保障情况  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20"/>
        <w:jc w:val="left"/>
        <w:rPr>
          <w:sz w:val="24"/>
          <w:szCs w:val="24"/>
        </w:rPr>
      </w:pPr>
      <w:r>
        <w:rPr>
          <w:rFonts w:hint="default" w:ascii="仿宋_GB2312" w:eastAsia="仿宋_GB2312" w:cs="仿宋_GB2312"/>
          <w:spacing w:val="0"/>
          <w:sz w:val="31"/>
          <w:szCs w:val="31"/>
        </w:rPr>
        <w:t> 为加强对政府信息公开工作的领导，成立了由镇长为组长，分管领导为副组长，宣传信息科科长为成员的领导小组，明确政务公开信息发布员，切实履行本镇政府信息公开的指导协调和督促检查职责。同时强调政务信息公开工作要注重信息报送流程的规范性，信息公开不能涉及群众隐私，做到量质并重，对公开信息逐级负责、层层把关，明确信息公开实行“谁主管，谁负责，谁发布，谁负责”的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20"/>
        <w:jc w:val="left"/>
        <w:rPr>
          <w:sz w:val="24"/>
          <w:szCs w:val="24"/>
        </w:rPr>
      </w:pPr>
      <w:r>
        <w:rPr>
          <w:rFonts w:hint="default" w:ascii="仿宋_GB2312" w:eastAsia="仿宋_GB2312" w:cs="仿宋_GB2312"/>
          <w:spacing w:val="0"/>
          <w:sz w:val="31"/>
          <w:szCs w:val="31"/>
        </w:rPr>
        <w:t> 202</w:t>
      </w:r>
      <w:r>
        <w:rPr>
          <w:rFonts w:hint="eastAsia" w:ascii="仿宋_GB2312" w:eastAsia="仿宋_GB2312" w:cs="仿宋_GB2312"/>
          <w:spacing w:val="0"/>
          <w:sz w:val="31"/>
          <w:szCs w:val="31"/>
          <w:lang w:val="en-US" w:eastAsia="zh-CN"/>
        </w:rPr>
        <w:t>2</w:t>
      </w:r>
      <w:r>
        <w:rPr>
          <w:rFonts w:hint="default" w:ascii="仿宋_GB2312" w:eastAsia="仿宋_GB2312" w:cs="仿宋_GB2312"/>
          <w:spacing w:val="0"/>
          <w:sz w:val="31"/>
          <w:szCs w:val="31"/>
        </w:rPr>
        <w:t>年度纳入滕州市镇街政务公开评估，未进行社会评议，未发生责任追究情况。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20"/>
        <w:jc w:val="left"/>
        <w:rPr>
          <w:sz w:val="24"/>
          <w:szCs w:val="24"/>
        </w:rPr>
      </w:pPr>
      <w:r>
        <w:rPr>
          <w:rStyle w:val="5"/>
          <w:rFonts w:hint="default" w:ascii="仿宋_GB2312" w:eastAsia="仿宋_GB2312" w:cs="仿宋_GB2312"/>
          <w:spacing w:val="0"/>
          <w:sz w:val="31"/>
          <w:szCs w:val="31"/>
        </w:rPr>
        <w:t> 二、主动公开政府信息情况</w:t>
      </w:r>
    </w:p>
    <w:tbl>
      <w:tblPr>
        <w:tblStyle w:val="3"/>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autofit"/>
        <w:tblCellMar>
          <w:top w:w="0" w:type="dxa"/>
          <w:left w:w="0" w:type="dxa"/>
          <w:bottom w:w="0" w:type="dxa"/>
          <w:right w:w="0" w:type="dxa"/>
        </w:tblCellMar>
      </w:tblPr>
      <w:tblGrid>
        <w:gridCol w:w="2129"/>
        <w:gridCol w:w="2129"/>
        <w:gridCol w:w="2129"/>
        <w:gridCol w:w="2129"/>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8820" w:type="dxa"/>
            <w:gridSpan w:val="4"/>
            <w:tcBorders>
              <w:top w:val="single" w:color="auto" w:sz="6" w:space="0"/>
              <w:left w:val="single" w:color="auto" w:sz="6" w:space="0"/>
              <w:bottom w:val="single" w:color="auto" w:sz="6" w:space="0"/>
              <w:right w:val="single" w:color="000000" w:sz="6" w:space="0"/>
            </w:tcBorders>
            <w:shd w:val="clear" w:color="auto" w:fill="C6D9F1"/>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第二十条第（一）项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信息内容</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本年制发件数</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本年废止件数</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现行有效件数</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规章</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行政规范性文件</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2205"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8820" w:type="dxa"/>
            <w:gridSpan w:val="4"/>
            <w:tcBorders>
              <w:top w:val="nil"/>
              <w:left w:val="single" w:color="auto" w:sz="6" w:space="0"/>
              <w:bottom w:val="single" w:color="auto" w:sz="6" w:space="0"/>
              <w:right w:val="single" w:color="000000" w:sz="6" w:space="0"/>
            </w:tcBorders>
            <w:shd w:val="clear" w:color="auto" w:fill="C6D9F1"/>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第二十条第（五）项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信息内容</w:t>
            </w:r>
          </w:p>
        </w:tc>
        <w:tc>
          <w:tcPr>
            <w:tcW w:w="6615" w:type="dxa"/>
            <w:gridSpan w:val="3"/>
            <w:tcBorders>
              <w:top w:val="single" w:color="auto" w:sz="6" w:space="0"/>
              <w:left w:val="nil"/>
              <w:bottom w:val="single" w:color="auto" w:sz="6" w:space="0"/>
              <w:right w:val="single" w:color="000000"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行政许可</w:t>
            </w:r>
          </w:p>
        </w:tc>
        <w:tc>
          <w:tcPr>
            <w:tcW w:w="6615" w:type="dxa"/>
            <w:gridSpan w:val="3"/>
            <w:tcBorders>
              <w:top w:val="nil"/>
              <w:left w:val="nil"/>
              <w:bottom w:val="single" w:color="auto" w:sz="6" w:space="0"/>
              <w:right w:val="single" w:color="000000"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8820" w:type="dxa"/>
            <w:gridSpan w:val="4"/>
            <w:tcBorders>
              <w:top w:val="nil"/>
              <w:left w:val="single" w:color="auto" w:sz="6" w:space="0"/>
              <w:bottom w:val="single" w:color="auto" w:sz="6" w:space="0"/>
              <w:right w:val="single" w:color="000000" w:sz="6" w:space="0"/>
            </w:tcBorders>
            <w:shd w:val="clear" w:color="auto" w:fill="C6D9F1"/>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第二十条第（六）项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信息内容</w:t>
            </w:r>
          </w:p>
        </w:tc>
        <w:tc>
          <w:tcPr>
            <w:tcW w:w="6615" w:type="dxa"/>
            <w:gridSpan w:val="3"/>
            <w:tcBorders>
              <w:top w:val="single" w:color="auto" w:sz="6" w:space="0"/>
              <w:left w:val="nil"/>
              <w:bottom w:val="single" w:color="auto" w:sz="6" w:space="0"/>
              <w:right w:val="single" w:color="000000"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行政处罚</w:t>
            </w:r>
          </w:p>
        </w:tc>
        <w:tc>
          <w:tcPr>
            <w:tcW w:w="6615" w:type="dxa"/>
            <w:gridSpan w:val="3"/>
            <w:tcBorders>
              <w:top w:val="nil"/>
              <w:left w:val="nil"/>
              <w:bottom w:val="single" w:color="auto" w:sz="6" w:space="0"/>
              <w:right w:val="single" w:color="000000"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行政强制</w:t>
            </w:r>
          </w:p>
        </w:tc>
        <w:tc>
          <w:tcPr>
            <w:tcW w:w="6615" w:type="dxa"/>
            <w:gridSpan w:val="3"/>
            <w:tcBorders>
              <w:top w:val="nil"/>
              <w:left w:val="nil"/>
              <w:bottom w:val="single" w:color="auto" w:sz="6" w:space="0"/>
              <w:right w:val="single" w:color="000000"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8820" w:type="dxa"/>
            <w:gridSpan w:val="4"/>
            <w:tcBorders>
              <w:top w:val="nil"/>
              <w:left w:val="single" w:color="auto" w:sz="6" w:space="0"/>
              <w:bottom w:val="single" w:color="auto" w:sz="6" w:space="0"/>
              <w:right w:val="single" w:color="000000" w:sz="6" w:space="0"/>
            </w:tcBorders>
            <w:shd w:val="clear" w:color="auto" w:fill="C6D9F1"/>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第二十条第（八）项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信息内容</w:t>
            </w:r>
          </w:p>
        </w:tc>
        <w:tc>
          <w:tcPr>
            <w:tcW w:w="6615" w:type="dxa"/>
            <w:gridSpan w:val="3"/>
            <w:tcBorders>
              <w:top w:val="single" w:color="auto" w:sz="6" w:space="0"/>
              <w:left w:val="nil"/>
              <w:bottom w:val="single" w:color="auto" w:sz="6" w:space="0"/>
              <w:right w:val="single" w:color="000000"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本年收费金额（单位：万元）</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2205"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行政事业性收费</w:t>
            </w:r>
          </w:p>
        </w:tc>
        <w:tc>
          <w:tcPr>
            <w:tcW w:w="6615" w:type="dxa"/>
            <w:gridSpan w:val="3"/>
            <w:tcBorders>
              <w:top w:val="nil"/>
              <w:left w:val="nil"/>
              <w:bottom w:val="single" w:color="auto" w:sz="6" w:space="0"/>
              <w:right w:val="single" w:color="000000"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20"/>
        <w:jc w:val="left"/>
        <w:rPr>
          <w:sz w:val="24"/>
          <w:szCs w:val="24"/>
        </w:rPr>
      </w:pPr>
      <w:r>
        <w:rPr>
          <w:rStyle w:val="5"/>
          <w:rFonts w:hint="default" w:ascii="仿宋_GB2312" w:eastAsia="仿宋_GB2312" w:cs="仿宋_GB2312"/>
          <w:spacing w:val="0"/>
          <w:sz w:val="31"/>
          <w:szCs w:val="31"/>
        </w:rPr>
        <w:t> 三、收到和处理政府信息公开申请情况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20"/>
        <w:jc w:val="left"/>
        <w:rPr>
          <w:sz w:val="24"/>
          <w:szCs w:val="24"/>
        </w:rPr>
      </w:pPr>
    </w:p>
    <w:tbl>
      <w:tblPr>
        <w:tblStyle w:val="3"/>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1455"/>
        <w:gridCol w:w="2256"/>
        <w:gridCol w:w="707"/>
        <w:gridCol w:w="495"/>
        <w:gridCol w:w="495"/>
        <w:gridCol w:w="608"/>
        <w:gridCol w:w="587"/>
        <w:gridCol w:w="495"/>
        <w:gridCol w:w="728"/>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20" w:hRule="atLeast"/>
          <w:jc w:val="center"/>
        </w:trPr>
        <w:tc>
          <w:tcPr>
            <w:tcW w:w="5100" w:type="dxa"/>
            <w:gridSpan w:val="3"/>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（本列数据的勾稽关系为：第一项加第二项之和，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等于第三项加第四项之和）</w:t>
            </w:r>
          </w:p>
        </w:tc>
        <w:tc>
          <w:tcPr>
            <w:tcW w:w="4815" w:type="dxa"/>
            <w:gridSpan w:val="7"/>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jc w:val="center"/>
              <w:rPr>
                <w:sz w:val="24"/>
                <w:szCs w:val="24"/>
              </w:rPr>
            </w:pPr>
            <w:r>
              <w:rPr>
                <w:rFonts w:hint="default" w:ascii="仿宋_GB2312" w:eastAsia="仿宋_GB2312" w:cs="仿宋_GB2312"/>
                <w:spacing w:val="0"/>
                <w:sz w:val="24"/>
                <w:szCs w:val="24"/>
              </w:rPr>
              <w:t>申请人情况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20" w:hRule="atLeast"/>
          <w:jc w:val="center"/>
        </w:trPr>
        <w:tc>
          <w:tcPr>
            <w:tcW w:w="5100" w:type="dxa"/>
            <w:gridSpan w:val="3"/>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825" w:type="dxa"/>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自然人</w:t>
            </w:r>
          </w:p>
        </w:tc>
        <w:tc>
          <w:tcPr>
            <w:tcW w:w="3135" w:type="dxa"/>
            <w:gridSpan w:val="5"/>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jc w:val="center"/>
              <w:rPr>
                <w:sz w:val="24"/>
                <w:szCs w:val="24"/>
              </w:rPr>
            </w:pPr>
            <w:r>
              <w:rPr>
                <w:rFonts w:hint="default" w:ascii="仿宋_GB2312" w:eastAsia="仿宋_GB2312" w:cs="仿宋_GB2312"/>
                <w:spacing w:val="0"/>
                <w:sz w:val="24"/>
                <w:szCs w:val="24"/>
              </w:rPr>
              <w:t>法人或其他组织</w:t>
            </w:r>
          </w:p>
        </w:tc>
        <w:tc>
          <w:tcPr>
            <w:tcW w:w="855" w:type="dxa"/>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315" w:hRule="atLeast"/>
          <w:jc w:val="center"/>
        </w:trPr>
        <w:tc>
          <w:tcPr>
            <w:tcW w:w="5100" w:type="dxa"/>
            <w:gridSpan w:val="3"/>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82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105" w:right="-105" w:firstLine="0"/>
              <w:jc w:val="center"/>
              <w:rPr>
                <w:sz w:val="24"/>
                <w:szCs w:val="24"/>
              </w:rPr>
            </w:pPr>
            <w:r>
              <w:rPr>
                <w:rFonts w:hint="default" w:ascii="仿宋_GB2312" w:eastAsia="仿宋_GB2312" w:cs="仿宋_GB2312"/>
                <w:spacing w:val="0"/>
                <w:sz w:val="24"/>
                <w:szCs w:val="24"/>
              </w:rPr>
              <w:t>商业企业</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105" w:right="-105"/>
              <w:jc w:val="center"/>
              <w:rPr>
                <w:sz w:val="24"/>
                <w:szCs w:val="24"/>
              </w:rPr>
            </w:pPr>
            <w:r>
              <w:rPr>
                <w:rFonts w:hint="default" w:ascii="仿宋_GB2312" w:eastAsia="仿宋_GB2312" w:cs="仿宋_GB2312"/>
                <w:spacing w:val="0"/>
                <w:sz w:val="24"/>
                <w:szCs w:val="24"/>
              </w:rPr>
              <w:t>科研机构</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105" w:right="-105"/>
              <w:jc w:val="center"/>
              <w:rPr>
                <w:sz w:val="24"/>
                <w:szCs w:val="24"/>
              </w:rPr>
            </w:pPr>
            <w:r>
              <w:rPr>
                <w:rFonts w:hint="default" w:ascii="仿宋_GB2312" w:eastAsia="仿宋_GB2312" w:cs="仿宋_GB2312"/>
                <w:spacing w:val="0"/>
                <w:sz w:val="24"/>
                <w:szCs w:val="24"/>
              </w:rPr>
              <w:t>社会公益组织</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105" w:right="-105" w:firstLine="0"/>
              <w:jc w:val="center"/>
              <w:rPr>
                <w:sz w:val="24"/>
                <w:szCs w:val="24"/>
              </w:rPr>
            </w:pPr>
            <w:r>
              <w:rPr>
                <w:rFonts w:hint="default" w:ascii="仿宋_GB2312" w:eastAsia="仿宋_GB2312" w:cs="仿宋_GB2312"/>
                <w:spacing w:val="0"/>
                <w:sz w:val="24"/>
                <w:szCs w:val="24"/>
              </w:rPr>
              <w:t>法律服务机构</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tLeast"/>
              <w:ind w:left="-60" w:right="-135"/>
              <w:jc w:val="center"/>
              <w:rPr>
                <w:sz w:val="24"/>
                <w:szCs w:val="24"/>
              </w:rPr>
            </w:pPr>
            <w:r>
              <w:rPr>
                <w:rFonts w:hint="default" w:ascii="仿宋_GB2312" w:eastAsia="仿宋_GB2312" w:cs="仿宋_GB2312"/>
                <w:spacing w:val="0"/>
                <w:sz w:val="24"/>
                <w:szCs w:val="24"/>
              </w:rPr>
              <w:t>其他</w:t>
            </w:r>
          </w:p>
        </w:tc>
        <w:tc>
          <w:tcPr>
            <w:tcW w:w="85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15" w:hRule="atLeast"/>
          <w:jc w:val="center"/>
        </w:trPr>
        <w:tc>
          <w:tcPr>
            <w:tcW w:w="5100" w:type="dxa"/>
            <w:gridSpan w:val="3"/>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一、本年新收政府信息公开申请数量</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rFonts w:hint="default" w:eastAsia="宋体"/>
                <w:sz w:val="24"/>
                <w:szCs w:val="24"/>
                <w:lang w:val="en-US" w:eastAsia="zh-CN"/>
              </w:rPr>
            </w:pPr>
            <w:r>
              <w:rPr>
                <w:rFonts w:hint="eastAsia"/>
                <w:sz w:val="24"/>
                <w:szCs w:val="24"/>
                <w:lang w:val="en-US" w:eastAsia="zh-CN"/>
              </w:rPr>
              <w:t>1</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rFonts w:hint="default" w:eastAsia="宋体"/>
                <w:sz w:val="24"/>
                <w:szCs w:val="24"/>
                <w:lang w:val="en-US" w:eastAsia="zh-CN"/>
              </w:rPr>
            </w:pPr>
            <w:r>
              <w:rPr>
                <w:rFonts w:hint="eastAsia"/>
                <w:sz w:val="24"/>
                <w:szCs w:val="24"/>
                <w:lang w:val="en-US" w:eastAsia="zh-CN"/>
              </w:rPr>
              <w:t>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15" w:hRule="atLeast"/>
          <w:jc w:val="center"/>
        </w:trPr>
        <w:tc>
          <w:tcPr>
            <w:tcW w:w="5100" w:type="dxa"/>
            <w:gridSpan w:val="3"/>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二、上年结转政府信息公开申请数量</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rPr>
                <w:sz w:val="24"/>
                <w:szCs w:val="24"/>
              </w:rPr>
            </w:pPr>
            <w:r>
              <w:rPr>
                <w:rFonts w:hint="default" w:ascii="仿宋_GB2312" w:eastAsia="仿宋_GB2312" w:cs="仿宋_GB2312"/>
                <w:spacing w:val="0"/>
                <w:sz w:val="24"/>
                <w:szCs w:val="24"/>
              </w:rPr>
              <w:t>三、本年度办理结果</w:t>
            </w:r>
          </w:p>
        </w:tc>
        <w:tc>
          <w:tcPr>
            <w:tcW w:w="4680" w:type="dxa"/>
            <w:gridSpan w:val="2"/>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（一）予以公开</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rFonts w:hint="eastAsia" w:eastAsia="宋体"/>
                <w:sz w:val="24"/>
                <w:szCs w:val="24"/>
                <w:lang w:val="en-US" w:eastAsia="zh-CN"/>
              </w:rPr>
            </w:pPr>
            <w:r>
              <w:rPr>
                <w:rFonts w:hint="eastAsia"/>
                <w:sz w:val="24"/>
                <w:szCs w:val="24"/>
                <w:lang w:val="en-US" w:eastAsia="zh-CN"/>
              </w:rPr>
              <w:t>1</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rFonts w:hint="eastAsia" w:eastAsia="宋体"/>
                <w:sz w:val="24"/>
                <w:szCs w:val="24"/>
                <w:lang w:val="en-US" w:eastAsia="zh-CN"/>
              </w:rPr>
            </w:pPr>
            <w:r>
              <w:rPr>
                <w:rFonts w:hint="eastAsia"/>
                <w:sz w:val="24"/>
                <w:szCs w:val="24"/>
                <w:lang w:val="en-US" w:eastAsia="zh-CN"/>
              </w:rPr>
              <w:t>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4680" w:type="dxa"/>
            <w:gridSpan w:val="2"/>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24"/>
                <w:szCs w:val="24"/>
              </w:rPr>
              <w:t>（二）部分公开（区分处理的，只计这一情形，不计其他情形）</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105" w:right="0"/>
              <w:rPr>
                <w:sz w:val="24"/>
                <w:szCs w:val="24"/>
              </w:rPr>
            </w:pPr>
            <w:r>
              <w:rPr>
                <w:rFonts w:hint="default" w:ascii="仿宋_GB2312" w:eastAsia="仿宋_GB2312" w:cs="仿宋_GB2312"/>
                <w:spacing w:val="0"/>
                <w:sz w:val="24"/>
                <w:szCs w:val="24"/>
              </w:rPr>
              <w:t>（三）不予公开</w:t>
            </w: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1.属于国家秘密</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2.其他法律行政法规禁止公开</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3.危及“三安全一稳定”</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4.保护第三方合法权益</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5.属于三类内部事务信息</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6.属于四类过程性信息</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7.属于行政执法案卷</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8.属于行政查询事项</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105" w:right="0"/>
              <w:rPr>
                <w:sz w:val="24"/>
                <w:szCs w:val="24"/>
              </w:rPr>
            </w:pPr>
            <w:r>
              <w:rPr>
                <w:rFonts w:hint="default" w:ascii="仿宋_GB2312" w:eastAsia="仿宋_GB2312" w:cs="仿宋_GB2312"/>
                <w:spacing w:val="0"/>
                <w:sz w:val="24"/>
                <w:szCs w:val="24"/>
              </w:rPr>
              <w:t>（四）无法提供</w:t>
            </w: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1.本机关不掌握相关政府信息</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2.没有现成信息需要另行制作</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3.补正后申请内容仍不明确</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105" w:right="0"/>
              <w:rPr>
                <w:sz w:val="24"/>
                <w:szCs w:val="24"/>
              </w:rPr>
            </w:pPr>
            <w:r>
              <w:rPr>
                <w:rFonts w:hint="default" w:ascii="仿宋_GB2312" w:eastAsia="仿宋_GB2312" w:cs="仿宋_GB2312"/>
                <w:spacing w:val="0"/>
                <w:sz w:val="24"/>
                <w:szCs w:val="24"/>
              </w:rPr>
              <w:t>（五）不予处理</w:t>
            </w: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1.信访举报投诉类申请</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2.重复申请</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3.要求提供公开出版物</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390" w:hRule="atLeast"/>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195" w:lineRule="atLeast"/>
              <w:ind w:left="0" w:right="0"/>
              <w:rPr>
                <w:sz w:val="24"/>
                <w:szCs w:val="24"/>
              </w:rPr>
            </w:pPr>
            <w:r>
              <w:rPr>
                <w:rFonts w:hint="default" w:ascii="仿宋_GB2312" w:eastAsia="仿宋_GB2312" w:cs="仿宋_GB2312"/>
                <w:spacing w:val="0"/>
                <w:sz w:val="24"/>
                <w:szCs w:val="24"/>
              </w:rPr>
              <w:t>4.无正当理由大量反复申请</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00" w:lineRule="atLeast"/>
              <w:ind w:left="0" w:right="0"/>
              <w:rPr>
                <w:sz w:val="24"/>
                <w:szCs w:val="24"/>
              </w:rPr>
            </w:pPr>
            <w:r>
              <w:rPr>
                <w:rFonts w:hint="default" w:ascii="仿宋_GB2312" w:eastAsia="仿宋_GB2312" w:cs="仿宋_GB2312"/>
                <w:spacing w:val="0"/>
                <w:sz w:val="24"/>
                <w:szCs w:val="24"/>
              </w:rPr>
              <w:t>5.要求行政机关确认或重新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00" w:lineRule="atLeast"/>
              <w:ind w:left="0" w:right="0" w:firstLine="210"/>
              <w:rPr>
                <w:sz w:val="24"/>
                <w:szCs w:val="24"/>
              </w:rPr>
            </w:pPr>
            <w:r>
              <w:rPr>
                <w:rFonts w:hint="default" w:ascii="仿宋_GB2312" w:eastAsia="仿宋_GB2312" w:cs="仿宋_GB2312"/>
                <w:spacing w:val="0"/>
                <w:sz w:val="24"/>
                <w:szCs w:val="24"/>
              </w:rPr>
              <w:t>出具已获取信息</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00" w:lineRule="atLeast"/>
              <w:ind w:left="0" w:right="0"/>
              <w:rPr>
                <w:sz w:val="24"/>
                <w:szCs w:val="24"/>
              </w:rPr>
            </w:pPr>
            <w:r>
              <w:rPr>
                <w:rFonts w:hint="default" w:ascii="仿宋_GB2312" w:eastAsia="仿宋_GB2312" w:cs="仿宋_GB2312"/>
                <w:spacing w:val="0"/>
                <w:sz w:val="24"/>
                <w:szCs w:val="24"/>
              </w:rPr>
              <w:t>（六）其他处理</w:t>
            </w:r>
          </w:p>
        </w:tc>
        <w:tc>
          <w:tcPr>
            <w:tcW w:w="2970" w:type="dxa"/>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00" w:lineRule="atLeast"/>
              <w:ind w:left="0" w:right="0"/>
              <w:rPr>
                <w:sz w:val="24"/>
                <w:szCs w:val="24"/>
              </w:rPr>
            </w:pPr>
            <w:r>
              <w:rPr>
                <w:rFonts w:hint="default" w:ascii="仿宋_GB2312" w:eastAsia="仿宋_GB2312" w:cs="仿宋_GB2312"/>
                <w:spacing w:val="0"/>
                <w:sz w:val="24"/>
                <w:szCs w:val="24"/>
              </w:rPr>
              <w:t>1.申请人无正当理由逾期不补正、行政机关不再处理其政府信息公开申请</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00" w:lineRule="atLeast"/>
              <w:ind w:left="0" w:right="0"/>
              <w:rPr>
                <w:sz w:val="24"/>
                <w:szCs w:val="24"/>
              </w:rPr>
            </w:pPr>
            <w:r>
              <w:rPr>
                <w:rFonts w:hint="default" w:ascii="仿宋_GB2312" w:eastAsia="仿宋_GB2312" w:cs="仿宋_GB2312"/>
                <w:spacing w:val="0"/>
                <w:sz w:val="24"/>
                <w:szCs w:val="24"/>
              </w:rPr>
              <w:t>2.申请人逾期未按收费通知要求缴纳费用、行政机关不再处理其政府信息公开申请</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1695"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2970" w:type="dxa"/>
            <w:tcBorders>
              <w:top w:val="single" w:color="auto" w:sz="6" w:space="0"/>
              <w:left w:val="single" w:color="auto" w:sz="6" w:space="0"/>
              <w:bottom w:val="single" w:color="auto" w:sz="6" w:space="0"/>
              <w:right w:val="single" w:color="auto" w:sz="6" w:space="0"/>
            </w:tcBorders>
            <w:noWrap w:val="0"/>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00" w:lineRule="atLeast"/>
              <w:ind w:left="0" w:right="0"/>
              <w:rPr>
                <w:sz w:val="24"/>
                <w:szCs w:val="24"/>
              </w:rPr>
            </w:pPr>
            <w:r>
              <w:rPr>
                <w:rFonts w:hint="default" w:ascii="仿宋_GB2312" w:eastAsia="仿宋_GB2312" w:cs="仿宋_GB2312"/>
                <w:spacing w:val="0"/>
                <w:sz w:val="24"/>
                <w:szCs w:val="24"/>
              </w:rPr>
              <w:t>3.其他</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4680" w:type="dxa"/>
            <w:gridSpan w:val="2"/>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00" w:lineRule="atLeast"/>
              <w:ind w:left="0" w:right="0"/>
              <w:rPr>
                <w:sz w:val="24"/>
                <w:szCs w:val="24"/>
              </w:rPr>
            </w:pPr>
            <w:r>
              <w:rPr>
                <w:rFonts w:hint="default" w:ascii="仿宋_GB2312" w:eastAsia="仿宋_GB2312" w:cs="仿宋_GB2312"/>
                <w:spacing w:val="0"/>
                <w:sz w:val="24"/>
                <w:szCs w:val="24"/>
              </w:rPr>
              <w:t>（七）总计</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rFonts w:hint="eastAsia" w:eastAsia="宋体"/>
                <w:sz w:val="24"/>
                <w:szCs w:val="24"/>
                <w:lang w:eastAsia="zh-CN"/>
              </w:rPr>
            </w:pPr>
            <w:r>
              <w:rPr>
                <w:rFonts w:hint="eastAsia" w:ascii="仿宋_GB2312" w:eastAsia="仿宋_GB2312" w:cs="仿宋_GB2312"/>
                <w:spacing w:val="0"/>
                <w:sz w:val="24"/>
                <w:szCs w:val="24"/>
                <w:lang w:val="en-US" w:eastAsia="zh-CN"/>
              </w:rPr>
              <w:t>1</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rFonts w:hint="eastAsia" w:eastAsia="宋体"/>
                <w:sz w:val="24"/>
                <w:szCs w:val="24"/>
                <w:lang w:eastAsia="zh-CN"/>
              </w:rPr>
            </w:pPr>
            <w:r>
              <w:rPr>
                <w:rFonts w:hint="eastAsia" w:ascii="仿宋_GB2312" w:eastAsia="仿宋_GB2312" w:cs="仿宋_GB2312"/>
                <w:spacing w:val="0"/>
                <w:sz w:val="24"/>
                <w:szCs w:val="24"/>
                <w:lang w:val="en-US" w:eastAsia="zh-CN"/>
              </w:rPr>
              <w:t>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5100" w:type="dxa"/>
            <w:gridSpan w:val="3"/>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00" w:lineRule="atLeast"/>
              <w:ind w:left="0" w:right="0"/>
              <w:rPr>
                <w:sz w:val="24"/>
                <w:szCs w:val="24"/>
              </w:rPr>
            </w:pPr>
            <w:r>
              <w:rPr>
                <w:rFonts w:hint="default" w:ascii="仿宋_GB2312" w:eastAsia="仿宋_GB2312" w:cs="仿宋_GB2312"/>
                <w:spacing w:val="0"/>
                <w:sz w:val="24"/>
                <w:szCs w:val="24"/>
              </w:rPr>
              <w:t>四、结转下年度继续办理</w:t>
            </w:r>
          </w:p>
        </w:tc>
        <w:tc>
          <w:tcPr>
            <w:tcW w:w="82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3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70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7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855"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Style w:val="5"/>
          <w:rFonts w:hint="default" w:ascii="仿宋_GB2312" w:eastAsia="仿宋_GB2312" w:cs="仿宋_GB2312"/>
          <w:spacing w:val="0"/>
          <w:sz w:val="31"/>
          <w:szCs w:val="31"/>
        </w:rPr>
        <w:t> 四、政府信息公开行政复议、行政诉讼情况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p>
    <w:tbl>
      <w:tblPr>
        <w:tblStyle w:val="3"/>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autofit"/>
        <w:tblCellMar>
          <w:top w:w="0" w:type="dxa"/>
          <w:left w:w="0" w:type="dxa"/>
          <w:bottom w:w="0" w:type="dxa"/>
          <w:right w:w="0" w:type="dxa"/>
        </w:tblCellMar>
      </w:tblPr>
      <w:tblGrid>
        <w:gridCol w:w="576"/>
        <w:gridCol w:w="558"/>
        <w:gridCol w:w="558"/>
        <w:gridCol w:w="559"/>
        <w:gridCol w:w="640"/>
        <w:gridCol w:w="520"/>
        <w:gridCol w:w="559"/>
        <w:gridCol w:w="559"/>
        <w:gridCol w:w="559"/>
        <w:gridCol w:w="590"/>
        <w:gridCol w:w="559"/>
        <w:gridCol w:w="559"/>
        <w:gridCol w:w="559"/>
        <w:gridCol w:w="559"/>
        <w:gridCol w:w="602"/>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95" w:hRule="atLeast"/>
          <w:jc w:val="center"/>
        </w:trPr>
        <w:tc>
          <w:tcPr>
            <w:tcW w:w="2891" w:type="dxa"/>
            <w:gridSpan w:val="5"/>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行政复议</w:t>
            </w:r>
          </w:p>
        </w:tc>
        <w:tc>
          <w:tcPr>
            <w:tcW w:w="5625" w:type="dxa"/>
            <w:gridSpan w:val="10"/>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行政诉讼</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40" w:hRule="atLeast"/>
          <w:jc w:val="center"/>
        </w:trPr>
        <w:tc>
          <w:tcPr>
            <w:tcW w:w="576" w:type="dxa"/>
            <w:vMerge w:val="restart"/>
            <w:tcBorders>
              <w:top w:val="nil"/>
              <w:left w:val="single" w:color="auto" w:sz="6" w:space="0"/>
              <w:bottom w:val="single" w:color="auto" w:sz="6" w:space="0"/>
              <w:right w:val="single" w:color="auto" w:sz="6" w:space="0"/>
            </w:tcBorders>
            <w:noWrap w:val="0"/>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26" w:lineRule="atLeast"/>
              <w:ind w:left="-150" w:right="-165"/>
              <w:jc w:val="center"/>
              <w:rPr>
                <w:sz w:val="24"/>
                <w:szCs w:val="24"/>
              </w:rPr>
            </w:pPr>
            <w:r>
              <w:rPr>
                <w:rFonts w:hint="default" w:ascii="仿宋_GB2312" w:eastAsia="仿宋_GB2312" w:cs="仿宋_GB2312"/>
                <w:spacing w:val="0"/>
                <w:sz w:val="24"/>
                <w:szCs w:val="24"/>
              </w:rPr>
              <w:t>维持</w:t>
            </w:r>
          </w:p>
        </w:tc>
        <w:tc>
          <w:tcPr>
            <w:tcW w:w="558" w:type="dxa"/>
            <w:vMerge w:val="restart"/>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45" w:right="-135" w:firstLine="0"/>
              <w:jc w:val="center"/>
              <w:rPr>
                <w:sz w:val="24"/>
                <w:szCs w:val="24"/>
              </w:rPr>
            </w:pPr>
            <w:r>
              <w:rPr>
                <w:rFonts w:hint="default" w:ascii="仿宋_GB2312" w:eastAsia="仿宋_GB2312" w:cs="仿宋_GB2312"/>
                <w:spacing w:val="0"/>
                <w:sz w:val="24"/>
                <w:szCs w:val="24"/>
              </w:rPr>
              <w:t>结果纠正</w:t>
            </w:r>
          </w:p>
        </w:tc>
        <w:tc>
          <w:tcPr>
            <w:tcW w:w="558" w:type="dxa"/>
            <w:vMerge w:val="restart"/>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75" w:right="-90"/>
              <w:jc w:val="center"/>
              <w:rPr>
                <w:sz w:val="24"/>
                <w:szCs w:val="24"/>
              </w:rPr>
            </w:pPr>
            <w:r>
              <w:rPr>
                <w:rFonts w:hint="default" w:ascii="仿宋_GB2312" w:eastAsia="仿宋_GB2312" w:cs="仿宋_GB2312"/>
                <w:spacing w:val="0"/>
                <w:sz w:val="24"/>
                <w:szCs w:val="24"/>
              </w:rPr>
              <w:t>其他结果</w:t>
            </w:r>
          </w:p>
        </w:tc>
        <w:tc>
          <w:tcPr>
            <w:tcW w:w="559" w:type="dxa"/>
            <w:vMerge w:val="restart"/>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20" w:right="-120"/>
              <w:jc w:val="center"/>
              <w:rPr>
                <w:sz w:val="24"/>
                <w:szCs w:val="24"/>
              </w:rPr>
            </w:pPr>
            <w:r>
              <w:rPr>
                <w:rFonts w:hint="default" w:ascii="仿宋_GB2312" w:eastAsia="仿宋_GB2312" w:cs="仿宋_GB2312"/>
                <w:spacing w:val="0"/>
                <w:sz w:val="24"/>
                <w:szCs w:val="24"/>
              </w:rPr>
              <w:t>尚未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20" w:right="-120"/>
              <w:jc w:val="center"/>
              <w:rPr>
                <w:sz w:val="24"/>
                <w:szCs w:val="24"/>
              </w:rPr>
            </w:pPr>
            <w:r>
              <w:rPr>
                <w:rFonts w:hint="default" w:ascii="仿宋_GB2312" w:eastAsia="仿宋_GB2312" w:cs="仿宋_GB2312"/>
                <w:spacing w:val="0"/>
                <w:sz w:val="24"/>
                <w:szCs w:val="24"/>
              </w:rPr>
              <w:t>审结</w:t>
            </w:r>
          </w:p>
        </w:tc>
        <w:tc>
          <w:tcPr>
            <w:tcW w:w="640" w:type="dxa"/>
            <w:vMerge w:val="restart"/>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jc w:val="center"/>
              <w:rPr>
                <w:sz w:val="24"/>
                <w:szCs w:val="24"/>
              </w:rPr>
            </w:pPr>
            <w:r>
              <w:rPr>
                <w:rFonts w:hint="default" w:ascii="仿宋_GB2312" w:eastAsia="仿宋_GB2312" w:cs="仿宋_GB2312"/>
                <w:spacing w:val="0"/>
                <w:sz w:val="24"/>
                <w:szCs w:val="24"/>
              </w:rPr>
              <w:t>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jc w:val="center"/>
              <w:rPr>
                <w:sz w:val="24"/>
                <w:szCs w:val="24"/>
              </w:rPr>
            </w:pPr>
            <w:r>
              <w:rPr>
                <w:rFonts w:hint="default" w:ascii="仿宋_GB2312" w:eastAsia="仿宋_GB2312" w:cs="仿宋_GB2312"/>
                <w:spacing w:val="0"/>
                <w:sz w:val="24"/>
                <w:szCs w:val="24"/>
              </w:rPr>
              <w:t>计</w:t>
            </w:r>
          </w:p>
        </w:tc>
        <w:tc>
          <w:tcPr>
            <w:tcW w:w="2787" w:type="dxa"/>
            <w:gridSpan w:val="5"/>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未经复议直接起诉</w:t>
            </w:r>
          </w:p>
        </w:tc>
        <w:tc>
          <w:tcPr>
            <w:tcW w:w="2838" w:type="dxa"/>
            <w:gridSpan w:val="5"/>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复议后起诉</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900" w:hRule="atLeast"/>
          <w:jc w:val="center"/>
        </w:trPr>
        <w:tc>
          <w:tcPr>
            <w:tcW w:w="576"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558" w:type="dxa"/>
            <w:vMerge w:val="continue"/>
            <w:tcBorders>
              <w:top w:val="nil"/>
              <w:left w:val="nil"/>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558" w:type="dxa"/>
            <w:vMerge w:val="continue"/>
            <w:tcBorders>
              <w:top w:val="single" w:color="auto" w:sz="6" w:space="0"/>
              <w:left w:val="nil"/>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559" w:type="dxa"/>
            <w:vMerge w:val="continue"/>
            <w:tcBorders>
              <w:top w:val="single" w:color="auto" w:sz="6" w:space="0"/>
              <w:left w:val="nil"/>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640" w:type="dxa"/>
            <w:vMerge w:val="continue"/>
            <w:tcBorders>
              <w:top w:val="single" w:color="auto" w:sz="6" w:space="0"/>
              <w:left w:val="nil"/>
              <w:bottom w:val="single" w:color="auto" w:sz="6" w:space="0"/>
              <w:right w:val="single" w:color="auto" w:sz="6" w:space="0"/>
            </w:tcBorders>
            <w:noWrap w:val="0"/>
            <w:tcMar>
              <w:left w:w="105" w:type="dxa"/>
              <w:right w:w="105" w:type="dxa"/>
            </w:tcMar>
            <w:vAlign w:val="center"/>
          </w:tcPr>
          <w:p>
            <w:pPr>
              <w:rPr>
                <w:rFonts w:hint="eastAsia" w:ascii="宋体"/>
                <w:sz w:val="24"/>
                <w:szCs w:val="24"/>
              </w:rPr>
            </w:pPr>
          </w:p>
        </w:tc>
        <w:tc>
          <w:tcPr>
            <w:tcW w:w="520"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05" w:right="-120"/>
              <w:jc w:val="center"/>
              <w:rPr>
                <w:sz w:val="24"/>
                <w:szCs w:val="24"/>
              </w:rPr>
            </w:pPr>
            <w:r>
              <w:rPr>
                <w:rFonts w:hint="default" w:ascii="仿宋_GB2312" w:eastAsia="仿宋_GB2312" w:cs="仿宋_GB2312"/>
                <w:spacing w:val="0"/>
                <w:sz w:val="24"/>
                <w:szCs w:val="24"/>
              </w:rPr>
              <w:t>结果维持</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90" w:right="-90"/>
              <w:jc w:val="center"/>
              <w:rPr>
                <w:sz w:val="24"/>
                <w:szCs w:val="24"/>
              </w:rPr>
            </w:pPr>
            <w:r>
              <w:rPr>
                <w:rFonts w:hint="default" w:ascii="仿宋_GB2312" w:eastAsia="仿宋_GB2312" w:cs="仿宋_GB2312"/>
                <w:spacing w:val="0"/>
                <w:sz w:val="24"/>
                <w:szCs w:val="24"/>
              </w:rPr>
              <w:t>结果纠正</w:t>
            </w:r>
          </w:p>
        </w:tc>
        <w:tc>
          <w:tcPr>
            <w:tcW w:w="559" w:type="dxa"/>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20" w:right="-135"/>
              <w:jc w:val="center"/>
              <w:rPr>
                <w:sz w:val="24"/>
                <w:szCs w:val="24"/>
              </w:rPr>
            </w:pPr>
            <w:r>
              <w:rPr>
                <w:rFonts w:hint="default" w:ascii="仿宋_GB2312" w:eastAsia="仿宋_GB2312" w:cs="仿宋_GB2312"/>
                <w:spacing w:val="0"/>
                <w:sz w:val="24"/>
                <w:szCs w:val="24"/>
              </w:rPr>
              <w:t>其他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20" w:right="-135"/>
              <w:jc w:val="center"/>
              <w:rPr>
                <w:sz w:val="24"/>
                <w:szCs w:val="24"/>
              </w:rPr>
            </w:pPr>
            <w:r>
              <w:rPr>
                <w:rFonts w:hint="default" w:ascii="仿宋_GB2312" w:eastAsia="仿宋_GB2312" w:cs="仿宋_GB2312"/>
                <w:spacing w:val="0"/>
                <w:sz w:val="24"/>
                <w:szCs w:val="24"/>
              </w:rPr>
              <w:t>结果</w:t>
            </w:r>
          </w:p>
        </w:tc>
        <w:tc>
          <w:tcPr>
            <w:tcW w:w="559" w:type="dxa"/>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65" w:right="-150"/>
              <w:jc w:val="center"/>
              <w:rPr>
                <w:sz w:val="24"/>
                <w:szCs w:val="24"/>
              </w:rPr>
            </w:pPr>
            <w:r>
              <w:rPr>
                <w:rFonts w:hint="default" w:ascii="仿宋_GB2312" w:eastAsia="仿宋_GB2312" w:cs="仿宋_GB2312"/>
                <w:spacing w:val="0"/>
                <w:sz w:val="24"/>
                <w:szCs w:val="24"/>
              </w:rPr>
              <w:t>尚未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65" w:right="-150"/>
              <w:jc w:val="center"/>
              <w:rPr>
                <w:sz w:val="24"/>
                <w:szCs w:val="24"/>
              </w:rPr>
            </w:pPr>
            <w:r>
              <w:rPr>
                <w:rFonts w:hint="default" w:ascii="仿宋_GB2312" w:eastAsia="仿宋_GB2312" w:cs="仿宋_GB2312"/>
                <w:spacing w:val="0"/>
                <w:sz w:val="24"/>
                <w:szCs w:val="24"/>
              </w:rPr>
              <w:t>审结</w:t>
            </w:r>
          </w:p>
        </w:tc>
        <w:tc>
          <w:tcPr>
            <w:tcW w:w="590" w:type="dxa"/>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总计</w:t>
            </w:r>
          </w:p>
        </w:tc>
        <w:tc>
          <w:tcPr>
            <w:tcW w:w="559" w:type="dxa"/>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05" w:right="-75"/>
              <w:jc w:val="center"/>
              <w:rPr>
                <w:sz w:val="24"/>
                <w:szCs w:val="24"/>
              </w:rPr>
            </w:pPr>
            <w:r>
              <w:rPr>
                <w:rFonts w:hint="default" w:ascii="仿宋_GB2312" w:eastAsia="仿宋_GB2312" w:cs="仿宋_GB2312"/>
                <w:spacing w:val="0"/>
                <w:sz w:val="24"/>
                <w:szCs w:val="24"/>
              </w:rPr>
              <w:t>结果维持</w:t>
            </w:r>
          </w:p>
        </w:tc>
        <w:tc>
          <w:tcPr>
            <w:tcW w:w="559" w:type="dxa"/>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35" w:right="-120"/>
              <w:jc w:val="center"/>
              <w:rPr>
                <w:sz w:val="24"/>
                <w:szCs w:val="24"/>
              </w:rPr>
            </w:pPr>
            <w:r>
              <w:rPr>
                <w:rFonts w:hint="default" w:ascii="仿宋_GB2312" w:eastAsia="仿宋_GB2312" w:cs="仿宋_GB2312"/>
                <w:spacing w:val="0"/>
                <w:sz w:val="24"/>
                <w:szCs w:val="24"/>
              </w:rPr>
              <w:t>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35" w:right="-120"/>
              <w:jc w:val="center"/>
              <w:rPr>
                <w:sz w:val="24"/>
                <w:szCs w:val="24"/>
              </w:rPr>
            </w:pPr>
            <w:r>
              <w:rPr>
                <w:rFonts w:hint="default" w:ascii="仿宋_GB2312" w:eastAsia="仿宋_GB2312" w:cs="仿宋_GB2312"/>
                <w:spacing w:val="0"/>
                <w:sz w:val="24"/>
                <w:szCs w:val="24"/>
              </w:rPr>
              <w:t>纠正</w:t>
            </w:r>
          </w:p>
        </w:tc>
        <w:tc>
          <w:tcPr>
            <w:tcW w:w="559" w:type="dxa"/>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80" w:right="-135" w:firstLine="0"/>
              <w:jc w:val="center"/>
              <w:rPr>
                <w:sz w:val="24"/>
                <w:szCs w:val="24"/>
              </w:rPr>
            </w:pPr>
            <w:r>
              <w:rPr>
                <w:rFonts w:hint="default" w:ascii="仿宋_GB2312" w:eastAsia="仿宋_GB2312" w:cs="仿宋_GB2312"/>
                <w:spacing w:val="0"/>
                <w:sz w:val="24"/>
                <w:szCs w:val="24"/>
              </w:rPr>
              <w:t>其他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180" w:right="-135" w:firstLine="0"/>
              <w:jc w:val="center"/>
              <w:rPr>
                <w:sz w:val="24"/>
                <w:szCs w:val="24"/>
              </w:rPr>
            </w:pPr>
            <w:r>
              <w:rPr>
                <w:rFonts w:hint="default" w:ascii="仿宋_GB2312" w:eastAsia="仿宋_GB2312" w:cs="仿宋_GB2312"/>
                <w:spacing w:val="0"/>
                <w:sz w:val="24"/>
                <w:szCs w:val="24"/>
              </w:rPr>
              <w:t>结果</w:t>
            </w:r>
          </w:p>
        </w:tc>
        <w:tc>
          <w:tcPr>
            <w:tcW w:w="559" w:type="dxa"/>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60" w:right="-105" w:firstLine="0"/>
              <w:jc w:val="center"/>
              <w:rPr>
                <w:sz w:val="24"/>
                <w:szCs w:val="24"/>
              </w:rPr>
            </w:pPr>
            <w:r>
              <w:rPr>
                <w:rFonts w:hint="default" w:ascii="仿宋_GB2312" w:eastAsia="仿宋_GB2312" w:cs="仿宋_GB2312"/>
                <w:spacing w:val="0"/>
                <w:sz w:val="24"/>
                <w:szCs w:val="24"/>
              </w:rPr>
              <w:t>尚未审结</w:t>
            </w:r>
          </w:p>
        </w:tc>
        <w:tc>
          <w:tcPr>
            <w:tcW w:w="602" w:type="dxa"/>
            <w:tcBorders>
              <w:top w:val="single" w:color="auto" w:sz="6" w:space="0"/>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仿宋_GB2312" w:eastAsia="仿宋_GB2312" w:cs="仿宋_GB2312"/>
                <w:spacing w:val="0"/>
                <w:sz w:val="24"/>
                <w:szCs w:val="24"/>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576" w:type="dxa"/>
            <w:tcBorders>
              <w:top w:val="nil"/>
              <w:left w:val="single" w:color="auto" w:sz="6" w:space="0"/>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8"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8"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640"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20"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90"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rPr>
                <w:sz w:val="24"/>
                <w:szCs w:val="24"/>
              </w:rPr>
            </w:pPr>
            <w:r>
              <w:rPr>
                <w:rFonts w:hint="default" w:ascii="仿宋_GB2312" w:eastAsia="仿宋_GB2312" w:cs="仿宋_GB2312"/>
                <w:spacing w:val="0"/>
                <w:sz w:val="24"/>
                <w:szCs w:val="24"/>
              </w:rPr>
              <w:t>0</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sz w:val="24"/>
                <w:szCs w:val="24"/>
              </w:rPr>
            </w:pPr>
            <w:r>
              <w:rPr>
                <w:rFonts w:hint="default" w:ascii="仿宋_GB2312" w:eastAsia="仿宋_GB2312" w:cs="仿宋_GB2312"/>
                <w:spacing w:val="0"/>
                <w:sz w:val="24"/>
                <w:szCs w:val="24"/>
              </w:rPr>
              <w:t>0</w:t>
            </w:r>
          </w:p>
        </w:tc>
        <w:tc>
          <w:tcPr>
            <w:tcW w:w="559"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rFonts w:hint="eastAsia" w:eastAsia="宋体"/>
                <w:sz w:val="24"/>
                <w:szCs w:val="24"/>
                <w:lang w:val="en-US" w:eastAsia="zh-CN"/>
              </w:rPr>
            </w:pPr>
            <w:r>
              <w:rPr>
                <w:rFonts w:hint="eastAsia"/>
                <w:sz w:val="24"/>
                <w:szCs w:val="24"/>
                <w:lang w:val="en-US" w:eastAsia="zh-CN"/>
              </w:rPr>
              <w:t>0</w:t>
            </w:r>
          </w:p>
        </w:tc>
        <w:tc>
          <w:tcPr>
            <w:tcW w:w="602" w:type="dxa"/>
            <w:tcBorders>
              <w:top w:val="nil"/>
              <w:left w:val="nil"/>
              <w:bottom w:val="single" w:color="auto" w:sz="6" w:space="0"/>
              <w:right w:val="single" w:color="auto" w:sz="6" w:space="0"/>
            </w:tcBorders>
            <w:noWrap w:val="0"/>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6" w:lineRule="atLeast"/>
              <w:ind w:left="0" w:right="0"/>
              <w:jc w:val="center"/>
              <w:rPr>
                <w:rFonts w:hint="eastAsia" w:eastAsia="宋体"/>
                <w:sz w:val="24"/>
                <w:szCs w:val="24"/>
                <w:lang w:val="en-US" w:eastAsia="zh-CN"/>
              </w:rPr>
            </w:pPr>
            <w:r>
              <w:rPr>
                <w:rFonts w:hint="eastAsia"/>
                <w:sz w:val="24"/>
                <w:szCs w:val="24"/>
                <w:lang w:val="en-US" w:eastAsia="zh-CN"/>
              </w:rPr>
              <w:t>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420"/>
        <w:rPr>
          <w:sz w:val="24"/>
          <w:szCs w:val="24"/>
        </w:rPr>
      </w:pPr>
      <w:r>
        <w:rPr>
          <w:rStyle w:val="5"/>
          <w:rFonts w:hint="default" w:ascii="仿宋_GB2312" w:eastAsia="仿宋_GB2312" w:cs="仿宋_GB2312"/>
          <w:spacing w:val="0"/>
          <w:sz w:val="31"/>
          <w:szCs w:val="31"/>
        </w:rPr>
        <w:t> 五、存在的主要问题及改进情况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420"/>
        <w:rPr>
          <w:sz w:val="24"/>
          <w:szCs w:val="24"/>
        </w:rPr>
      </w:pPr>
      <w:r>
        <w:rPr>
          <w:rFonts w:hint="default" w:ascii="仿宋_GB2312" w:eastAsia="仿宋_GB2312" w:cs="仿宋_GB2312"/>
          <w:spacing w:val="0"/>
          <w:sz w:val="31"/>
          <w:szCs w:val="31"/>
        </w:rPr>
        <w:t> （一）工作中存在的主要困难和问题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420"/>
        <w:rPr>
          <w:sz w:val="24"/>
          <w:szCs w:val="24"/>
        </w:rPr>
      </w:pPr>
      <w:r>
        <w:rPr>
          <w:rFonts w:hint="default" w:ascii="仿宋_GB2312" w:eastAsia="仿宋_GB2312" w:cs="仿宋_GB2312"/>
          <w:spacing w:val="0"/>
          <w:sz w:val="31"/>
          <w:szCs w:val="31"/>
        </w:rPr>
        <w:t> </w:t>
      </w:r>
      <w:r>
        <w:rPr>
          <w:rFonts w:hint="default" w:ascii="仿宋_GB2312" w:eastAsia="仿宋_GB2312" w:cs="仿宋_GB2312"/>
          <w:spacing w:val="0"/>
          <w:sz w:val="31"/>
          <w:szCs w:val="31"/>
          <w:lang w:val="en-US" w:eastAsia="zh-CN"/>
        </w:rPr>
        <w:t>2022年，我镇政府信息公开工作虽然取得了一定成效，但与群众需求还存在一定差距：一是公开的深度还需进一步拓展，</w:t>
      </w:r>
      <w:r>
        <w:rPr>
          <w:rFonts w:hint="default" w:ascii="仿宋_GB2312" w:eastAsia="仿宋_GB2312" w:cs="仿宋_GB2312"/>
          <w:spacing w:val="0"/>
          <w:sz w:val="31"/>
          <w:szCs w:val="31"/>
        </w:rPr>
        <w:t>涉及群众切身利益、社会关注度高的民生领域、重点领域信息公开</w:t>
      </w:r>
      <w:r>
        <w:rPr>
          <w:rFonts w:hint="default" w:ascii="仿宋_GB2312" w:eastAsia="仿宋_GB2312" w:cs="仿宋_GB2312"/>
          <w:spacing w:val="0"/>
          <w:sz w:val="31"/>
          <w:szCs w:val="31"/>
          <w:lang w:val="en-US" w:eastAsia="zh-CN"/>
        </w:rPr>
        <w:t>还</w:t>
      </w:r>
      <w:r>
        <w:rPr>
          <w:rFonts w:hint="default" w:ascii="仿宋_GB2312" w:eastAsia="仿宋_GB2312" w:cs="仿宋_GB2312"/>
          <w:spacing w:val="0"/>
          <w:sz w:val="31"/>
          <w:szCs w:val="31"/>
        </w:rPr>
        <w:t>需进一步加强。</w:t>
      </w:r>
      <w:r>
        <w:rPr>
          <w:rFonts w:hint="default" w:ascii="仿宋_GB2312" w:eastAsia="仿宋_GB2312" w:cs="仿宋_GB2312"/>
          <w:spacing w:val="0"/>
          <w:sz w:val="31"/>
          <w:szCs w:val="31"/>
          <w:lang w:val="en-US" w:eastAsia="zh-CN"/>
        </w:rPr>
        <w:t>二是公开的实效性还需进一步提升，内容公开不够及时。三是工作人员业务能力还需进一步提高，加强学习培训，提高政府信息公开业务水平。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420"/>
        <w:rPr>
          <w:rFonts w:hint="default" w:ascii="仿宋_GB2312" w:eastAsia="仿宋_GB2312" w:cs="仿宋_GB2312"/>
          <w:spacing w:val="0"/>
          <w:sz w:val="31"/>
          <w:szCs w:val="31"/>
        </w:rPr>
      </w:pPr>
      <w:r>
        <w:rPr>
          <w:rFonts w:hint="default" w:ascii="仿宋_GB2312" w:eastAsia="仿宋_GB2312" w:cs="仿宋_GB2312"/>
          <w:spacing w:val="0"/>
          <w:sz w:val="31"/>
          <w:szCs w:val="31"/>
        </w:rPr>
        <w:t> （二）具体解决办法和改进措施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right="0" w:firstLine="620" w:firstLineChars="200"/>
        <w:rPr>
          <w:rFonts w:hint="default" w:ascii="仿宋_GB2312" w:eastAsia="仿宋_GB2312" w:cs="仿宋_GB2312"/>
          <w:spacing w:val="0"/>
          <w:sz w:val="31"/>
          <w:szCs w:val="31"/>
          <w:lang w:eastAsia="zh-CN"/>
        </w:rPr>
      </w:pPr>
      <w:r>
        <w:rPr>
          <w:rFonts w:hint="default" w:ascii="仿宋_GB2312" w:eastAsia="仿宋_GB2312" w:cs="仿宋_GB2312"/>
          <w:spacing w:val="0"/>
          <w:sz w:val="31"/>
          <w:szCs w:val="31"/>
          <w:lang w:val="en-US" w:eastAsia="zh-CN"/>
        </w:rPr>
        <w:t>一是</w:t>
      </w:r>
      <w:r>
        <w:rPr>
          <w:rFonts w:hint="default" w:ascii="仿宋_GB2312" w:eastAsia="仿宋_GB2312" w:cs="仿宋_GB2312"/>
          <w:spacing w:val="0"/>
          <w:sz w:val="31"/>
          <w:szCs w:val="31"/>
        </w:rPr>
        <w:t>深化公开内容</w:t>
      </w:r>
      <w:r>
        <w:rPr>
          <w:rFonts w:hint="default" w:ascii="仿宋_GB2312" w:eastAsia="仿宋_GB2312" w:cs="仿宋_GB2312"/>
          <w:spacing w:val="0"/>
          <w:sz w:val="31"/>
          <w:szCs w:val="31"/>
          <w:lang w:eastAsia="zh-CN"/>
        </w:rPr>
        <w:t>，</w:t>
      </w:r>
      <w:r>
        <w:rPr>
          <w:rFonts w:hint="default" w:ascii="仿宋_GB2312" w:eastAsia="仿宋_GB2312" w:cs="仿宋_GB2312"/>
          <w:spacing w:val="0"/>
          <w:sz w:val="31"/>
          <w:szCs w:val="31"/>
        </w:rPr>
        <w:t>拓展政府信息内容深度，对涉及民生、专业性强、公众关注度高的政府信息</w:t>
      </w:r>
      <w:r>
        <w:rPr>
          <w:rFonts w:hint="default" w:ascii="仿宋_GB2312" w:eastAsia="仿宋_GB2312" w:cs="仿宋_GB2312"/>
          <w:spacing w:val="0"/>
          <w:sz w:val="31"/>
          <w:szCs w:val="31"/>
          <w:lang w:eastAsia="zh-CN"/>
        </w:rPr>
        <w:t>，</w:t>
      </w:r>
      <w:r>
        <w:rPr>
          <w:rFonts w:hint="default" w:ascii="仿宋_GB2312" w:eastAsia="仿宋_GB2312" w:cs="仿宋_GB2312"/>
          <w:spacing w:val="0"/>
          <w:sz w:val="31"/>
          <w:szCs w:val="31"/>
        </w:rPr>
        <w:t>严格按照规范要求做好公开工作，</w:t>
      </w:r>
      <w:r>
        <w:rPr>
          <w:rFonts w:hint="default" w:ascii="仿宋_GB2312" w:eastAsia="仿宋_GB2312" w:cs="仿宋_GB2312"/>
          <w:spacing w:val="0"/>
          <w:sz w:val="31"/>
          <w:szCs w:val="31"/>
          <w:lang w:eastAsia="zh-CN"/>
        </w:rPr>
        <w:t>不断充实和完善政务信息公开的内容。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right="0" w:firstLine="620" w:firstLineChars="200"/>
        <w:rPr>
          <w:rFonts w:hint="default" w:ascii="仿宋_GB2312" w:eastAsia="仿宋_GB2312" w:cs="仿宋_GB2312"/>
          <w:spacing w:val="0"/>
          <w:sz w:val="31"/>
          <w:szCs w:val="31"/>
          <w:lang w:val="en-US" w:eastAsia="zh-CN"/>
        </w:rPr>
      </w:pPr>
      <w:r>
        <w:rPr>
          <w:rFonts w:hint="default" w:ascii="仿宋_GB2312" w:eastAsia="仿宋_GB2312" w:cs="仿宋_GB2312"/>
          <w:spacing w:val="0"/>
          <w:sz w:val="31"/>
          <w:szCs w:val="31"/>
          <w:lang w:val="en-US" w:eastAsia="zh-CN"/>
        </w:rPr>
        <w:t>二是规范政府信息公开的实效性，就群众关心的热点、难点问题及时公开，及时更新政务信息，提高公开质量和实效，确保公众第一时间了解最新动态信息。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right="0" w:firstLine="620" w:firstLineChars="200"/>
        <w:rPr>
          <w:sz w:val="24"/>
          <w:szCs w:val="24"/>
        </w:rPr>
      </w:pPr>
      <w:r>
        <w:rPr>
          <w:rFonts w:hint="default" w:ascii="仿宋_GB2312" w:eastAsia="仿宋_GB2312" w:cs="仿宋_GB2312"/>
          <w:spacing w:val="0"/>
          <w:sz w:val="31"/>
          <w:szCs w:val="31"/>
          <w:lang w:val="en-US" w:eastAsia="zh-CN"/>
        </w:rPr>
        <w:t>三是强化业务培训，每年有重点、有侧重地开展学习培训，通过参加上级举行的培训班、讲座、会议等形式加强工作人员的学习培训</w:t>
      </w:r>
      <w:r>
        <w:rPr>
          <w:rFonts w:hint="default" w:ascii="仿宋_GB2312" w:eastAsia="仿宋_GB2312" w:cs="仿宋_GB2312"/>
          <w:spacing w:val="0"/>
          <w:sz w:val="31"/>
          <w:szCs w:val="31"/>
        </w:rPr>
        <w:t>，提高工作人员的思想认识和工作技能</w:t>
      </w:r>
      <w:r>
        <w:rPr>
          <w:rFonts w:hint="default" w:ascii="仿宋_GB2312" w:eastAsia="仿宋_GB2312" w:cs="仿宋_GB2312"/>
          <w:spacing w:val="0"/>
          <w:sz w:val="31"/>
          <w:szCs w:val="31"/>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420"/>
        <w:rPr>
          <w:sz w:val="24"/>
          <w:szCs w:val="24"/>
        </w:rPr>
      </w:pPr>
      <w:r>
        <w:rPr>
          <w:rFonts w:hint="default" w:ascii="仿宋_GB2312" w:eastAsia="仿宋_GB2312" w:cs="仿宋_GB2312"/>
          <w:spacing w:val="0"/>
          <w:sz w:val="31"/>
          <w:szCs w:val="31"/>
        </w:rPr>
        <w:t> 六、其他需要报告的事项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645"/>
        <w:rPr>
          <w:sz w:val="24"/>
          <w:szCs w:val="24"/>
        </w:rPr>
      </w:pPr>
      <w:r>
        <w:rPr>
          <w:rFonts w:hint="default" w:ascii="仿宋_GB2312" w:eastAsia="仿宋_GB2312" w:cs="仿宋_GB2312"/>
          <w:spacing w:val="0"/>
          <w:sz w:val="31"/>
          <w:szCs w:val="31"/>
        </w:rPr>
        <w:t>1、收取信息处理费情况方面。2022年度，本单位未收取信息处理费；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645"/>
        <w:rPr>
          <w:sz w:val="24"/>
          <w:szCs w:val="24"/>
        </w:rPr>
      </w:pPr>
      <w:r>
        <w:rPr>
          <w:rFonts w:hint="default" w:ascii="仿宋_GB2312" w:eastAsia="仿宋_GB2312" w:cs="仿宋_GB2312"/>
          <w:spacing w:val="0"/>
          <w:sz w:val="31"/>
          <w:szCs w:val="31"/>
        </w:rPr>
        <w:t>2、</w:t>
      </w:r>
      <w:r>
        <w:rPr>
          <w:rFonts w:hint="eastAsia" w:ascii="仿宋_GB2312" w:eastAsia="仿宋_GB2312" w:cs="仿宋_GB2312"/>
          <w:spacing w:val="0"/>
          <w:sz w:val="31"/>
          <w:szCs w:val="31"/>
          <w:lang w:val="en-US" w:eastAsia="zh-CN"/>
        </w:rPr>
        <w:t>落实上级年度政务公开工作要点情况。</w:t>
      </w:r>
      <w:r>
        <w:rPr>
          <w:rFonts w:hint="eastAsia" w:ascii="仿宋_GB2312" w:hAnsi="ÃƒÂ¥Ã‚Â¾Ã‚Â®ÃƒÂ¨Ã‚Â½Ã‚Â¯ÃƒÂ©Ã¢â" w:eastAsia="仿宋_GB2312" w:cs="仿宋_GB2312"/>
          <w:i w:val="0"/>
          <w:caps w:val="0"/>
          <w:color w:val="000000"/>
          <w:spacing w:val="0"/>
          <w:sz w:val="32"/>
          <w:szCs w:val="32"/>
          <w:shd w:val="clear" w:color="auto" w:fill="FFFFFF"/>
          <w:lang w:val="en-US" w:eastAsia="zh-CN"/>
        </w:rPr>
        <w:t>对照</w:t>
      </w:r>
      <w:r>
        <w:rPr>
          <w:rFonts w:hint="eastAsia" w:ascii="仿宋_GB2312" w:hAnsi="ÃƒÂ¥Ã‚Â¾Ã‚Â®ÃƒÂ¨Ã‚Â½Ã‚Â¯ÃƒÂ©Ã¢â" w:eastAsia="仿宋_GB2312" w:cs="仿宋_GB2312"/>
          <w:i w:val="0"/>
          <w:caps w:val="0"/>
          <w:color w:val="000000"/>
          <w:spacing w:val="0"/>
          <w:sz w:val="32"/>
          <w:szCs w:val="32"/>
          <w:shd w:val="clear" w:color="auto" w:fill="FFFFFF"/>
        </w:rPr>
        <w:t>《滕州市</w:t>
      </w:r>
      <w:r>
        <w:rPr>
          <w:rFonts w:hint="eastAsia" w:ascii="仿宋_GB2312" w:hAnsi="Calibri" w:eastAsia="仿宋_GB2312" w:cs="仿宋_GB2312"/>
          <w:i w:val="0"/>
          <w:caps w:val="0"/>
          <w:color w:val="000000"/>
          <w:spacing w:val="0"/>
          <w:sz w:val="32"/>
          <w:szCs w:val="32"/>
          <w:shd w:val="clear" w:color="auto" w:fill="FFFFFF"/>
        </w:rPr>
        <w:t>2022</w:t>
      </w:r>
      <w:r>
        <w:rPr>
          <w:rFonts w:hint="eastAsia" w:ascii="仿宋_GB2312" w:hAnsi="ÃƒÂ¥Ã‚Â¾Ã‚Â®ÃƒÂ¨Ã‚Â½Ã‚Â¯ÃƒÂ©Ã¢â" w:eastAsia="仿宋_GB2312" w:cs="仿宋_GB2312"/>
          <w:i w:val="0"/>
          <w:caps w:val="0"/>
          <w:color w:val="000000"/>
          <w:spacing w:val="0"/>
          <w:sz w:val="32"/>
          <w:szCs w:val="32"/>
          <w:shd w:val="clear" w:color="auto" w:fill="FFFFFF"/>
        </w:rPr>
        <w:t>年政务公开工作要点》，</w:t>
      </w:r>
      <w:r>
        <w:rPr>
          <w:rFonts w:hint="eastAsia" w:ascii="仿宋_GB2312" w:eastAsia="仿宋_GB2312" w:cs="仿宋_GB2312"/>
          <w:spacing w:val="0"/>
          <w:sz w:val="31"/>
          <w:szCs w:val="31"/>
          <w:lang w:val="en-US" w:eastAsia="zh-CN"/>
        </w:rPr>
        <w:t>落实木石镇在</w:t>
      </w:r>
      <w:r>
        <w:rPr>
          <w:rFonts w:hint="eastAsia" w:ascii="仿宋_GB2312" w:hAnsi="ÃƒÂ¥Ã‚Â¾Ã‚Â®ÃƒÂ¨Ã‚Â½Ã‚Â¯ÃƒÂ©Ã¢â" w:eastAsia="仿宋_GB2312" w:cs="仿宋_GB2312"/>
          <w:i w:val="0"/>
          <w:caps w:val="0"/>
          <w:color w:val="000000"/>
          <w:spacing w:val="0"/>
          <w:sz w:val="32"/>
          <w:szCs w:val="32"/>
          <w:shd w:val="clear" w:color="auto" w:fill="FFFFFF"/>
        </w:rPr>
        <w:t>重点领域信息公开、政策发布解读与回应、政民互动、基层政务公开标准化规范化建设和工作保障和落实</w:t>
      </w:r>
      <w:r>
        <w:rPr>
          <w:rFonts w:hint="eastAsia" w:ascii="仿宋_GB2312" w:hAnsi="ÃƒÂ¥Ã‚Â¾Ã‚Â®ÃƒÂ¨Ã‚Â½Ã‚Â¯ÃƒÂ©Ã¢â" w:eastAsia="仿宋_GB2312" w:cs="仿宋_GB2312"/>
          <w:i w:val="0"/>
          <w:caps w:val="0"/>
          <w:color w:val="000000"/>
          <w:spacing w:val="0"/>
          <w:sz w:val="32"/>
          <w:szCs w:val="32"/>
          <w:shd w:val="clear" w:color="auto" w:fill="FFFFFF"/>
          <w:lang w:val="en-US" w:eastAsia="zh-CN"/>
        </w:rPr>
        <w:t>等政务公开主体责任，按时完成各项政务公开任务。同时，</w:t>
      </w:r>
      <w:r>
        <w:rPr>
          <w:rFonts w:hint="default" w:ascii="仿宋_GB2312" w:eastAsia="仿宋_GB2312" w:cs="仿宋_GB2312"/>
          <w:spacing w:val="0"/>
          <w:sz w:val="31"/>
          <w:szCs w:val="31"/>
          <w:lang w:eastAsia="zh-CN"/>
        </w:rPr>
        <w:t>积极开拓公开渠道，创新公开方式，进一步提高政府治理和政务服务水平，增强人民群众获得感和满意度。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645"/>
        <w:rPr>
          <w:rFonts w:hint="default" w:ascii="仿宋_GB2312" w:eastAsia="仿宋_GB2312" w:cs="仿宋_GB2312"/>
          <w:spacing w:val="0"/>
          <w:sz w:val="31"/>
          <w:szCs w:val="31"/>
          <w:lang w:val="en-US" w:eastAsia="zh-CN"/>
        </w:rPr>
      </w:pPr>
      <w:r>
        <w:rPr>
          <w:rFonts w:hint="default" w:ascii="仿宋_GB2312" w:eastAsia="仿宋_GB2312" w:cs="仿宋_GB2312"/>
          <w:spacing w:val="0"/>
          <w:sz w:val="31"/>
          <w:szCs w:val="31"/>
        </w:rPr>
        <w:t>3、</w:t>
      </w:r>
      <w:r>
        <w:rPr>
          <w:rFonts w:hint="eastAsia" w:ascii="仿宋_GB2312" w:eastAsia="仿宋_GB2312" w:cs="仿宋_GB2312"/>
          <w:spacing w:val="0"/>
          <w:sz w:val="31"/>
          <w:szCs w:val="31"/>
          <w:lang w:val="en-US" w:eastAsia="zh-CN"/>
        </w:rPr>
        <w:t>人大代表建议和政协提案办理情况方面。</w:t>
      </w:r>
      <w:r>
        <w:rPr>
          <w:rFonts w:hint="default" w:ascii="仿宋_GB2312" w:eastAsia="仿宋_GB2312" w:cs="仿宋_GB2312"/>
          <w:spacing w:val="0"/>
          <w:sz w:val="31"/>
          <w:szCs w:val="31"/>
          <w:lang w:val="en-US" w:eastAsia="zh-CN"/>
        </w:rPr>
        <w:t>2022年，</w:t>
      </w:r>
      <w:r>
        <w:rPr>
          <w:rFonts w:hint="eastAsia" w:ascii="仿宋_GB2312" w:eastAsia="仿宋_GB2312" w:cs="仿宋_GB2312"/>
          <w:spacing w:val="0"/>
          <w:sz w:val="31"/>
          <w:szCs w:val="31"/>
          <w:lang w:val="en-US" w:eastAsia="zh-CN"/>
        </w:rPr>
        <w:t>木石镇</w:t>
      </w:r>
      <w:r>
        <w:rPr>
          <w:rFonts w:hint="default" w:ascii="仿宋_GB2312" w:eastAsia="仿宋_GB2312" w:cs="仿宋_GB2312"/>
          <w:spacing w:val="0"/>
          <w:sz w:val="31"/>
          <w:szCs w:val="31"/>
          <w:lang w:val="en-US" w:eastAsia="zh-CN"/>
        </w:rPr>
        <w:t>政府承办人大代表建议</w:t>
      </w:r>
      <w:r>
        <w:rPr>
          <w:rFonts w:hint="eastAsia" w:ascii="仿宋_GB2312" w:eastAsia="仿宋_GB2312" w:cs="仿宋_GB2312"/>
          <w:spacing w:val="0"/>
          <w:sz w:val="31"/>
          <w:szCs w:val="31"/>
          <w:lang w:val="en-US" w:eastAsia="zh-CN"/>
        </w:rPr>
        <w:t>18</w:t>
      </w:r>
      <w:r>
        <w:rPr>
          <w:rFonts w:hint="default" w:ascii="仿宋_GB2312" w:eastAsia="仿宋_GB2312" w:cs="仿宋_GB2312"/>
          <w:spacing w:val="0"/>
          <w:sz w:val="31"/>
          <w:szCs w:val="31"/>
          <w:lang w:val="en-US" w:eastAsia="zh-CN"/>
        </w:rPr>
        <w:t>件，已办结，未承办政协提案；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645"/>
        <w:rPr>
          <w:rFonts w:hint="eastAsia" w:ascii="仿宋_GB2312" w:eastAsia="仿宋_GB2312" w:cs="仿宋_GB2312"/>
          <w:spacing w:val="0"/>
          <w:sz w:val="31"/>
          <w:szCs w:val="31"/>
          <w:lang w:val="en-US" w:eastAsia="zh-CN"/>
        </w:rPr>
      </w:pPr>
      <w:r>
        <w:rPr>
          <w:rFonts w:hint="default" w:ascii="仿宋_GB2312" w:eastAsia="仿宋_GB2312" w:cs="仿宋_GB2312"/>
          <w:spacing w:val="0"/>
          <w:sz w:val="31"/>
          <w:szCs w:val="31"/>
          <w:lang w:val="en-US" w:eastAsia="zh-CN"/>
        </w:rPr>
        <w:t>4、</w:t>
      </w:r>
      <w:r>
        <w:rPr>
          <w:rFonts w:hint="eastAsia" w:ascii="仿宋_GB2312" w:eastAsia="仿宋_GB2312" w:cs="仿宋_GB2312"/>
          <w:spacing w:val="0"/>
          <w:sz w:val="31"/>
          <w:szCs w:val="31"/>
          <w:lang w:val="en-US" w:eastAsia="zh-CN"/>
        </w:rPr>
        <w:t>开展政务公开创新方面。木石镇持续推进政府开放日、政务公开体验区等创新形式。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645"/>
        <w:rPr>
          <w:rFonts w:hint="eastAsia" w:ascii="仿宋_GB2312" w:eastAsia="仿宋_GB2312" w:cs="仿宋_GB2312"/>
          <w:spacing w:val="0"/>
          <w:sz w:val="31"/>
          <w:szCs w:val="31"/>
          <w:lang w:val="en-US" w:eastAsia="zh-CN"/>
        </w:rPr>
      </w:pPr>
      <w:r>
        <w:rPr>
          <w:rFonts w:hint="default" w:ascii="仿宋_GB2312" w:eastAsia="仿宋_GB2312" w:cs="仿宋_GB2312"/>
          <w:spacing w:val="0"/>
          <w:sz w:val="31"/>
          <w:szCs w:val="31"/>
        </w:rPr>
        <w:t>5、本年度政府信息公开</w:t>
      </w:r>
      <w:r>
        <w:rPr>
          <w:rFonts w:hint="eastAsia" w:ascii="仿宋_GB2312" w:eastAsia="仿宋_GB2312" w:cs="仿宋_GB2312"/>
          <w:spacing w:val="0"/>
          <w:sz w:val="31"/>
          <w:szCs w:val="31"/>
          <w:lang w:val="en-US" w:eastAsia="zh-CN"/>
        </w:rPr>
        <w:t>工作年度报告数据统计需要说明的事项：无。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645"/>
        <w:rPr>
          <w:sz w:val="24"/>
          <w:szCs w:val="24"/>
        </w:rPr>
      </w:pPr>
      <w:r>
        <w:rPr>
          <w:rFonts w:hint="default" w:ascii="仿宋_GB2312" w:eastAsia="仿宋_GB2312" w:cs="仿宋_GB2312"/>
          <w:spacing w:val="0"/>
          <w:sz w:val="31"/>
          <w:szCs w:val="31"/>
        </w:rPr>
        <w:t>6、</w:t>
      </w:r>
      <w:r>
        <w:rPr>
          <w:rFonts w:hint="eastAsia" w:ascii="仿宋_GB2312" w:hAnsi="ÃƒÂ¥Ã‚Â¾Ã‚Â®ÃƒÂ¨Ã‚Â½Ã‚Â¯ÃƒÂ©Ã¢â" w:eastAsia="仿宋_GB2312" w:cs="仿宋_GB2312"/>
          <w:i w:val="0"/>
          <w:caps w:val="0"/>
          <w:color w:val="000000"/>
          <w:spacing w:val="0"/>
          <w:sz w:val="32"/>
          <w:szCs w:val="32"/>
          <w:shd w:val="clear" w:color="auto" w:fill="FFFFFF"/>
        </w:rPr>
        <w:t>其他有关文件专门要求通过政府信息公开工作年度报告予以报告的事项：无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645"/>
        <w:rPr>
          <w:rFonts w:hint="default" w:ascii="仿宋_GB2312" w:eastAsia="仿宋_GB2312" w:cs="仿宋_GB2312"/>
          <w:spacing w:val="0"/>
          <w:sz w:val="31"/>
          <w:szCs w:val="31"/>
        </w:rPr>
      </w:pPr>
      <w:r>
        <w:rPr>
          <w:rFonts w:hint="default" w:ascii="仿宋_GB2312" w:eastAsia="仿宋_GB2312" w:cs="仿宋_GB2312"/>
          <w:spacing w:val="0"/>
          <w:sz w:val="31"/>
          <w:szCs w:val="31"/>
        </w:rPr>
        <w:t>7、本报告的电子版可在“中国滕州网”（http://www.tengzhou.gov.cn/）网站查询和下载。如对本报告有任何疑问，请与</w:t>
      </w:r>
      <w:r>
        <w:rPr>
          <w:rFonts w:hint="eastAsia" w:ascii="仿宋_GB2312" w:eastAsia="仿宋_GB2312" w:cs="仿宋_GB2312"/>
          <w:spacing w:val="0"/>
          <w:sz w:val="31"/>
          <w:szCs w:val="31"/>
          <w:lang w:val="en-US" w:eastAsia="zh-CN"/>
        </w:rPr>
        <w:t>木石镇党政</w:t>
      </w:r>
      <w:r>
        <w:rPr>
          <w:rFonts w:hint="default" w:ascii="仿宋_GB2312" w:eastAsia="仿宋_GB2312" w:cs="仿宋_GB2312"/>
          <w:spacing w:val="0"/>
          <w:sz w:val="31"/>
          <w:szCs w:val="31"/>
        </w:rPr>
        <w:t>办公室联系。 （地址：山东省滕州市</w:t>
      </w:r>
      <w:r>
        <w:rPr>
          <w:rFonts w:hint="eastAsia" w:ascii="仿宋_GB2312" w:eastAsia="仿宋_GB2312" w:cs="仿宋_GB2312"/>
          <w:spacing w:val="0"/>
          <w:sz w:val="31"/>
          <w:szCs w:val="31"/>
          <w:lang w:val="en-US" w:eastAsia="zh-CN"/>
        </w:rPr>
        <w:t>木石镇人民政府</w:t>
      </w:r>
      <w:r>
        <w:rPr>
          <w:rFonts w:hint="default" w:ascii="仿宋_GB2312" w:eastAsia="仿宋_GB2312" w:cs="仿宋_GB2312"/>
          <w:spacing w:val="0"/>
          <w:sz w:val="31"/>
          <w:szCs w:val="31"/>
        </w:rPr>
        <w:t>，联系电话：0632—</w:t>
      </w:r>
      <w:r>
        <w:rPr>
          <w:rFonts w:hint="eastAsia" w:ascii="仿宋_GB2312" w:eastAsia="仿宋_GB2312" w:cs="仿宋_GB2312"/>
          <w:spacing w:val="0"/>
          <w:sz w:val="31"/>
          <w:szCs w:val="31"/>
          <w:lang w:val="en-US" w:eastAsia="zh-CN"/>
        </w:rPr>
        <w:t>2358101</w:t>
      </w:r>
      <w:r>
        <w:rPr>
          <w:rFonts w:hint="default" w:ascii="仿宋_GB2312" w:eastAsia="仿宋_GB2312" w:cs="仿宋_GB2312"/>
          <w:spacing w:val="0"/>
          <w:sz w:val="31"/>
          <w:szCs w:val="31"/>
        </w:rPr>
        <w:t>，电子邮箱：</w:t>
      </w:r>
      <w:r>
        <w:rPr>
          <w:rFonts w:hint="default" w:ascii="仿宋_GB2312" w:eastAsia="仿宋_GB2312" w:cs="仿宋_GB2312"/>
          <w:spacing w:val="0"/>
          <w:sz w:val="31"/>
          <w:szCs w:val="31"/>
        </w:rPr>
        <w:fldChar w:fldCharType="begin"/>
      </w:r>
      <w:r>
        <w:rPr>
          <w:rFonts w:hint="default" w:ascii="仿宋_GB2312" w:eastAsia="仿宋_GB2312" w:cs="仿宋_GB2312"/>
          <w:spacing w:val="0"/>
          <w:sz w:val="31"/>
          <w:szCs w:val="31"/>
        </w:rPr>
        <w:instrText xml:space="preserve"> HYPERLINK "mailto:2356916@163.com" </w:instrText>
      </w:r>
      <w:r>
        <w:rPr>
          <w:rFonts w:hint="default" w:ascii="仿宋_GB2312" w:eastAsia="仿宋_GB2312" w:cs="仿宋_GB2312"/>
          <w:spacing w:val="0"/>
          <w:sz w:val="31"/>
          <w:szCs w:val="31"/>
        </w:rPr>
        <w:fldChar w:fldCharType="separate"/>
      </w:r>
      <w:r>
        <w:rPr>
          <w:rFonts w:hint="default" w:ascii="仿宋_GB2312" w:eastAsia="仿宋_GB2312" w:cs="仿宋_GB2312"/>
          <w:spacing w:val="0"/>
          <w:sz w:val="31"/>
          <w:szCs w:val="31"/>
        </w:rPr>
        <w:t>mushizhen@zz.shandong.cn</w:t>
      </w:r>
      <w:r>
        <w:rPr>
          <w:rFonts w:hint="default" w:ascii="仿宋_GB2312" w:eastAsia="仿宋_GB2312" w:cs="仿宋_GB2312"/>
          <w:spacing w:val="0"/>
          <w:sz w:val="31"/>
          <w:szCs w:val="31"/>
        </w:rPr>
        <w:fldChar w:fldCharType="end"/>
      </w:r>
      <w:r>
        <w:rPr>
          <w:rFonts w:hint="default" w:ascii="仿宋_GB2312" w:eastAsia="仿宋_GB2312" w:cs="仿宋_GB2312"/>
          <w:spacing w:val="0"/>
          <w:sz w:val="31"/>
          <w:szCs w:val="31"/>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left="0" w:right="0" w:firstLine="645"/>
        <w:rPr>
          <w:rFonts w:hint="default" w:ascii="仿宋_GB2312" w:eastAsia="仿宋_GB2312" w:cs="仿宋_GB2312"/>
          <w:spacing w:val="0"/>
          <w:sz w:val="31"/>
          <w:szCs w:val="31"/>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rPr>
          <w:sz w:val="24"/>
          <w:szCs w:val="24"/>
        </w:rPr>
      </w:pPr>
      <w:r>
        <w:rPr>
          <w:rFonts w:hint="default" w:ascii="仿宋_GB2312" w:eastAsia="仿宋_GB2312" w:cs="仿宋_GB2312"/>
          <w:spacing w:val="0"/>
          <w:sz w:val="31"/>
          <w:szCs w:val="3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800"/>
        <w:rPr>
          <w:sz w:val="24"/>
          <w:szCs w:val="24"/>
        </w:rPr>
      </w:pPr>
      <w:r>
        <w:rPr>
          <w:rFonts w:hint="default" w:ascii="仿宋_GB2312" w:eastAsia="仿宋_GB2312" w:cs="仿宋_GB2312"/>
          <w:spacing w:val="0"/>
          <w:sz w:val="31"/>
          <w:szCs w:val="31"/>
        </w:rPr>
        <w:t>滕州市</w:t>
      </w:r>
      <w:r>
        <w:rPr>
          <w:rFonts w:hint="eastAsia" w:ascii="仿宋_GB2312" w:eastAsia="仿宋_GB2312" w:cs="仿宋_GB2312"/>
          <w:spacing w:val="0"/>
          <w:sz w:val="31"/>
          <w:szCs w:val="31"/>
          <w:lang w:eastAsia="zh-CN"/>
        </w:rPr>
        <w:t>木石</w:t>
      </w:r>
      <w:r>
        <w:rPr>
          <w:rFonts w:hint="default" w:ascii="仿宋_GB2312" w:eastAsia="仿宋_GB2312" w:cs="仿宋_GB2312"/>
          <w:spacing w:val="0"/>
          <w:sz w:val="31"/>
          <w:szCs w:val="31"/>
        </w:rPr>
        <w:t>镇人民政府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5550"/>
        <w:rPr>
          <w:sz w:val="24"/>
          <w:szCs w:val="24"/>
        </w:rPr>
      </w:pPr>
      <w:r>
        <w:rPr>
          <w:rFonts w:hint="default" w:ascii="仿宋_GB2312" w:eastAsia="仿宋_GB2312" w:cs="仿宋_GB2312"/>
          <w:spacing w:val="0"/>
          <w:sz w:val="31"/>
          <w:szCs w:val="31"/>
        </w:rPr>
        <w:t>202</w:t>
      </w:r>
      <w:r>
        <w:rPr>
          <w:rFonts w:hint="eastAsia" w:ascii="仿宋_GB2312" w:eastAsia="仿宋_GB2312" w:cs="仿宋_GB2312"/>
          <w:spacing w:val="0"/>
          <w:sz w:val="31"/>
          <w:szCs w:val="31"/>
          <w:lang w:val="en-US" w:eastAsia="zh-CN"/>
        </w:rPr>
        <w:t>3</w:t>
      </w:r>
      <w:r>
        <w:rPr>
          <w:rFonts w:hint="default" w:ascii="仿宋_GB2312" w:eastAsia="仿宋_GB2312" w:cs="仿宋_GB2312"/>
          <w:spacing w:val="0"/>
          <w:sz w:val="31"/>
          <w:szCs w:val="31"/>
        </w:rPr>
        <w:t>年1月</w:t>
      </w:r>
      <w:r>
        <w:rPr>
          <w:rFonts w:hint="eastAsia" w:ascii="仿宋_GB2312" w:eastAsia="仿宋_GB2312" w:cs="仿宋_GB2312"/>
          <w:spacing w:val="0"/>
          <w:sz w:val="31"/>
          <w:szCs w:val="31"/>
          <w:lang w:val="en-US" w:eastAsia="zh-CN"/>
        </w:rPr>
        <w:t>17</w:t>
      </w:r>
      <w:r>
        <w:rPr>
          <w:rFonts w:hint="default" w:ascii="仿宋_GB2312" w:eastAsia="仿宋_GB2312" w:cs="仿宋_GB2312"/>
          <w:spacing w:val="0"/>
          <w:sz w:val="31"/>
          <w:szCs w:val="31"/>
        </w:rPr>
        <w:t>日</w:t>
      </w:r>
    </w:p>
    <w:p>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ÃƒÂ¥Ã‚Â¾Ã‚Â®ÃƒÂ¨Ã‚Â½Ã‚Â¯ÃƒÂ©Ã¢â">
    <w:altName w:val="Adobe 仿宋 Std R"/>
    <w:panose1 w:val="00000000000000000000"/>
    <w:charset w:val="00"/>
    <w:family w:val="auto"/>
    <w:pitch w:val="default"/>
    <w:sig w:usb0="00000000" w:usb1="00000000" w:usb2="00000000" w:usb3="00000000" w:csb0="00040001" w:csb1="00000000"/>
  </w:font>
  <w:font w:name="Adobe 仿宋 Std R">
    <w:panose1 w:val="02020400000000000000"/>
    <w:charset w:val="86"/>
    <w:family w:val="auto"/>
    <w:pitch w:val="default"/>
    <w:sig w:usb0="00000001" w:usb1="0A0F1810" w:usb2="00000016" w:usb3="00000000" w:csb0="000600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mMThmNTdjOWFkMTUyZGQ2ZTMzMzU4MzNhZGNmYWIifQ=="/>
  </w:docVars>
  <w:rsids>
    <w:rsidRoot w:val="00000000"/>
    <w:rsid w:val="08B35167"/>
    <w:rsid w:val="28E7246B"/>
    <w:rsid w:val="79BC0A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3161</Words>
  <Characters>3332</Characters>
  <Lines>0</Lines>
  <Paragraphs>0</Paragraphs>
  <TotalTime>1</TotalTime>
  <ScaleCrop>false</ScaleCrop>
  <LinksUpToDate>false</LinksUpToDate>
  <CharactersWithSpaces>3334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haixin</dc:creator>
  <cp:lastModifiedBy>haixin</cp:lastModifiedBy>
  <dcterms:modified xsi:type="dcterms:W3CDTF">2023-02-06T07:52:59Z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A84B6799750D47AA960542AC6B0DE69F</vt:lpwstr>
  </property>
</Properties>
</file>