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  <w:t>滕州市卫生健康局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  <w:t>2021年政府信息公开年度报告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根据《中华人民共和国政府信息公开条例》规定和省政府办公厅、枣庄市政府办公室、滕州市政府办公室通知要求，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结合实际，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编制并向社会公布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滕州市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卫生健康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年政府信息公开年度报告。本年度报告中所列数据的统计期限自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日起至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年，滕州市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卫生健康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深入贯彻落实国务院、省政府和市政府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公开工作部署要求，统筹推进政务公开规范化建设，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完善公开渠道，拓宽公开范围，提升公开水平，全力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实现新突破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（一）主动公开方面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滕州市卫生健康局主动公开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1855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条。其中，通过局官方网站公开信息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763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条，通过信息公开网站公开信息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条，通过局微信公众号公开信息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920余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260985</wp:posOffset>
            </wp:positionV>
            <wp:extent cx="4581525" cy="2473960"/>
            <wp:effectExtent l="4445" t="4445" r="5080" b="55245"/>
            <wp:wrapSquare wrapText="bothSides"/>
            <wp:docPr id="3" name="图表 2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12065</wp:posOffset>
            </wp:positionV>
            <wp:extent cx="4572000" cy="2743200"/>
            <wp:effectExtent l="4445" t="4445" r="14605" b="14605"/>
            <wp:wrapSquare wrapText="bothSides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775335</wp:posOffset>
            </wp:positionV>
            <wp:extent cx="4627880" cy="2811780"/>
            <wp:effectExtent l="0" t="0" r="1270" b="7620"/>
            <wp:wrapSquare wrapText="bothSides"/>
            <wp:docPr id="4" name="图片 4" descr="21年公开年报所用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年公开年报所用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center"/>
        <w:textAlignment w:val="auto"/>
        <w:rPr>
          <w:rStyle w:val="8"/>
          <w:rFonts w:hint="default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“滕州卫生健康”微信公众号发布信息情况（部分）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开方面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卫生健康局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共受理政府信息公开依申请事项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件，已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按照《条例》相关规定按时按要求对申请人进行答复。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）管理方面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充分发挥政府门户网站、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滕州卫生健康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微信公众号等媒体平台作用，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设立“战疫一线”“创城攻坚”等栏目，并对“世界卫生日”“国际护士节”“全国爱眼日”等卫生节日，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刊发疫情防控科普知识，知道公众分类精准防控，提高公众防控意识。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逐步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完善细化政府信息公开的工作制度，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抓好平台维护、日常管理，</w:t>
      </w:r>
      <w:r>
        <w:rPr>
          <w:rFonts w:hint="eastAsia" w:ascii="仿宋_GB2312" w:eastAsia="仿宋_GB2312"/>
          <w:sz w:val="32"/>
          <w:szCs w:val="32"/>
          <w:highlight w:val="none"/>
        </w:rPr>
        <w:t>规范依申请公开工作流程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落实信息发布前审核审查制度，严格审核每条信息的真实性、合理性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）平台建设方面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一是优化政府信息公开平台。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迁移市卫生健康局门户网站后台，与市政府信息公开网站后台合并，实现一个账号统管两个网站，实现政府信息公开平台一体化发展。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二是打造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滕州卫生健康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微信品牌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粉丝量达到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15000</w:t>
      </w:r>
      <w:r>
        <w:rPr>
          <w:rFonts w:hint="eastAsia" w:ascii="仿宋_GB2312" w:eastAsia="仿宋_GB2312"/>
          <w:sz w:val="32"/>
          <w:szCs w:val="32"/>
        </w:rPr>
        <w:t>余人，单篇最高阅读量曾达到13万人次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全年发布微信320余期，帮助群众了解卫生健康局最新工作动态，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助力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滕州卫生健康事业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高质量发展。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30480</wp:posOffset>
            </wp:positionV>
            <wp:extent cx="4690110" cy="3574415"/>
            <wp:effectExtent l="0" t="0" r="15240" b="6985"/>
            <wp:wrapSquare wrapText="bothSides"/>
            <wp:docPr id="2" name="图片 2" descr="6a4bdf647d90d33192e2de96e099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4bdf647d90d33192e2de96e0994e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三是强化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与新闻媒体合作。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加强与人口健康报、枣庄日报、大众网、齐鲁网、滕州融媒体的合作，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先后组织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市中心人民医院、市中医医院、市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精神卫生专家、医疗救治专家、校园疫情防控专家等走进电视台直播间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开展健康知识讲座。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组织市直医院专家到枣庄广播电视台坐诊。提升宣传质量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全年2900余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稿件在国家和省、市级媒体刊发。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7605" cy="3237865"/>
            <wp:effectExtent l="0" t="0" r="10795" b="635"/>
            <wp:docPr id="6" name="图片 6" descr="8766d16e9d92d202ec611d23c4d7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66d16e9d92d202ec611d23c4d7b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6810" cy="3223260"/>
            <wp:effectExtent l="0" t="0" r="2540" b="15240"/>
            <wp:docPr id="7" name="图片 7" descr="8703de9d908643afbc6498ba3f59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703de9d908643afbc6498ba3f590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保障方面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加强对政务信息公开工作的组织领导，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健全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局长为组长、分管副局长为副组长、各科室主要负责人为成员的政务信息公开工作领导小组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，局宣传科具体牵头负责，明确各科室职责，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不断提高政务公开制度化规范化水平。结合工作实际，认真梳理政府信息，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编制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年政务公开工作实施方案》，调整完善政府信息主动公开基本目录。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目前，此项工作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已纳入滕州市绩效考核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指标体系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未进行社会评议，未发生责任追究情况。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主动公开政府信息情况</w:t>
      </w:r>
    </w:p>
    <w:tbl>
      <w:tblPr>
        <w:tblStyle w:val="6"/>
        <w:tblW w:w="9112" w:type="dxa"/>
        <w:tblInd w:w="-277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2316"/>
        <w:gridCol w:w="2054"/>
        <w:gridCol w:w="2054"/>
        <w:gridCol w:w="26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9112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C6D9F1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​第二十条第（一）项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9112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C6D9F1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79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679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9112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C6D9F1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79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679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679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9112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C6D9F1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79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231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679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1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22"/>
        <w:gridCol w:w="2261"/>
        <w:gridCol w:w="727"/>
        <w:gridCol w:w="756"/>
        <w:gridCol w:w="756"/>
        <w:gridCol w:w="881"/>
        <w:gridCol w:w="903"/>
        <w:gridCol w:w="712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1" w:leftChars="0" w:right="-13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（一）存在问题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一是信息公开时效性不够高。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政府信息发布有时不够及时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主动公开存在不规范、不及时问题，有时政策、通知公告等信息仅在官方网站进行了公布，一段时间后才想起要在政府公开网站进行公开。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二是政务公开意识不够强。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个别科室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对政府信息公开的思想意识不强，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认识和重视程度不够，在推动政务公开工作方面没有形成强大工作凝聚力，导致公开效果有所减弱。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三是专业队伍建设有待提高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政府信息公开工作主要有宣传科工作人员兼职，信息发布、更新、依申请公开等工作量大、标准要求，一定程度上影响政府信息公开工作深入全面开展。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（二）整改措施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一是加大主动公开力度。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/>
        </w:rPr>
        <w:t>进一步梳理单位政务信息，建立主动公开文件台账，定期核对、定期提醒主动公开情况，要严格执行时限要求，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对政务信息进行公开发布，回应社会关切。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二是完善政务公开机制。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持续优化设置，简化流程，完善政务公开制度，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提高政府信息公开工作规范化、制度化水平。在工作流程上达到高效、便民、服务，实现服务方式多样化，群众办事简洁化。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等线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三是抓好专业队伍能力建设。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/>
        </w:rPr>
        <w:t>制定公开培训计划，积极参加上级组织的政务公开工作培训班，组织召开本单位政务公开工作座谈会，及时传达培训班精神和有关政务公开知识，加强对相关科室负责政务公开同志的指导培训，提高政务公开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）收取信息处理费的情况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卫生健康局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政府信息公开工作未发生《政府信息公开信息处理费管理办法》所列情况，无收费及减免情况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default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建议提案办理公开情况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年，滕州市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卫生健康局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收到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滕州市政协提案22件、承办市人大代表提案5件，目前已办理完毕，并逐一答复了代表本人，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均已按时办结，并公开答复。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default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突出重点领域信息公开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default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对市委经济工作会议及《政府工作报告》（惠民实事）任务进展情况，均建立工作台账，按照季度在政府信息公开专栏主动公开。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及时公开行政执法事前公示内容，公布行政执法服务指南。及时公开行政执法结果信息、年度行政执法总体情况。公开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年“双随机、一公开”随机抽查事项清单，拟定年度抽查计划，及时公开抽查结果信息。公开卫生健康信息，及时公开医疗资源配置情况、公共卫生服务机构名录及健康科普信息，方便群众知晓。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  <w:t>本报告的电子版可在“中国滕州”（www.tengzhou.gov.cn）网站查询和下载。如对本报告有任何疑问，请与滕州市卫生健康局宣传科联系。（地址：山东省滕州市学院路100号，联系电话：0632—5518010，电子邮箱：tzwjjxck@zz.shandong.cn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  <w:t>滕州市卫生健康局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  <w:t>2022年1月14日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ÃƒÂ¥Ã‚Â¾Ã‚Â®ÃƒÂ¨Ã‚Â½Ã‚Â¯ÃƒÂ©Ã¢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27724"/>
    <w:multiLevelType w:val="singleLevel"/>
    <w:tmpl w:val="DA7277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GFkMWU4MWY4OGQ5ODdiZTgwNmE3MjBjNmQ1MzIifQ=="/>
  </w:docVars>
  <w:rsids>
    <w:rsidRoot w:val="00000000"/>
    <w:rsid w:val="01665E9C"/>
    <w:rsid w:val="0234306E"/>
    <w:rsid w:val="04185410"/>
    <w:rsid w:val="0448695E"/>
    <w:rsid w:val="058E108A"/>
    <w:rsid w:val="05DD2118"/>
    <w:rsid w:val="063B7194"/>
    <w:rsid w:val="08EE09DB"/>
    <w:rsid w:val="0937726A"/>
    <w:rsid w:val="0DB0680C"/>
    <w:rsid w:val="125C5923"/>
    <w:rsid w:val="16BA55A7"/>
    <w:rsid w:val="17594FF8"/>
    <w:rsid w:val="175B1444"/>
    <w:rsid w:val="1A8E001C"/>
    <w:rsid w:val="1FE869F5"/>
    <w:rsid w:val="221E6B8E"/>
    <w:rsid w:val="22CF00B0"/>
    <w:rsid w:val="25725F35"/>
    <w:rsid w:val="26AF7158"/>
    <w:rsid w:val="2797285D"/>
    <w:rsid w:val="27A87540"/>
    <w:rsid w:val="29995DFC"/>
    <w:rsid w:val="29E02764"/>
    <w:rsid w:val="2A704DAF"/>
    <w:rsid w:val="2B5B44D9"/>
    <w:rsid w:val="2D087E61"/>
    <w:rsid w:val="2EDD67C7"/>
    <w:rsid w:val="2F6B2CE1"/>
    <w:rsid w:val="31365E69"/>
    <w:rsid w:val="31736590"/>
    <w:rsid w:val="346B66A9"/>
    <w:rsid w:val="35604CA4"/>
    <w:rsid w:val="37FD7880"/>
    <w:rsid w:val="38720311"/>
    <w:rsid w:val="3B2376FD"/>
    <w:rsid w:val="3B3F66B2"/>
    <w:rsid w:val="3C291261"/>
    <w:rsid w:val="3D265377"/>
    <w:rsid w:val="3EAD1CD6"/>
    <w:rsid w:val="3F975B8D"/>
    <w:rsid w:val="408C5489"/>
    <w:rsid w:val="426A6244"/>
    <w:rsid w:val="448C58BC"/>
    <w:rsid w:val="457F424F"/>
    <w:rsid w:val="479A640F"/>
    <w:rsid w:val="484E2662"/>
    <w:rsid w:val="485B09F4"/>
    <w:rsid w:val="49D302E2"/>
    <w:rsid w:val="4A464F4E"/>
    <w:rsid w:val="4AB62D08"/>
    <w:rsid w:val="4B00251C"/>
    <w:rsid w:val="4D9839BE"/>
    <w:rsid w:val="4F523065"/>
    <w:rsid w:val="4FDC442E"/>
    <w:rsid w:val="552622E5"/>
    <w:rsid w:val="59B22C1D"/>
    <w:rsid w:val="59D612EB"/>
    <w:rsid w:val="5AC959D5"/>
    <w:rsid w:val="5DDB359F"/>
    <w:rsid w:val="5E817882"/>
    <w:rsid w:val="63FA6EBC"/>
    <w:rsid w:val="647D345F"/>
    <w:rsid w:val="64B11AF5"/>
    <w:rsid w:val="650E1412"/>
    <w:rsid w:val="65F52FFF"/>
    <w:rsid w:val="669A0203"/>
    <w:rsid w:val="67D35568"/>
    <w:rsid w:val="68A07BDA"/>
    <w:rsid w:val="6B0E39F6"/>
    <w:rsid w:val="6C525D4F"/>
    <w:rsid w:val="6FC82564"/>
    <w:rsid w:val="70521116"/>
    <w:rsid w:val="715D3755"/>
    <w:rsid w:val="72CE2839"/>
    <w:rsid w:val="74082B08"/>
    <w:rsid w:val="7510149A"/>
    <w:rsid w:val="75C37A55"/>
    <w:rsid w:val="77EC6AED"/>
    <w:rsid w:val="78292DBC"/>
    <w:rsid w:val="793307B4"/>
    <w:rsid w:val="7A0A2F99"/>
    <w:rsid w:val="7A557B13"/>
    <w:rsid w:val="7C380BA0"/>
    <w:rsid w:val="7F2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styleId="11">
    <w:name w:val="HTML Code"/>
    <w:basedOn w:val="7"/>
    <w:autoRedefine/>
    <w:qFormat/>
    <w:uiPriority w:val="0"/>
    <w:rPr>
      <w:rFonts w:ascii="Courier New" w:hAnsi="Courier New"/>
      <w:sz w:val="20"/>
    </w:rPr>
  </w:style>
  <w:style w:type="paragraph" w:styleId="12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customStyle="1" w:styleId="13">
    <w:name w:val="hover"/>
    <w:basedOn w:val="7"/>
    <w:autoRedefine/>
    <w:qFormat/>
    <w:uiPriority w:val="0"/>
    <w:rPr>
      <w:b/>
      <w:color w:val="BF2215"/>
      <w:sz w:val="28"/>
      <w:szCs w:val="28"/>
    </w:rPr>
  </w:style>
  <w:style w:type="character" w:customStyle="1" w:styleId="14">
    <w:name w:val="hover1"/>
    <w:basedOn w:val="7"/>
    <w:autoRedefine/>
    <w:qFormat/>
    <w:uiPriority w:val="0"/>
    <w:rPr>
      <w:b/>
      <w:color w:val="BF2215"/>
      <w:sz w:val="28"/>
      <w:szCs w:val="28"/>
    </w:rPr>
  </w:style>
  <w:style w:type="character" w:customStyle="1" w:styleId="15">
    <w:name w:val="hover2"/>
    <w:basedOn w:val="7"/>
    <w:autoRedefine/>
    <w:qFormat/>
    <w:uiPriority w:val="0"/>
    <w:rPr>
      <w:b/>
      <w:color w:val="BF2215"/>
      <w:sz w:val="28"/>
      <w:szCs w:val="28"/>
    </w:rPr>
  </w:style>
  <w:style w:type="character" w:customStyle="1" w:styleId="16">
    <w:name w:val="hover3"/>
    <w:basedOn w:val="7"/>
    <w:autoRedefine/>
    <w:qFormat/>
    <w:uiPriority w:val="0"/>
    <w:rPr>
      <w:b/>
      <w:color w:val="16639F"/>
    </w:rPr>
  </w:style>
  <w:style w:type="character" w:customStyle="1" w:styleId="17">
    <w:name w:val="calendar-head__next-range-btn"/>
    <w:basedOn w:val="7"/>
    <w:autoRedefine/>
    <w:qFormat/>
    <w:uiPriority w:val="0"/>
    <w:rPr>
      <w:vanish/>
    </w:rPr>
  </w:style>
  <w:style w:type="character" w:customStyle="1" w:styleId="18">
    <w:name w:val="calendar-head__year-range"/>
    <w:basedOn w:val="7"/>
    <w:autoRedefine/>
    <w:qFormat/>
    <w:uiPriority w:val="0"/>
    <w:rPr>
      <w:vanish/>
    </w:rPr>
  </w:style>
  <w:style w:type="character" w:customStyle="1" w:styleId="19">
    <w:name w:val="calendar-head__text-display"/>
    <w:basedOn w:val="7"/>
    <w:autoRedefine/>
    <w:qFormat/>
    <w:uiPriority w:val="0"/>
    <w:rPr>
      <w:vanish/>
    </w:rPr>
  </w:style>
  <w:style w:type="character" w:customStyle="1" w:styleId="20">
    <w:name w:val="active4"/>
    <w:basedOn w:val="7"/>
    <w:autoRedefine/>
    <w:qFormat/>
    <w:uiPriority w:val="0"/>
    <w:rPr>
      <w:color w:val="333333"/>
    </w:rPr>
  </w:style>
  <w:style w:type="character" w:customStyle="1" w:styleId="21">
    <w:name w:val="calendar-head__next-month-btn"/>
    <w:basedOn w:val="7"/>
    <w:autoRedefine/>
    <w:qFormat/>
    <w:uiPriority w:val="0"/>
  </w:style>
  <w:style w:type="character" w:customStyle="1" w:styleId="22">
    <w:name w:val="calendar-head__prev-range-btn"/>
    <w:basedOn w:val="7"/>
    <w:autoRedefine/>
    <w:qFormat/>
    <w:uiPriority w:val="0"/>
    <w:rPr>
      <w:vanish/>
    </w:rPr>
  </w:style>
  <w:style w:type="character" w:customStyle="1" w:styleId="23">
    <w:name w:val="calendar-head__next-year-bt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lenovo\Desktop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lenovo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  <a:r>
              <a:rPr b="1"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rPr>
              <a:t>政务信息公开情况（官方网站）</a:t>
            </a:r>
            <a:endParaRPr b="1">
              <a:latin typeface="仿宋_GB2312" panose="02010609030101010101" pitchFamily="3" charset="-122"/>
              <a:ea typeface="仿宋_GB2312" panose="02010609030101010101" pitchFamily="3" charset="-122"/>
              <a:cs typeface="仿宋_GB2312" panose="02010609030101010101" pitchFamily="3" charset="-122"/>
              <a:sym typeface="仿宋_GB2312" panose="02010609030101010101" pitchFamily="3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D06F83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DD5F71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68B6B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仿宋_GB2312" panose="02010609030101010101" pitchFamily="3" charset="-122"/>
                      <a:ea typeface="仿宋_GB2312" panose="02010609030101010101" pitchFamily="3" charset="-122"/>
                      <a:cs typeface="仿宋_GB2312" panose="02010609030101010101" pitchFamily="3" charset="-122"/>
                      <a:sym typeface="仿宋_GB2312" panose="02010609030101010101" pitchFamily="3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仿宋_GB2312" panose="02010609030101010101" pitchFamily="3" charset="-122"/>
                      <a:ea typeface="仿宋_GB2312" panose="02010609030101010101" pitchFamily="3" charset="-122"/>
                      <a:cs typeface="仿宋_GB2312" panose="02010609030101010101" pitchFamily="3" charset="-122"/>
                      <a:sym typeface="仿宋_GB2312" panose="02010609030101010101" pitchFamily="3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仿宋_GB2312" panose="02010609030101010101" pitchFamily="3" charset="-122"/>
                      <a:ea typeface="仿宋_GB2312" panose="02010609030101010101" pitchFamily="3" charset="-122"/>
                      <a:cs typeface="仿宋_GB2312" panose="02010609030101010101" pitchFamily="3" charset="-122"/>
                      <a:sym typeface="仿宋_GB2312" panose="02010609030101010101" pitchFamily="3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仿宋_GB2312" panose="02010609030101010101" pitchFamily="3" charset="-122"/>
                    <a:ea typeface="仿宋_GB2312" panose="02010609030101010101" pitchFamily="3" charset="-122"/>
                    <a:cs typeface="仿宋_GB2312" panose="02010609030101010101" pitchFamily="3" charset="-122"/>
                    <a:sym typeface="仿宋_GB2312" panose="02010609030101010101" pitchFamily="3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工作表.xls]Sheet1'!$A$2:$A$6</c:f>
              <c:strCache>
                <c:ptCount val="5"/>
                <c:pt idx="0">
                  <c:v>工作动态</c:v>
                </c:pt>
                <c:pt idx="1">
                  <c:v>公告通知</c:v>
                </c:pt>
                <c:pt idx="2">
                  <c:v>单位信息</c:v>
                </c:pt>
                <c:pt idx="3">
                  <c:v>基层动态</c:v>
                </c:pt>
                <c:pt idx="4">
                  <c:v>重点关注</c:v>
                </c:pt>
              </c:strCache>
            </c:strRef>
          </c:cat>
          <c:val>
            <c:numRef>
              <c:f>'[新建 XLS 工作表.xls]Sheet1'!$B$2:$B$6</c:f>
              <c:numCache>
                <c:formatCode>General</c:formatCode>
                <c:ptCount val="5"/>
                <c:pt idx="0">
                  <c:v>180</c:v>
                </c:pt>
                <c:pt idx="1">
                  <c:v>60</c:v>
                </c:pt>
                <c:pt idx="2">
                  <c:v>166</c:v>
                </c:pt>
                <c:pt idx="3">
                  <c:v>246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ayout>
        <c:manualLayout>
          <c:xMode val="edge"/>
          <c:yMode val="edge"/>
          <c:x val="0.190972222222222"/>
          <c:y val="0.16111111111111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仿宋_GB2312" panose="02010609030101010101" pitchFamily="3" charset="-122"/>
              <a:ea typeface="仿宋_GB2312" panose="02010609030101010101" pitchFamily="3" charset="-122"/>
              <a:cs typeface="仿宋_GB2312" panose="02010609030101010101" pitchFamily="3" charset="-122"/>
              <a:sym typeface="仿宋_GB2312" panose="02010609030101010101" pitchFamily="3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仿宋_GB2312" panose="02010609030101010101" pitchFamily="3" charset="-122"/>
          <a:ea typeface="仿宋_GB2312" panose="02010609030101010101" pitchFamily="3" charset="-122"/>
          <a:cs typeface="仿宋_GB2312" panose="02010609030101010101" pitchFamily="3" charset="-122"/>
          <a:sym typeface="仿宋_GB2312" panose="02010609030101010101" pitchFamily="3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  <a:r>
              <a:rPr b="1"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rPr>
              <a:t>政务信息公开情况（政务公开网站）</a:t>
            </a:r>
            <a:endParaRPr b="1">
              <a:latin typeface="仿宋_GB2312" panose="02010609030101010101" pitchFamily="3" charset="-122"/>
              <a:ea typeface="仿宋_GB2312" panose="02010609030101010101" pitchFamily="3" charset="-122"/>
              <a:cs typeface="仿宋_GB2312" panose="02010609030101010101" pitchFamily="3" charset="-122"/>
              <a:sym typeface="仿宋_GB2312" panose="02010609030101010101" pitchFamily="3" charset="-122"/>
            </a:endParaRPr>
          </a:p>
        </c:rich>
      </c:tx>
      <c:layout>
        <c:manualLayout>
          <c:xMode val="edge"/>
          <c:yMode val="edge"/>
          <c:x val="0.195694444444444"/>
          <c:y val="0.03819444444444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'[新建 XLS 工作表.xls]Sheet1'!$A$2:$A$12</c:f>
              <c:strCache>
                <c:ptCount val="11"/>
                <c:pt idx="0">
                  <c:v>通知公告</c:v>
                </c:pt>
                <c:pt idx="1">
                  <c:v>政策文件</c:v>
                </c:pt>
                <c:pt idx="2">
                  <c:v>部门计划</c:v>
                </c:pt>
                <c:pt idx="3">
                  <c:v>财政信息</c:v>
                </c:pt>
                <c:pt idx="4">
                  <c:v>行政权力</c:v>
                </c:pt>
                <c:pt idx="5">
                  <c:v>建议提案</c:v>
                </c:pt>
                <c:pt idx="6">
                  <c:v>重点领域</c:v>
                </c:pt>
                <c:pt idx="7">
                  <c:v>组织管理</c:v>
                </c:pt>
                <c:pt idx="8">
                  <c:v>基本目录</c:v>
                </c:pt>
                <c:pt idx="9">
                  <c:v>公开指南</c:v>
                </c:pt>
                <c:pt idx="10">
                  <c:v>公开内容</c:v>
                </c:pt>
              </c:strCache>
            </c:strRef>
          </c:cat>
          <c:val>
            <c:numRef>
              <c:f>'[新建 XLS 工作表.xls]Sheet1'!$B$2:$B$12</c:f>
              <c:numCache>
                <c:formatCode>General</c:formatCode>
                <c:ptCount val="11"/>
                <c:pt idx="0">
                  <c:v>8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28</c:v>
                </c:pt>
                <c:pt idx="6">
                  <c:v>110</c:v>
                </c:pt>
                <c:pt idx="7">
                  <c:v>12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8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9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egendEntry>
        <c:idx val="1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pitchFamily="3" charset="-122"/>
                <a:ea typeface="仿宋_GB2312" panose="02010609030101010101" pitchFamily="3" charset="-122"/>
                <a:cs typeface="仿宋_GB2312" panose="02010609030101010101" pitchFamily="3" charset="-122"/>
                <a:sym typeface="仿宋_GB2312" panose="02010609030101010101" pitchFamily="3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仿宋_GB2312" panose="02010609030101010101" pitchFamily="3" charset="-122"/>
              <a:ea typeface="仿宋_GB2312" panose="02010609030101010101" pitchFamily="3" charset="-122"/>
              <a:cs typeface="仿宋_GB2312" panose="02010609030101010101" pitchFamily="3" charset="-122"/>
              <a:sym typeface="仿宋_GB2312" panose="02010609030101010101" pitchFamily="3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仿宋_GB2312" panose="02010609030101010101" pitchFamily="3" charset="-122"/>
          <a:ea typeface="仿宋_GB2312" panose="02010609030101010101" pitchFamily="3" charset="-122"/>
          <a:cs typeface="仿宋_GB2312" panose="02010609030101010101" pitchFamily="3" charset="-122"/>
          <a:sym typeface="仿宋_GB2312" panose="02010609030101010101" pitchFamily="3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2863</Words>
  <Characters>2968</Characters>
  <Lines>0</Lines>
  <Paragraphs>0</Paragraphs>
  <TotalTime>5</TotalTime>
  <ScaleCrop>false</ScaleCrop>
  <LinksUpToDate>false</LinksUpToDate>
  <CharactersWithSpaces>3124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2020-10-23T03:42:00Z</dcterms:created>
  <dc:creator>lenovo</dc:creator>
  <cp:lastModifiedBy>满波</cp:lastModifiedBy>
  <cp:lastPrinted>2021-01-28T07:57:00Z</cp:lastPrinted>
  <dcterms:modified xsi:type="dcterms:W3CDTF">2024-04-30T01:31:11Z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C0BED2316696409A94218F636E260227_13</vt:lpwstr>
  </property>
</Properties>
</file>