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right="0" w:firstLine="720" w:firstLineChars="200"/>
        <w:jc w:val="center"/>
        <w:rPr>
          <w:rFonts w:hint="eastAsia" w:ascii="方正公文小标宋" w:hAnsi="方正公文小标宋" w:eastAsia="方正公文小标宋" w:cs="方正公文小标宋"/>
          <w:i w:val="0"/>
          <w:iCs w:val="0"/>
          <w:caps w:val="0"/>
          <w:color w:val="000000"/>
          <w:spacing w:val="0"/>
          <w:sz w:val="36"/>
          <w:szCs w:val="36"/>
          <w:shd w:val="clear" w:fill="FFFFFF"/>
          <w:lang w:val="en-US" w:eastAsia="zh-CN"/>
        </w:rPr>
      </w:pPr>
      <w:r>
        <w:rPr>
          <w:rFonts w:hint="eastAsia" w:ascii="方正公文小标宋" w:hAnsi="方正公文小标宋" w:eastAsia="方正公文小标宋" w:cs="方正公文小标宋"/>
          <w:i w:val="0"/>
          <w:iCs w:val="0"/>
          <w:caps w:val="0"/>
          <w:color w:val="000000"/>
          <w:spacing w:val="0"/>
          <w:sz w:val="36"/>
          <w:szCs w:val="36"/>
          <w:shd w:val="clear" w:fill="FFFFFF"/>
          <w:lang w:val="en-US" w:eastAsia="zh-CN"/>
        </w:rPr>
        <w:t>滕州市退役军人事务局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right="0" w:firstLine="720" w:firstLineChars="200"/>
        <w:jc w:val="center"/>
        <w:rPr>
          <w:rFonts w:hint="eastAsia" w:ascii="方正公文小标宋" w:hAnsi="方正公文小标宋" w:eastAsia="方正公文小标宋" w:cs="方正公文小标宋"/>
          <w:i w:val="0"/>
          <w:iCs w:val="0"/>
          <w:caps w:val="0"/>
          <w:color w:val="000000"/>
          <w:spacing w:val="0"/>
          <w:sz w:val="36"/>
          <w:szCs w:val="36"/>
          <w:shd w:val="clear" w:fill="FFFFFF"/>
          <w:lang w:val="en-US" w:eastAsia="zh-CN"/>
        </w:rPr>
      </w:pPr>
      <w:r>
        <w:rPr>
          <w:rFonts w:hint="eastAsia" w:ascii="方正公文小标宋" w:hAnsi="方正公文小标宋" w:eastAsia="方正公文小标宋" w:cs="方正公文小标宋"/>
          <w:i w:val="0"/>
          <w:iCs w:val="0"/>
          <w:caps w:val="0"/>
          <w:color w:val="000000"/>
          <w:spacing w:val="0"/>
          <w:sz w:val="36"/>
          <w:szCs w:val="36"/>
          <w:shd w:val="clear" w:fill="FFFFFF"/>
          <w:lang w:val="en-US" w:eastAsia="zh-CN"/>
        </w:rPr>
        <w:t>2021年政府信息公开工作年度报告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firstLine="640" w:firstLineChars="200"/>
        <w:jc w:val="left"/>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根据</w:t>
      </w:r>
      <w:r>
        <w:rPr>
          <w:rFonts w:hint="eastAsia" w:ascii="仿宋_GB2312" w:eastAsia="仿宋_GB2312" w:cs="仿宋_GB2312"/>
          <w:i w:val="0"/>
          <w:iCs w:val="0"/>
          <w:caps w:val="0"/>
          <w:color w:val="000000"/>
          <w:spacing w:val="0"/>
          <w:sz w:val="32"/>
          <w:szCs w:val="32"/>
          <w:shd w:val="clear" w:fill="FFFFFF"/>
        </w:rPr>
        <w:t>《中华人民共和国</w:t>
      </w:r>
      <w:r>
        <w:rPr>
          <w:rFonts w:hint="eastAsia" w:ascii="仿宋_GB2312" w:eastAsia="仿宋_GB2312" w:cs="仿宋_GB2312"/>
          <w:i w:val="0"/>
          <w:iCs w:val="0"/>
          <w:caps w:val="0"/>
          <w:color w:val="000000"/>
          <w:spacing w:val="0"/>
          <w:sz w:val="32"/>
          <w:szCs w:val="32"/>
          <w:shd w:val="clear" w:fill="FFFFFF"/>
          <w:lang w:val="en-US" w:eastAsia="zh-CN"/>
        </w:rPr>
        <w:t>政府</w:t>
      </w:r>
      <w:r>
        <w:rPr>
          <w:rFonts w:hint="eastAsia" w:ascii="仿宋_GB2312" w:eastAsia="仿宋_GB2312" w:cs="仿宋_GB2312"/>
          <w:i w:val="0"/>
          <w:iCs w:val="0"/>
          <w:caps w:val="0"/>
          <w:color w:val="000000"/>
          <w:spacing w:val="0"/>
          <w:sz w:val="32"/>
          <w:szCs w:val="32"/>
          <w:shd w:val="clear" w:fill="FFFFFF"/>
        </w:rPr>
        <w:t>信息公开条例》</w:t>
      </w:r>
      <w:r>
        <w:rPr>
          <w:rFonts w:hint="eastAsia" w:ascii="仿宋_GB2312" w:eastAsia="仿宋_GB2312" w:cs="仿宋_GB2312"/>
          <w:i w:val="0"/>
          <w:iCs w:val="0"/>
          <w:caps w:val="0"/>
          <w:color w:val="000000"/>
          <w:spacing w:val="0"/>
          <w:sz w:val="32"/>
          <w:szCs w:val="32"/>
          <w:shd w:val="clear" w:fill="FFFFFF"/>
          <w:lang w:val="en-US" w:eastAsia="zh-CN"/>
        </w:rPr>
        <w:t>的规定，现公布滕州市退役军人事务局2021年政府信息公开工作年度报告。本报告由总体情况、主动公开政府信息情况、收</w:t>
      </w:r>
      <w:r>
        <w:rPr>
          <w:rFonts w:hint="eastAsia" w:ascii="仿宋_GB2312" w:eastAsia="仿宋_GB2312" w:cs="仿宋_GB2312"/>
          <w:i w:val="0"/>
          <w:iCs w:val="0"/>
          <w:caps w:val="0"/>
          <w:color w:val="000000"/>
          <w:spacing w:val="0"/>
          <w:sz w:val="32"/>
          <w:szCs w:val="32"/>
          <w:shd w:val="clear" w:fill="FFFFFF"/>
        </w:rPr>
        <w:t>到和处理政府信息公开申请情况</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政府信息公开行政复议、行政诉讼情况</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存在的主要问题及改进情况</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rPr>
        <w:t>其他需要报告的事项</w:t>
      </w:r>
      <w:r>
        <w:rPr>
          <w:rFonts w:hint="eastAsia" w:ascii="仿宋_GB2312" w:eastAsia="仿宋_GB2312" w:cs="仿宋_GB2312"/>
          <w:i w:val="0"/>
          <w:iCs w:val="0"/>
          <w:caps w:val="0"/>
          <w:color w:val="000000"/>
          <w:spacing w:val="0"/>
          <w:sz w:val="32"/>
          <w:szCs w:val="32"/>
          <w:shd w:val="clear" w:fill="FFFFFF"/>
          <w:lang w:val="en-US" w:eastAsia="zh-CN"/>
        </w:rPr>
        <w:t>等六部分组成，</w:t>
      </w:r>
      <w:r>
        <w:rPr>
          <w:rFonts w:hint="eastAsia" w:ascii="仿宋_GB2312" w:eastAsia="仿宋_GB2312" w:cs="仿宋_GB2312"/>
          <w:i w:val="0"/>
          <w:iCs w:val="0"/>
          <w:caps w:val="0"/>
          <w:color w:val="000000"/>
          <w:spacing w:val="0"/>
          <w:sz w:val="32"/>
          <w:szCs w:val="32"/>
          <w:shd w:val="clear" w:fill="FFFFFF"/>
        </w:rPr>
        <w:t>内容涵盖本单位202</w:t>
      </w:r>
      <w:r>
        <w:rPr>
          <w:rFonts w:hint="eastAsia" w:ascii="仿宋_GB2312" w:eastAsia="仿宋_GB2312" w:cs="仿宋_GB2312"/>
          <w:i w:val="0"/>
          <w:iCs w:val="0"/>
          <w:caps w:val="0"/>
          <w:color w:val="000000"/>
          <w:spacing w:val="0"/>
          <w:sz w:val="32"/>
          <w:szCs w:val="32"/>
          <w:shd w:val="clear" w:fill="FFFFFF"/>
          <w:lang w:val="en-US" w:eastAsia="zh-CN"/>
        </w:rPr>
        <w:t>1</w:t>
      </w:r>
      <w:r>
        <w:rPr>
          <w:rFonts w:hint="eastAsia" w:ascii="仿宋_GB2312" w:eastAsia="仿宋_GB2312" w:cs="仿宋_GB2312"/>
          <w:i w:val="0"/>
          <w:iCs w:val="0"/>
          <w:caps w:val="0"/>
          <w:color w:val="000000"/>
          <w:spacing w:val="0"/>
          <w:sz w:val="32"/>
          <w:szCs w:val="32"/>
          <w:shd w:val="clear" w:fill="FFFFFF"/>
        </w:rPr>
        <w:t>年1月1日至12月31日期间的政府信息公开工作情况。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right="0" w:rightChars="0"/>
        <w:jc w:val="both"/>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val="en-US" w:eastAsia="zh-CN"/>
        </w:rPr>
        <w:t>一、</w:t>
      </w:r>
      <w:r>
        <w:rPr>
          <w:rFonts w:hint="eastAsia" w:ascii="黑体" w:hAnsi="黑体" w:eastAsia="黑体" w:cs="黑体"/>
          <w:i w:val="0"/>
          <w:iCs w:val="0"/>
          <w:caps w:val="0"/>
          <w:color w:val="000000"/>
          <w:spacing w:val="0"/>
          <w:sz w:val="32"/>
          <w:szCs w:val="32"/>
          <w:shd w:val="clear" w:fill="FFFFFF"/>
        </w:rPr>
        <w:t>总体情况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right="0" w:rightChars="0" w:firstLine="640" w:firstLineChars="200"/>
        <w:jc w:val="both"/>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2021 年，在滕州市委、市政府领导的坚强领导下，我局认真深入贯彻落实《中华人民共和国政府信息公开条例》，坚持“以公开为常态、不公开为例外”原则, 积极推进行政权力运行公开、重点领域信息公开，完善依申请公开答复规范，全面加强政策解读与回应关切。切实保障群众的知情权、参与权和监督权。</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Chars="200" w:right="0" w:rightChars="0"/>
        <w:jc w:val="both"/>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000000"/>
          <w:spacing w:val="0"/>
          <w:sz w:val="32"/>
          <w:szCs w:val="32"/>
          <w:lang w:val="en-US" w:eastAsia="zh-CN"/>
        </w:rPr>
        <w:t>（一）政府信息主动公开情况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right="0" w:firstLine="640" w:firstLineChars="200"/>
        <w:jc w:val="left"/>
        <w:rPr>
          <w:rFonts w:hint="eastAsia" w:ascii="宋体" w:hAnsi="宋体" w:eastAsia="宋体" w:cs="宋体"/>
          <w:i w:val="0"/>
          <w:iCs w:val="0"/>
          <w:caps w:val="0"/>
          <w:color w:val="000000"/>
          <w:spacing w:val="0"/>
          <w:sz w:val="28"/>
          <w:szCs w:val="28"/>
          <w:lang w:eastAsia="zh-CN"/>
        </w:rPr>
      </w:pPr>
      <w:r>
        <w:rPr>
          <w:rFonts w:hint="eastAsia" w:ascii="仿宋_GB2312" w:eastAsia="仿宋_GB2312" w:cs="仿宋_GB2312"/>
          <w:i w:val="0"/>
          <w:iCs w:val="0"/>
          <w:caps w:val="0"/>
          <w:color w:val="000000"/>
          <w:spacing w:val="0"/>
          <w:sz w:val="32"/>
          <w:szCs w:val="32"/>
          <w:shd w:val="clear" w:fill="FFFFFF"/>
          <w:lang w:val="en-US" w:eastAsia="zh-CN"/>
        </w:rPr>
        <w:t>坚持“以公开为常态、不公开为例外”的原则，聚焦退役军人优待抚恤、移交安置、权益维护、双拥共建等领域加强信息公开，持续深化退役军人事务工作领域政府信息公开，通过市政府信息公开专栏、局门户网站、微信公众号等多种渠道，主动做好政府信息主动公开工作。截止2021年12月31日，主动公开政府信息395条。其中，通过市政府信息公开专栏主动公开政府信息38条，通过局网站主动公开政府信息142条，通过微信公众号主动公开政府信息215条。</w:t>
      </w:r>
      <w:r>
        <w:rPr>
          <w:rFonts w:hint="eastAsia" w:ascii="宋体" w:hAnsi="宋体" w:eastAsia="宋体" w:cs="宋体"/>
          <w:i w:val="0"/>
          <w:iCs w:val="0"/>
          <w:caps w:val="0"/>
          <w:color w:val="000000"/>
          <w:spacing w:val="0"/>
          <w:sz w:val="28"/>
          <w:szCs w:val="28"/>
          <w:lang w:eastAsia="zh-CN"/>
        </w:rPr>
        <w:drawing>
          <wp:inline distT="0" distB="0" distL="114300" distR="114300">
            <wp:extent cx="5080000" cy="3810000"/>
            <wp:effectExtent l="6350" t="6350" r="19050" b="12700"/>
            <wp:docPr id="3" name="图表 3" descr="7b0a202020202263686172745265734964223a2022323034373336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left"/>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1、及时公开机构职能。根据《中华人民共和国政府信息公开条例》第二十条第(二)款要求，及时更新机关简介、领导信息、机构设置等，并在市政府信息公开专栏和局机关网站公布。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仿宋_GB2312" w:eastAsia="仿宋_GB2312" w:cs="仿宋_GB2312"/>
          <w:i w:val="0"/>
          <w:iCs w:val="0"/>
          <w:caps w:val="0"/>
          <w:color w:val="000000"/>
          <w:spacing w:val="0"/>
          <w:sz w:val="28"/>
          <w:szCs w:val="28"/>
        </w:rPr>
      </w:pPr>
      <w:r>
        <w:rPr>
          <w:rFonts w:hint="eastAsia" w:ascii="仿宋_GB2312" w:eastAsia="仿宋_GB2312" w:cs="仿宋_GB2312"/>
          <w:i w:val="0"/>
          <w:iCs w:val="0"/>
          <w:caps w:val="0"/>
          <w:color w:val="000000"/>
          <w:spacing w:val="0"/>
          <w:sz w:val="28"/>
          <w:szCs w:val="28"/>
          <w:shd w:val="clear" w:fill="FFFFFF"/>
        </w:rPr>
        <w:drawing>
          <wp:inline distT="0" distB="0" distL="114300" distR="114300">
            <wp:extent cx="4161155" cy="1996440"/>
            <wp:effectExtent l="0" t="0" r="10795" b="3810"/>
            <wp:docPr id="2" name="图片 1" descr="C:\Users\LENOVO\Desktop\机构职能.png机构职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Desktop\机构职能.png机构职能"/>
                    <pic:cNvPicPr>
                      <a:picLocks noChangeAspect="1"/>
                    </pic:cNvPicPr>
                  </pic:nvPicPr>
                  <pic:blipFill>
                    <a:blip r:embed="rId5"/>
                    <a:srcRect/>
                    <a:stretch>
                      <a:fillRect/>
                    </a:stretch>
                  </pic:blipFill>
                  <pic:spPr>
                    <a:xfrm>
                      <a:off x="0" y="0"/>
                      <a:ext cx="4161155" cy="19964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left"/>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rPr>
        <w:t>2、</w:t>
      </w:r>
      <w:r>
        <w:rPr>
          <w:rFonts w:hint="eastAsia" w:ascii="仿宋_GB2312" w:eastAsia="仿宋_GB2312" w:cs="仿宋_GB2312"/>
          <w:i w:val="0"/>
          <w:iCs w:val="0"/>
          <w:caps w:val="0"/>
          <w:color w:val="000000"/>
          <w:spacing w:val="0"/>
          <w:sz w:val="32"/>
          <w:szCs w:val="32"/>
          <w:shd w:val="clear" w:fill="FFFFFF"/>
          <w:lang w:val="en-US" w:eastAsia="zh-CN"/>
        </w:rPr>
        <w:t>推进重点领域信息公开。</w:t>
      </w:r>
      <w:r>
        <w:rPr>
          <w:rFonts w:hint="eastAsia" w:ascii="仿宋_GB2312" w:eastAsia="仿宋_GB2312" w:cs="仿宋_GB2312"/>
          <w:i w:val="0"/>
          <w:iCs w:val="0"/>
          <w:caps w:val="0"/>
          <w:color w:val="000000"/>
          <w:spacing w:val="0"/>
          <w:sz w:val="32"/>
          <w:szCs w:val="32"/>
          <w:shd w:val="clear" w:fill="FFFFFF"/>
        </w:rPr>
        <w:t>及时公开退役军人</w:t>
      </w:r>
      <w:r>
        <w:rPr>
          <w:rFonts w:hint="eastAsia" w:ascii="仿宋_GB2312" w:eastAsia="仿宋_GB2312" w:cs="仿宋_GB2312"/>
          <w:i w:val="0"/>
          <w:iCs w:val="0"/>
          <w:caps w:val="0"/>
          <w:color w:val="000000"/>
          <w:spacing w:val="0"/>
          <w:sz w:val="32"/>
          <w:szCs w:val="32"/>
          <w:shd w:val="clear" w:fill="FFFFFF"/>
          <w:lang w:val="en-US" w:eastAsia="zh-CN"/>
        </w:rPr>
        <w:t>稳岗</w:t>
      </w:r>
      <w:r>
        <w:rPr>
          <w:rFonts w:hint="eastAsia" w:ascii="仿宋_GB2312" w:eastAsia="仿宋_GB2312" w:cs="仿宋_GB2312"/>
          <w:i w:val="0"/>
          <w:iCs w:val="0"/>
          <w:caps w:val="0"/>
          <w:color w:val="000000"/>
          <w:spacing w:val="0"/>
          <w:sz w:val="32"/>
          <w:szCs w:val="32"/>
          <w:shd w:val="clear" w:fill="FFFFFF"/>
        </w:rPr>
        <w:t>就业领域信息。结合滕州市实际，及时公开发布退役军人安置、就业等方面的经办流程、政策制度等，</w:t>
      </w:r>
      <w:r>
        <w:rPr>
          <w:rFonts w:hint="eastAsia" w:ascii="仿宋_GB2312" w:eastAsia="仿宋_GB2312" w:cs="仿宋_GB2312"/>
          <w:i w:val="0"/>
          <w:iCs w:val="0"/>
          <w:caps w:val="0"/>
          <w:color w:val="000000"/>
          <w:spacing w:val="0"/>
          <w:sz w:val="32"/>
          <w:szCs w:val="32"/>
          <w:shd w:val="clear" w:fill="FFFFFF"/>
          <w:lang w:val="en-US" w:eastAsia="zh-CN"/>
        </w:rPr>
        <w:t>及时公开局机关及烈士陵园、军队离休退休干部休养所部门预决算</w:t>
      </w:r>
      <w:r>
        <w:rPr>
          <w:rFonts w:hint="eastAsia" w:ascii="仿宋_GB2312" w:eastAsia="仿宋_GB2312" w:cs="仿宋_GB2312"/>
          <w:i w:val="0"/>
          <w:iCs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仿宋_GB2312" w:eastAsia="仿宋_GB2312" w:cs="仿宋_GB2312"/>
          <w:i w:val="0"/>
          <w:iCs w:val="0"/>
          <w:caps w:val="0"/>
          <w:color w:val="000000"/>
          <w:spacing w:val="0"/>
          <w:sz w:val="28"/>
          <w:szCs w:val="28"/>
        </w:rPr>
      </w:pPr>
      <w:r>
        <w:rPr>
          <w:rFonts w:hint="eastAsia" w:ascii="仿宋_GB2312" w:eastAsia="仿宋_GB2312" w:cs="仿宋_GB2312"/>
          <w:i w:val="0"/>
          <w:iCs w:val="0"/>
          <w:caps w:val="0"/>
          <w:color w:val="000000"/>
          <w:spacing w:val="0"/>
          <w:sz w:val="28"/>
          <w:szCs w:val="28"/>
          <w:shd w:val="clear" w:fill="FFFFFF"/>
        </w:rPr>
        <w:drawing>
          <wp:inline distT="0" distB="0" distL="114300" distR="114300">
            <wp:extent cx="4838700" cy="3018790"/>
            <wp:effectExtent l="0" t="0" r="0" b="10160"/>
            <wp:docPr id="1" name="图片 2" descr="C:\Users\LENOVO\Desktop\预决算.png预决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LENOVO\Desktop\预决算.png预决算"/>
                    <pic:cNvPicPr>
                      <a:picLocks noChangeAspect="1"/>
                    </pic:cNvPicPr>
                  </pic:nvPicPr>
                  <pic:blipFill>
                    <a:blip r:embed="rId6"/>
                    <a:srcRect/>
                    <a:stretch>
                      <a:fillRect/>
                    </a:stretch>
                  </pic:blipFill>
                  <pic:spPr>
                    <a:xfrm>
                      <a:off x="0" y="0"/>
                      <a:ext cx="4838700" cy="301879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left"/>
        <w:rPr>
          <w:rFonts w:hint="default" w:ascii="宋体" w:hAnsi="宋体" w:eastAsia="宋体" w:cs="宋体"/>
          <w:i w:val="0"/>
          <w:iCs w:val="0"/>
          <w:caps w:val="0"/>
          <w:color w:val="000000"/>
          <w:spacing w:val="0"/>
          <w:sz w:val="32"/>
          <w:szCs w:val="32"/>
          <w:lang w:val="en-US" w:eastAsia="zh-CN"/>
        </w:rPr>
      </w:pPr>
      <w:r>
        <w:rPr>
          <w:rFonts w:hint="eastAsia" w:ascii="仿宋_GB2312" w:eastAsia="仿宋_GB2312" w:cs="仿宋_GB2312"/>
          <w:i w:val="0"/>
          <w:iCs w:val="0"/>
          <w:caps w:val="0"/>
          <w:color w:val="000000"/>
          <w:spacing w:val="0"/>
          <w:sz w:val="32"/>
          <w:szCs w:val="32"/>
          <w:shd w:val="clear" w:fill="FFFFFF"/>
        </w:rPr>
        <w:t>3、推进行政权力运行公开。一是动态公开政府工作报告进展情况。对政府工作报告中的退役军人重点工作，建立工作台账，在政府信息公开专栏主动公开，方便社会公众知晓。二是公开行政执法信息。公开行政执法主体、服务指南、行政处罚事项目录等，公布行政执法流程图，及时公示行政执法结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40" w:firstLineChars="200"/>
        <w:rPr>
          <w:rFonts w:hint="eastAsia" w:ascii="仿宋_GB2312" w:eastAsia="仿宋_GB2312" w:cs="仿宋_GB2312"/>
          <w:i w:val="0"/>
          <w:iCs w:val="0"/>
          <w:caps w:val="0"/>
          <w:color w:val="000000"/>
          <w:spacing w:val="0"/>
          <w:sz w:val="32"/>
          <w:szCs w:val="32"/>
          <w:shd w:val="clear" w:fill="FFFFFF"/>
          <w:lang w:val="en-US" w:eastAsia="zh-CN"/>
        </w:rPr>
      </w:pPr>
      <w:r>
        <w:rPr>
          <w:rFonts w:hint="eastAsia" w:ascii="宋体" w:hAnsi="宋体" w:eastAsia="宋体" w:cs="宋体"/>
          <w:i w:val="0"/>
          <w:iCs w:val="0"/>
          <w:caps w:val="0"/>
          <w:color w:val="000000"/>
          <w:spacing w:val="0"/>
          <w:sz w:val="32"/>
          <w:szCs w:val="32"/>
        </w:rPr>
        <w:t>（二）政府信息依申请公开情况</w:t>
      </w:r>
      <w:r>
        <w:rPr>
          <w:rFonts w:hint="eastAsia" w:ascii="宋体" w:hAnsi="宋体" w:eastAsia="宋体" w:cs="宋体"/>
          <w:i w:val="0"/>
          <w:iCs w:val="0"/>
          <w:caps w:val="0"/>
          <w:color w:val="000000"/>
          <w:spacing w:val="0"/>
          <w:sz w:val="32"/>
          <w:szCs w:val="32"/>
        </w:rPr>
        <w:br w:type="textWrapping"/>
      </w:r>
      <w:r>
        <w:rPr>
          <w:rFonts w:hint="eastAsia" w:ascii="宋体" w:hAnsi="宋体" w:eastAsia="宋体" w:cs="宋体"/>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eastAsia="仿宋_GB2312" w:cs="仿宋_GB2312"/>
          <w:i w:val="0"/>
          <w:iCs w:val="0"/>
          <w:caps w:val="0"/>
          <w:color w:val="000000"/>
          <w:spacing w:val="0"/>
          <w:sz w:val="32"/>
          <w:szCs w:val="32"/>
          <w:shd w:val="clear" w:fill="FFFFFF"/>
          <w:lang w:val="en-US" w:eastAsia="zh-CN"/>
        </w:rPr>
        <w:t>市退役军人事务局受理依申请公开1件，全部按时限要求办结，其中予以公开0件，部分公开1件，不予公开0件，无法提供0件，不予处理0件，转结下年度继续办理0件。</w:t>
      </w:r>
      <w:r>
        <w:rPr>
          <w:rFonts w:hint="eastAsia" w:ascii="仿宋_GB2312" w:eastAsia="仿宋_GB2312" w:cs="仿宋_GB2312"/>
          <w:i w:val="0"/>
          <w:iCs w:val="0"/>
          <w:caps w:val="0"/>
          <w:color w:val="000000"/>
          <w:spacing w:val="0"/>
          <w:sz w:val="32"/>
          <w:szCs w:val="32"/>
          <w:shd w:val="clear" w:fill="FFFFFF"/>
          <w:lang w:val="en-US" w:eastAsia="zh-CN"/>
        </w:rPr>
        <w:br w:type="textWrapping"/>
      </w:r>
      <w:r>
        <w:rPr>
          <w:rFonts w:hint="eastAsia" w:ascii="宋体" w:hAnsi="宋体" w:eastAsia="宋体" w:cs="宋体"/>
          <w:i w:val="0"/>
          <w:iCs w:val="0"/>
          <w:caps w:val="0"/>
          <w:color w:val="000000"/>
          <w:spacing w:val="0"/>
          <w:sz w:val="32"/>
          <w:szCs w:val="32"/>
        </w:rPr>
        <w:t>   （三）政府信息管理情况</w:t>
      </w:r>
      <w:r>
        <w:rPr>
          <w:rFonts w:hint="eastAsia" w:ascii="宋体" w:hAnsi="宋体" w:eastAsia="宋体" w:cs="宋体"/>
          <w:i w:val="0"/>
          <w:iCs w:val="0"/>
          <w:caps w:val="0"/>
          <w:color w:val="000000"/>
          <w:spacing w:val="0"/>
          <w:sz w:val="32"/>
          <w:szCs w:val="32"/>
        </w:rPr>
        <w:br w:type="textWrapping"/>
      </w:r>
      <w:r>
        <w:rPr>
          <w:rFonts w:hint="eastAsia" w:ascii="宋体" w:hAnsi="宋体" w:eastAsia="宋体" w:cs="宋体"/>
          <w:i w:val="0"/>
          <w:iCs w:val="0"/>
          <w:caps w:val="0"/>
          <w:color w:val="000000"/>
          <w:spacing w:val="0"/>
          <w:sz w:val="32"/>
          <w:szCs w:val="32"/>
        </w:rPr>
        <w:t>   </w:t>
      </w:r>
      <w:r>
        <w:rPr>
          <w:rFonts w:hint="eastAsia" w:ascii="仿宋_GB2312" w:eastAsia="仿宋_GB2312" w:cs="仿宋_GB2312"/>
          <w:i w:val="0"/>
          <w:iCs w:val="0"/>
          <w:caps w:val="0"/>
          <w:color w:val="000000"/>
          <w:spacing w:val="0"/>
          <w:sz w:val="32"/>
          <w:szCs w:val="32"/>
          <w:shd w:val="clear" w:fill="FFFFFF"/>
          <w:lang w:val="en-US" w:eastAsia="zh-CN"/>
        </w:rPr>
        <w:t xml:space="preserve"> 形成“主要领导亲自抓、分管领导具体抓、机关科室合力抓、专人负责抓落实”的工作机制，认真落实“决策、执行、管理、服务、结果公开”，将“五公开”纳入办文、办事和办会程序。动态扩展公开内容，结合群众关注的重点热点问题，定期对公开内容进行梳理。严格把关政府信息公开内容审查</w:t>
      </w:r>
      <w:r>
        <w:rPr>
          <w:rFonts w:ascii="仿宋_GB2312" w:hAnsi="宋体" w:eastAsia="仿宋_GB2312" w:cs="仿宋_GB2312"/>
          <w:i w:val="0"/>
          <w:iCs w:val="0"/>
          <w:caps w:val="0"/>
          <w:color w:val="000000"/>
          <w:spacing w:val="0"/>
          <w:sz w:val="32"/>
          <w:szCs w:val="32"/>
          <w:shd w:val="clear" w:fill="FFFFFF"/>
        </w:rPr>
        <w:t>。</w:t>
      </w:r>
      <w:r>
        <w:rPr>
          <w:rFonts w:hint="eastAsia" w:ascii="仿宋_GB2312" w:eastAsia="仿宋_GB2312" w:cs="仿宋_GB2312"/>
          <w:i w:val="0"/>
          <w:iCs w:val="0"/>
          <w:caps w:val="0"/>
          <w:color w:val="000000"/>
          <w:spacing w:val="0"/>
          <w:sz w:val="32"/>
          <w:szCs w:val="32"/>
          <w:shd w:val="clear" w:fill="FFFFFF"/>
          <w:lang w:val="en-US" w:eastAsia="zh-CN"/>
        </w:rPr>
        <w:br w:type="textWrapping"/>
      </w:r>
      <w:r>
        <w:rPr>
          <w:rFonts w:hint="eastAsia" w:ascii="宋体" w:hAnsi="宋体" w:eastAsia="宋体" w:cs="宋体"/>
          <w:i w:val="0"/>
          <w:iCs w:val="0"/>
          <w:caps w:val="0"/>
          <w:color w:val="000000"/>
          <w:spacing w:val="0"/>
          <w:sz w:val="32"/>
          <w:szCs w:val="32"/>
        </w:rPr>
        <w:t>   （四）政府信息平台建设情况</w:t>
      </w:r>
      <w:r>
        <w:rPr>
          <w:rFonts w:hint="eastAsia" w:ascii="宋体" w:hAnsi="宋体" w:eastAsia="宋体" w:cs="宋体"/>
          <w:i w:val="0"/>
          <w:iCs w:val="0"/>
          <w:caps w:val="0"/>
          <w:color w:val="000000"/>
          <w:spacing w:val="0"/>
          <w:sz w:val="32"/>
          <w:szCs w:val="32"/>
        </w:rPr>
        <w:br w:type="textWrapping"/>
      </w:r>
      <w:r>
        <w:rPr>
          <w:rFonts w:hint="eastAsia" w:ascii="宋体" w:hAnsi="宋体" w:eastAsia="宋体" w:cs="宋体"/>
          <w:i w:val="0"/>
          <w:iCs w:val="0"/>
          <w:caps w:val="0"/>
          <w:color w:val="000000"/>
          <w:spacing w:val="0"/>
          <w:sz w:val="32"/>
          <w:szCs w:val="32"/>
          <w:lang w:val="en-US" w:eastAsia="zh-CN"/>
        </w:rPr>
        <w:t xml:space="preserve">    </w:t>
      </w:r>
      <w:r>
        <w:rPr>
          <w:rFonts w:hint="eastAsia" w:ascii="仿宋_GB2312" w:eastAsia="仿宋_GB2312" w:cs="仿宋_GB2312"/>
          <w:i w:val="0"/>
          <w:iCs w:val="0"/>
          <w:caps w:val="0"/>
          <w:color w:val="000000"/>
          <w:spacing w:val="0"/>
          <w:sz w:val="32"/>
          <w:szCs w:val="32"/>
          <w:shd w:val="clear" w:fill="FFFFFF"/>
          <w:lang w:val="en-US" w:eastAsia="zh-CN"/>
        </w:rPr>
        <w:t>加强网站内容建设，规范栏目设置，健全用户信息保护制度，强化信息搜索、办理服务 功能，做好政务公开网站与滕州市退役军人事务局网站联动关系，做到多平台、多栏目、多渠道同步更新。目前，滕州市退役军人事务局拥有微信公众号1个，门户网站1个，政务公开栏1个。</w:t>
      </w:r>
      <w:r>
        <w:rPr>
          <w:rFonts w:hint="eastAsia" w:ascii="仿宋_GB2312" w:eastAsia="仿宋_GB2312" w:cs="仿宋_GB2312"/>
          <w:i w:val="0"/>
          <w:iCs w:val="0"/>
          <w:caps w:val="0"/>
          <w:color w:val="000000"/>
          <w:spacing w:val="0"/>
          <w:sz w:val="32"/>
          <w:szCs w:val="32"/>
          <w:shd w:val="clear" w:fill="FFFFFF"/>
          <w:lang w:val="en-US" w:eastAsia="zh-CN"/>
        </w:rPr>
        <w:br w:type="textWrapping"/>
      </w:r>
      <w:r>
        <w:rPr>
          <w:rFonts w:hint="eastAsia" w:ascii="宋体" w:hAnsi="宋体" w:eastAsia="宋体" w:cs="宋体"/>
          <w:i w:val="0"/>
          <w:iCs w:val="0"/>
          <w:caps w:val="0"/>
          <w:color w:val="000000"/>
          <w:spacing w:val="0"/>
          <w:sz w:val="32"/>
          <w:szCs w:val="32"/>
        </w:rPr>
        <w:t>   （五）监督保障情况 </w:t>
      </w:r>
      <w:r>
        <w:rPr>
          <w:rFonts w:hint="eastAsia" w:ascii="宋体" w:hAnsi="宋体" w:eastAsia="宋体" w:cs="宋体"/>
          <w:i w:val="0"/>
          <w:iCs w:val="0"/>
          <w:caps w:val="0"/>
          <w:color w:val="000000"/>
          <w:spacing w:val="0"/>
          <w:sz w:val="32"/>
          <w:szCs w:val="32"/>
        </w:rPr>
        <w:br w:type="textWrapping"/>
      </w:r>
      <w:r>
        <w:rPr>
          <w:rFonts w:hint="eastAsia" w:ascii="宋体" w:hAnsi="宋体" w:eastAsia="宋体" w:cs="宋体"/>
          <w:i w:val="0"/>
          <w:iCs w:val="0"/>
          <w:caps w:val="0"/>
          <w:color w:val="000000"/>
          <w:spacing w:val="0"/>
          <w:sz w:val="32"/>
          <w:szCs w:val="32"/>
        </w:rPr>
        <w:t> </w:t>
      </w:r>
      <w:r>
        <w:rPr>
          <w:rFonts w:hint="eastAsia" w:ascii="宋体" w:hAnsi="宋体" w:eastAsia="宋体" w:cs="宋体"/>
          <w:i w:val="0"/>
          <w:iCs w:val="0"/>
          <w:caps w:val="0"/>
          <w:color w:val="000000"/>
          <w:spacing w:val="0"/>
          <w:sz w:val="32"/>
          <w:szCs w:val="32"/>
          <w:lang w:val="en-US" w:eastAsia="zh-CN"/>
        </w:rPr>
        <w:t xml:space="preserve">  </w:t>
      </w:r>
      <w:r>
        <w:rPr>
          <w:rFonts w:hint="eastAsia" w:ascii="宋体" w:hAnsi="宋体" w:eastAsia="宋体" w:cs="宋体"/>
          <w:i w:val="0"/>
          <w:iCs w:val="0"/>
          <w:caps w:val="0"/>
          <w:color w:val="000000"/>
          <w:spacing w:val="0"/>
          <w:sz w:val="32"/>
          <w:szCs w:val="32"/>
        </w:rPr>
        <w:t> </w:t>
      </w:r>
      <w:r>
        <w:rPr>
          <w:rFonts w:hint="eastAsia" w:ascii="仿宋_GB2312" w:eastAsia="仿宋_GB2312" w:cs="仿宋_GB2312"/>
          <w:i w:val="0"/>
          <w:iCs w:val="0"/>
          <w:caps w:val="0"/>
          <w:color w:val="000000"/>
          <w:spacing w:val="0"/>
          <w:sz w:val="32"/>
          <w:szCs w:val="32"/>
          <w:shd w:val="clear" w:fill="FFFFFF"/>
          <w:lang w:val="en-US" w:eastAsia="zh-CN"/>
        </w:rPr>
        <w:t>根据机构改革、职能转变、人员变动和工作需要，及时制定并调整了市退役军人事务局政府信息公开工作领导小组，专人负责政务公开具体工作，推进政务公开工作。目前，信息公开工作已纳入滕州市绩效考核指标体系，根据市政府办公室制定的2021年滕州市政务公开考核标准细则，参与全市政务公开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6" w:lineRule="atLeast"/>
        <w:ind w:right="0" w:firstLine="640" w:firstLineChars="200"/>
        <w:jc w:val="both"/>
        <w:rPr>
          <w:rFonts w:hint="eastAsia" w:ascii="仿宋_GB2312" w:eastAsia="仿宋_GB2312" w:cs="仿宋_GB2312"/>
          <w:i w:val="0"/>
          <w:iCs w:val="0"/>
          <w:caps w:val="0"/>
          <w:color w:val="000000"/>
          <w:spacing w:val="0"/>
          <w:sz w:val="28"/>
          <w:szCs w:val="28"/>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2021年，滕州市退役军人事务局未发生因信息公开审查不当或保密审查机构未履行保密审查职责而引起的失泄密情况。2021年度未进行社会评议，未发生责任追究情况。</w:t>
      </w:r>
      <w:r>
        <w:rPr>
          <w:rFonts w:hint="eastAsia" w:ascii="宋体" w:hAnsi="宋体" w:eastAsia="宋体" w:cs="宋体"/>
          <w:i w:val="0"/>
          <w:iCs w:val="0"/>
          <w:caps w:val="0"/>
          <w:color w:val="000000"/>
          <w:spacing w:val="0"/>
          <w:sz w:val="32"/>
          <w:szCs w:val="32"/>
        </w:rPr>
        <w:t xml:space="preserve">  </w:t>
      </w:r>
      <w:r>
        <w:rPr>
          <w:rFonts w:hint="eastAsia" w:ascii="宋体" w:hAnsi="宋体" w:eastAsia="宋体" w:cs="宋体"/>
          <w:i w:val="0"/>
          <w:iCs w:val="0"/>
          <w:caps w:val="0"/>
          <w:color w:val="000000"/>
          <w:spacing w:val="0"/>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0" w:right="0" w:firstLine="640"/>
        <w:jc w:val="both"/>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二、主动公开政府信息情况</w:t>
      </w:r>
    </w:p>
    <w:tbl>
      <w:tblPr>
        <w:tblStyle w:val="3"/>
        <w:tblW w:w="8774"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3120"/>
        <w:gridCol w:w="1875"/>
        <w:gridCol w:w="320"/>
        <w:gridCol w:w="1255"/>
        <w:gridCol w:w="320"/>
        <w:gridCol w:w="1564"/>
        <w:gridCol w:w="32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495" w:hRule="atLeast"/>
        </w:trPr>
        <w:tc>
          <w:tcPr>
            <w:tcW w:w="8454" w:type="dxa"/>
            <w:gridSpan w:val="6"/>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88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信息内容</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val="en-US" w:eastAsia="zh-CN"/>
              </w:rPr>
            </w:pPr>
            <w:r>
              <w:rPr>
                <w:rFonts w:hint="eastAsia" w:ascii="宋体" w:hAnsi="宋体" w:eastAsia="宋体" w:cs="宋体"/>
                <w:i w:val="0"/>
                <w:iCs w:val="0"/>
                <w:caps w:val="0"/>
                <w:color w:val="000000"/>
                <w:spacing w:val="0"/>
                <w:sz w:val="19"/>
                <w:szCs w:val="19"/>
              </w:rPr>
              <w:t>本年</w:t>
            </w:r>
            <w:r>
              <w:rPr>
                <w:rFonts w:hint="eastAsia" w:ascii="宋体" w:hAnsi="宋体" w:eastAsia="宋体" w:cs="宋体"/>
                <w:i w:val="0"/>
                <w:iCs w:val="0"/>
                <w:caps w:val="0"/>
                <w:color w:val="000000"/>
                <w:spacing w:val="0"/>
                <w:sz w:val="19"/>
                <w:szCs w:val="19"/>
                <w:lang w:val="en-US" w:eastAsia="zh-CN"/>
              </w:rPr>
              <w:t>制发件数</w:t>
            </w:r>
          </w:p>
        </w:tc>
        <w:tc>
          <w:tcPr>
            <w:tcW w:w="157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eastAsia="宋体" w:cs="宋体"/>
                <w:i w:val="0"/>
                <w:iCs w:val="0"/>
                <w:caps w:val="0"/>
                <w:color w:val="000000"/>
                <w:spacing w:val="0"/>
                <w:sz w:val="19"/>
                <w:szCs w:val="19"/>
              </w:rPr>
              <w:t>本年</w:t>
            </w:r>
            <w:r>
              <w:rPr>
                <w:rFonts w:hint="eastAsia" w:ascii="宋体" w:hAnsi="宋体" w:eastAsia="宋体" w:cs="宋体"/>
                <w:i w:val="0"/>
                <w:iCs w:val="0"/>
                <w:caps w:val="0"/>
                <w:color w:val="000000"/>
                <w:spacing w:val="0"/>
                <w:sz w:val="19"/>
                <w:szCs w:val="19"/>
                <w:lang w:val="en-US" w:eastAsia="zh-CN"/>
              </w:rPr>
              <w:t>废止件数</w:t>
            </w:r>
          </w:p>
        </w:tc>
        <w:tc>
          <w:tcPr>
            <w:tcW w:w="188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lang w:val="en-US" w:eastAsia="zh-CN"/>
              </w:rPr>
            </w:pPr>
            <w:r>
              <w:rPr>
                <w:rFonts w:hint="eastAsia"/>
                <w:lang w:val="en-US" w:eastAsia="zh-CN"/>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规章</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0</w:t>
            </w:r>
          </w:p>
        </w:tc>
        <w:tc>
          <w:tcPr>
            <w:tcW w:w="157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0" w:firstLineChars="100"/>
            </w:pPr>
            <w:r>
              <w:rPr>
                <w:rFonts w:hint="eastAsia" w:ascii="宋体" w:hAnsi="宋体" w:eastAsia="宋体" w:cs="宋体"/>
                <w:i w:val="0"/>
                <w:iCs w:val="0"/>
                <w:caps w:val="0"/>
                <w:color w:val="000000"/>
                <w:spacing w:val="0"/>
                <w:sz w:val="19"/>
                <w:szCs w:val="19"/>
              </w:rPr>
              <w:t>0</w:t>
            </w:r>
          </w:p>
        </w:tc>
        <w:tc>
          <w:tcPr>
            <w:tcW w:w="188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90" w:firstLineChars="100"/>
            </w:pPr>
            <w:r>
              <w:rPr>
                <w:rFonts w:hint="eastAsia" w:ascii="宋体" w:hAnsi="宋体" w:eastAsia="宋体" w:cs="宋体"/>
                <w:i w:val="0"/>
                <w:iCs w:val="0"/>
                <w:caps w:val="0"/>
                <w:color w:val="000000"/>
                <w:spacing w:val="0"/>
                <w:sz w:val="19"/>
                <w:szCs w:val="19"/>
              </w:rPr>
              <w:t>0</w:t>
            </w:r>
            <w:r>
              <w:rPr>
                <w:rFonts w:ascii="sans-serif" w:hAnsi="sans-serif" w:eastAsia="sans-serif" w:cs="sans-serif"/>
                <w:i w:val="0"/>
                <w:iCs w:val="0"/>
                <w:caps w:val="0"/>
                <w:color w:val="000000"/>
                <w:spacing w:val="0"/>
                <w:sz w:val="27"/>
                <w:szCs w:val="27"/>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46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lang w:val="en-US" w:eastAsia="zh-CN"/>
              </w:rPr>
              <w:t>行政</w:t>
            </w:r>
            <w:r>
              <w:rPr>
                <w:rFonts w:hint="eastAsia" w:ascii="宋体" w:hAnsi="宋体" w:eastAsia="宋体" w:cs="宋体"/>
                <w:i w:val="0"/>
                <w:iCs w:val="0"/>
                <w:caps w:val="0"/>
                <w:color w:val="000000"/>
                <w:spacing w:val="0"/>
                <w:sz w:val="19"/>
                <w:szCs w:val="19"/>
              </w:rPr>
              <w:t>规范性文件</w:t>
            </w:r>
          </w:p>
        </w:tc>
        <w:tc>
          <w:tcPr>
            <w:tcW w:w="18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0</w:t>
            </w:r>
          </w:p>
        </w:tc>
        <w:tc>
          <w:tcPr>
            <w:tcW w:w="157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w:t>
            </w:r>
            <w:r>
              <w:rPr>
                <w:rFonts w:hint="eastAsia" w:ascii="宋体" w:hAnsi="宋体" w:eastAsia="宋体" w:cs="宋体"/>
                <w:i w:val="0"/>
                <w:iCs w:val="0"/>
                <w:caps w:val="0"/>
                <w:color w:val="000000"/>
                <w:spacing w:val="0"/>
                <w:sz w:val="19"/>
                <w:szCs w:val="19"/>
                <w:lang w:val="en-US" w:eastAsia="zh-CN"/>
              </w:rPr>
              <w:t xml:space="preserve"> </w:t>
            </w:r>
            <w:r>
              <w:rPr>
                <w:rFonts w:hint="eastAsia" w:ascii="宋体" w:hAnsi="宋体" w:eastAsia="宋体" w:cs="宋体"/>
                <w:i w:val="0"/>
                <w:iCs w:val="0"/>
                <w:caps w:val="0"/>
                <w:color w:val="000000"/>
                <w:spacing w:val="0"/>
                <w:sz w:val="19"/>
                <w:szCs w:val="19"/>
              </w:rPr>
              <w:t>0</w:t>
            </w:r>
          </w:p>
        </w:tc>
        <w:tc>
          <w:tcPr>
            <w:tcW w:w="1884"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480" w:hRule="atLeast"/>
        </w:trPr>
        <w:tc>
          <w:tcPr>
            <w:tcW w:w="8454" w:type="dxa"/>
            <w:gridSpan w:val="6"/>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信息内容</w:t>
            </w:r>
          </w:p>
        </w:tc>
        <w:tc>
          <w:tcPr>
            <w:tcW w:w="533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52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行政许可</w:t>
            </w:r>
          </w:p>
        </w:tc>
        <w:tc>
          <w:tcPr>
            <w:tcW w:w="533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eastAsia="宋体"/>
                <w:lang w:val="en-US" w:eastAsia="zh-CN"/>
              </w:rPr>
            </w:pPr>
            <w:r>
              <w:rPr>
                <w:rFonts w:hint="eastAsia" w:ascii="宋体" w:hAnsi="宋体" w:eastAsia="宋体" w:cs="宋体"/>
                <w:i w:val="0"/>
                <w:iCs w:val="0"/>
                <w:caps w:val="0"/>
                <w:color w:val="000000"/>
                <w:spacing w:val="0"/>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405" w:hRule="atLeast"/>
        </w:trPr>
        <w:tc>
          <w:tcPr>
            <w:tcW w:w="8454" w:type="dxa"/>
            <w:gridSpan w:val="6"/>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630"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信息内容</w:t>
            </w:r>
          </w:p>
        </w:tc>
        <w:tc>
          <w:tcPr>
            <w:tcW w:w="533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43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行政处罚</w:t>
            </w:r>
          </w:p>
        </w:tc>
        <w:tc>
          <w:tcPr>
            <w:tcW w:w="533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i w:val="0"/>
                <w:iCs w:val="0"/>
                <w:caps w:val="0"/>
                <w:color w:val="000000"/>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jc w:val="both"/>
              <w:rPr>
                <w:rFonts w:hint="eastAsia" w:ascii="宋体" w:hAnsi="宋体" w:eastAsia="宋体" w:cs="宋体"/>
                <w:i w:val="0"/>
                <w:iCs w:val="0"/>
                <w:caps w:val="0"/>
                <w:color w:val="000000"/>
                <w:spacing w:val="0"/>
                <w:sz w:val="19"/>
                <w:szCs w:val="19"/>
                <w:lang w:val="en-US" w:eastAsia="zh-CN"/>
              </w:rPr>
            </w:pPr>
            <w:r>
              <w:rPr>
                <w:rFonts w:hint="eastAsia" w:ascii="宋体" w:hAnsi="宋体" w:eastAsia="宋体" w:cs="宋体"/>
                <w:i w:val="0"/>
                <w:iCs w:val="0"/>
                <w:caps w:val="0"/>
                <w:color w:val="000000"/>
                <w:spacing w:val="0"/>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40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19"/>
                <w:szCs w:val="19"/>
              </w:rPr>
              <w:t>行政强制</w:t>
            </w:r>
          </w:p>
        </w:tc>
        <w:tc>
          <w:tcPr>
            <w:tcW w:w="5334"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i w:val="0"/>
                <w:iCs w:val="0"/>
                <w:caps w:val="0"/>
                <w:color w:val="000000"/>
                <w:spacing w:val="0"/>
                <w:sz w:val="19"/>
                <w:szCs w:val="19"/>
                <w:lang w:val="en-US" w:eastAsia="zh-CN"/>
              </w:rPr>
            </w:pPr>
            <w:r>
              <w:rPr>
                <w:rFonts w:hint="eastAsia" w:ascii="宋体" w:hAnsi="宋体" w:eastAsia="宋体" w:cs="宋体"/>
                <w:i w:val="0"/>
                <w:iCs w:val="0"/>
                <w:caps w:val="0"/>
                <w:color w:val="000000"/>
                <w:spacing w:val="0"/>
                <w:sz w:val="19"/>
                <w:szCs w:val="19"/>
                <w:lang w:val="en-US" w:eastAsia="zh-CN"/>
              </w:rPr>
              <w:t>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i w:val="0"/>
                <w:iCs w:val="0"/>
                <w:caps w:val="0"/>
                <w:color w:val="000000"/>
                <w:spacing w:val="0"/>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480" w:hRule="atLeast"/>
        </w:trPr>
        <w:tc>
          <w:tcPr>
            <w:tcW w:w="8454" w:type="dxa"/>
            <w:gridSpan w:val="6"/>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55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right="0" w:firstLine="1140" w:firstLineChars="600"/>
              <w:rPr>
                <w:rFonts w:hint="eastAsia" w:eastAsiaTheme="minorEastAsia"/>
                <w:lang w:eastAsia="zh-CN"/>
              </w:rPr>
            </w:pPr>
            <w:r>
              <w:rPr>
                <w:rFonts w:hint="eastAsia" w:ascii="宋体" w:hAnsi="宋体" w:eastAsia="宋体" w:cs="宋体"/>
                <w:i w:val="0"/>
                <w:iCs w:val="0"/>
                <w:caps w:val="0"/>
                <w:color w:val="000000"/>
                <w:spacing w:val="0"/>
                <w:sz w:val="19"/>
                <w:szCs w:val="19"/>
                <w:lang w:val="en-US" w:eastAsia="zh-CN"/>
              </w:rPr>
              <w:t>信息内容</w:t>
            </w:r>
          </w:p>
        </w:tc>
        <w:tc>
          <w:tcPr>
            <w:tcW w:w="5334" w:type="dxa"/>
            <w:gridSpan w:val="5"/>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lang w:val="en-US" w:eastAsia="zh-CN"/>
              </w:rPr>
              <w:t>本年收费金额（单位：万元）</w:t>
            </w:r>
            <w:r>
              <w:rPr>
                <w:rFonts w:hint="eastAsia" w:ascii="宋体" w:hAnsi="宋体" w:eastAsia="宋体" w:cs="宋体"/>
                <w:i w:val="0"/>
                <w:iCs w:val="0"/>
                <w:caps w:val="0"/>
                <w:color w:val="000000"/>
                <w:spacing w:val="0"/>
                <w:sz w:val="19"/>
                <w:szCs w:val="19"/>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gridAfter w:val="1"/>
          <w:wAfter w:w="320" w:type="dxa"/>
          <w:trHeight w:val="555" w:hRule="atLeast"/>
        </w:trPr>
        <w:tc>
          <w:tcPr>
            <w:tcW w:w="312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宋体" w:hAnsi="宋体" w:eastAsia="宋体" w:cs="宋体"/>
                <w:i w:val="0"/>
                <w:iCs w:val="0"/>
                <w:caps w:val="0"/>
                <w:color w:val="000000"/>
                <w:spacing w:val="0"/>
                <w:sz w:val="19"/>
                <w:szCs w:val="19"/>
                <w:lang w:val="en-US" w:eastAsia="zh-CN"/>
              </w:rPr>
            </w:pPr>
            <w:r>
              <w:rPr>
                <w:rFonts w:hint="eastAsia" w:ascii="宋体" w:hAnsi="宋体" w:eastAsia="宋体" w:cs="宋体"/>
                <w:i w:val="0"/>
                <w:iCs w:val="0"/>
                <w:caps w:val="0"/>
                <w:color w:val="000000"/>
                <w:spacing w:val="0"/>
                <w:sz w:val="19"/>
                <w:szCs w:val="19"/>
                <w:lang w:val="en-US" w:eastAsia="zh-CN"/>
              </w:rPr>
              <w:t>行政事业性收费</w:t>
            </w:r>
          </w:p>
        </w:tc>
        <w:tc>
          <w:tcPr>
            <w:tcW w:w="5334" w:type="dxa"/>
            <w:gridSpan w:val="5"/>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rFonts w:hint="eastAsia" w:ascii="宋体" w:hAnsi="宋体" w:eastAsia="宋体" w:cs="宋体"/>
                <w:i w:val="0"/>
                <w:iCs w:val="0"/>
                <w:caps w:val="0"/>
                <w:color w:val="000000"/>
                <w:spacing w:val="0"/>
                <w:sz w:val="19"/>
                <w:szCs w:val="19"/>
                <w:lang w:val="en-US" w:eastAsia="zh-CN"/>
              </w:rPr>
            </w:pPr>
            <w:r>
              <w:rPr>
                <w:rFonts w:hint="eastAsia" w:ascii="宋体" w:hAnsi="宋体" w:eastAsia="宋体" w:cs="宋体"/>
                <w:i w:val="0"/>
                <w:iCs w:val="0"/>
                <w:caps w:val="0"/>
                <w:color w:val="000000"/>
                <w:spacing w:val="0"/>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c>
          <w:tcPr>
            <w:tcW w:w="3120" w:type="dxa"/>
            <w:tcBorders>
              <w:top w:val="nil"/>
              <w:left w:val="nil"/>
              <w:bottom w:val="nil"/>
              <w:right w:val="nil"/>
            </w:tcBorders>
            <w:shd w:val="clear" w:color="auto" w:fill="auto"/>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27"/>
                <w:szCs w:val="27"/>
              </w:rPr>
            </w:pPr>
          </w:p>
        </w:tc>
        <w:tc>
          <w:tcPr>
            <w:tcW w:w="1875" w:type="dxa"/>
            <w:tcBorders>
              <w:top w:val="nil"/>
              <w:left w:val="nil"/>
              <w:bottom w:val="nil"/>
              <w:right w:val="nil"/>
            </w:tcBorders>
            <w:shd w:val="clear" w:color="auto" w:fill="auto"/>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27"/>
                <w:szCs w:val="27"/>
              </w:rPr>
            </w:pPr>
          </w:p>
        </w:tc>
        <w:tc>
          <w:tcPr>
            <w:tcW w:w="320" w:type="dxa"/>
            <w:tcBorders>
              <w:top w:val="nil"/>
              <w:left w:val="nil"/>
              <w:bottom w:val="nil"/>
              <w:right w:val="nil"/>
            </w:tcBorders>
            <w:shd w:val="clear" w:color="auto" w:fill="auto"/>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27"/>
                <w:szCs w:val="27"/>
              </w:rPr>
            </w:pPr>
          </w:p>
        </w:tc>
        <w:tc>
          <w:tcPr>
            <w:tcW w:w="1575" w:type="dxa"/>
            <w:gridSpan w:val="2"/>
            <w:tcBorders>
              <w:top w:val="nil"/>
              <w:left w:val="nil"/>
              <w:bottom w:val="nil"/>
              <w:right w:val="nil"/>
            </w:tcBorders>
            <w:shd w:val="clear" w:color="auto" w:fill="auto"/>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27"/>
                <w:szCs w:val="27"/>
              </w:rPr>
            </w:pPr>
          </w:p>
        </w:tc>
        <w:tc>
          <w:tcPr>
            <w:tcW w:w="1884" w:type="dxa"/>
            <w:gridSpan w:val="2"/>
            <w:tcBorders>
              <w:top w:val="nil"/>
              <w:left w:val="nil"/>
              <w:bottom w:val="nil"/>
              <w:right w:val="nil"/>
            </w:tcBorders>
            <w:shd w:val="clear" w:color="auto" w:fill="auto"/>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kern w:val="0"/>
                <w:sz w:val="27"/>
                <w:szCs w:val="27"/>
                <w:lang w:val="en-US" w:eastAsia="zh-CN" w:bidi="ar"/>
              </w:rPr>
              <w:t>​</w:t>
            </w:r>
          </w:p>
        </w:tc>
      </w:tr>
    </w:tbl>
    <w:p>
      <w:pPr>
        <w:pStyle w:val="2"/>
        <w:keepNext w:val="0"/>
        <w:keepLines w:val="0"/>
        <w:widowControl/>
        <w:suppressLineNumbers w:val="0"/>
        <w:spacing w:line="315" w:lineRule="atLeast"/>
        <w:ind w:left="0" w:firstLine="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0" w:right="0" w:firstLine="640"/>
        <w:jc w:val="both"/>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200" w:right="0" w:firstLine="620"/>
        <w:jc w:val="both"/>
        <w:rPr>
          <w:sz w:val="24"/>
          <w:szCs w:val="24"/>
        </w:rPr>
      </w:pPr>
    </w:p>
    <w:tbl>
      <w:tblPr>
        <w:tblStyle w:val="3"/>
        <w:tblW w:w="90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24"/>
        <w:gridCol w:w="1522"/>
        <w:gridCol w:w="2731"/>
        <w:gridCol w:w="854"/>
        <w:gridCol w:w="569"/>
        <w:gridCol w:w="569"/>
        <w:gridCol w:w="569"/>
        <w:gridCol w:w="569"/>
        <w:gridCol w:w="539"/>
        <w:gridCol w:w="6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77"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（本列数据的勾稽关系为：第一项加第二项之和，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等于第三项加第四项之和）</w:t>
            </w:r>
          </w:p>
        </w:tc>
        <w:tc>
          <w:tcPr>
            <w:tcW w:w="4298"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777"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85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自然人</w:t>
            </w:r>
          </w:p>
        </w:tc>
        <w:tc>
          <w:tcPr>
            <w:tcW w:w="281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法人或其他组织</w:t>
            </w:r>
          </w:p>
        </w:tc>
        <w:tc>
          <w:tcPr>
            <w:tcW w:w="62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77"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85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06" w:right="0" w:hanging="1"/>
              <w:jc w:val="center"/>
              <w:rPr>
                <w:sz w:val="24"/>
                <w:szCs w:val="24"/>
              </w:rPr>
            </w:pPr>
            <w:r>
              <w:rPr>
                <w:rFonts w:ascii="宋体" w:hAnsi="宋体" w:eastAsia="宋体" w:cs="宋体"/>
                <w:kern w:val="0"/>
                <w:sz w:val="21"/>
                <w:szCs w:val="21"/>
                <w:lang w:val="en-US" w:eastAsia="zh-CN" w:bidi="ar"/>
              </w:rPr>
              <w:t>商业企业</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07" w:right="0"/>
              <w:jc w:val="center"/>
              <w:rPr>
                <w:sz w:val="24"/>
                <w:szCs w:val="24"/>
              </w:rPr>
            </w:pPr>
            <w:r>
              <w:rPr>
                <w:rFonts w:ascii="宋体" w:hAnsi="宋体" w:eastAsia="宋体" w:cs="宋体"/>
                <w:kern w:val="0"/>
                <w:sz w:val="21"/>
                <w:szCs w:val="21"/>
                <w:lang w:val="en-US" w:eastAsia="zh-CN" w:bidi="ar"/>
              </w:rPr>
              <w:t>科研机构</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07" w:right="0"/>
              <w:jc w:val="center"/>
              <w:rPr>
                <w:sz w:val="24"/>
                <w:szCs w:val="24"/>
              </w:rPr>
            </w:pPr>
            <w:r>
              <w:rPr>
                <w:rFonts w:ascii="宋体" w:hAnsi="宋体" w:eastAsia="宋体" w:cs="宋体"/>
                <w:kern w:val="0"/>
                <w:sz w:val="21"/>
                <w:szCs w:val="21"/>
                <w:lang w:val="en-US" w:eastAsia="zh-CN" w:bidi="ar"/>
              </w:rPr>
              <w:t>社会公益组织</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06" w:right="0" w:hanging="1"/>
              <w:jc w:val="center"/>
              <w:rPr>
                <w:sz w:val="24"/>
                <w:szCs w:val="24"/>
              </w:rPr>
            </w:pPr>
            <w:r>
              <w:rPr>
                <w:rFonts w:ascii="宋体" w:hAnsi="宋体" w:eastAsia="宋体" w:cs="宋体"/>
                <w:kern w:val="0"/>
                <w:sz w:val="21"/>
                <w:szCs w:val="21"/>
                <w:lang w:val="en-US" w:eastAsia="zh-CN" w:bidi="ar"/>
              </w:rPr>
              <w:t>法律服务机构</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63" w:right="0"/>
              <w:jc w:val="center"/>
              <w:rPr>
                <w:sz w:val="24"/>
                <w:szCs w:val="24"/>
              </w:rPr>
            </w:pPr>
            <w:r>
              <w:rPr>
                <w:rFonts w:ascii="宋体" w:hAnsi="宋体" w:eastAsia="宋体" w:cs="宋体"/>
                <w:kern w:val="0"/>
                <w:sz w:val="21"/>
                <w:szCs w:val="21"/>
                <w:lang w:val="en-US" w:eastAsia="zh-CN" w:bidi="ar"/>
              </w:rPr>
              <w:t>其他</w:t>
            </w:r>
          </w:p>
        </w:tc>
        <w:tc>
          <w:tcPr>
            <w:tcW w:w="629"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77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一、本年新收政府信息公开申请数量</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eastAsia" w:eastAsiaTheme="minorEastAsia"/>
                <w:sz w:val="24"/>
                <w:szCs w:val="24"/>
                <w:lang w:val="en-US" w:eastAsia="zh-CN"/>
              </w:rPr>
            </w:pPr>
            <w:r>
              <w:rPr>
                <w:rFonts w:hint="eastAsia"/>
                <w:sz w:val="24"/>
                <w:szCs w:val="24"/>
                <w:lang w:val="en-US" w:eastAsia="zh-CN"/>
              </w:rPr>
              <w:t>1</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eastAsia" w:eastAsiaTheme="minorEastAsia"/>
                <w:sz w:val="24"/>
                <w:szCs w:val="24"/>
                <w:lang w:val="en-US" w:eastAsia="zh-CN"/>
              </w:rPr>
            </w:pPr>
            <w:r>
              <w:rPr>
                <w:rFonts w:hint="eastAsia"/>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77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二、上年结转政府信息公开申请数量</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三、本年度办理结果</w:t>
            </w: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（一）予以公开</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（二）部分公开（区分处理的，只计这一情形，不计其他情形）</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eastAsia" w:eastAsiaTheme="minorEastAsia"/>
                <w:sz w:val="24"/>
                <w:szCs w:val="24"/>
                <w:lang w:val="en-US" w:eastAsia="zh-CN"/>
              </w:rPr>
            </w:pPr>
            <w:r>
              <w:rPr>
                <w:rFonts w:hint="eastAsia"/>
                <w:sz w:val="24"/>
                <w:szCs w:val="24"/>
                <w:lang w:val="en-US" w:eastAsia="zh-CN"/>
              </w:rPr>
              <w:t>1</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eastAsia" w:eastAsiaTheme="minorEastAsia"/>
                <w:sz w:val="24"/>
                <w:szCs w:val="24"/>
                <w:lang w:val="en-US" w:eastAsia="zh-CN"/>
              </w:rPr>
            </w:pPr>
            <w:r>
              <w:rPr>
                <w:rFonts w:hint="eastAsia"/>
                <w:sz w:val="24"/>
                <w:szCs w:val="24"/>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07" w:right="0"/>
              <w:jc w:val="left"/>
              <w:rPr>
                <w:sz w:val="24"/>
                <w:szCs w:val="24"/>
              </w:rPr>
            </w:pPr>
            <w:r>
              <w:rPr>
                <w:rFonts w:ascii="宋体" w:hAnsi="宋体" w:eastAsia="宋体" w:cs="宋体"/>
                <w:kern w:val="0"/>
                <w:sz w:val="21"/>
                <w:szCs w:val="21"/>
                <w:lang w:val="en-US" w:eastAsia="zh-CN" w:bidi="ar"/>
              </w:rPr>
              <w:t>（三）不予公开</w:t>
            </w: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1.属于国家秘密</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2.其他法律行政法规禁止公开</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3.危及“三安全一稳定”</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4.保护第三方合法权益</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rFonts w:hint="default" w:eastAsiaTheme="minorEastAsia"/>
                <w:sz w:val="24"/>
                <w:szCs w:val="24"/>
                <w:lang w:val="en-US" w:eastAsia="zh-CN"/>
              </w:rPr>
            </w:pPr>
            <w:r>
              <w:rPr>
                <w:rFonts w:hint="eastAsia"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5.属于三类内部事务信息</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6.属于四类过程性信息</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7.属于行政执法案卷</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8.属于行政查询事项</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07" w:right="0"/>
              <w:jc w:val="left"/>
              <w:rPr>
                <w:sz w:val="24"/>
                <w:szCs w:val="24"/>
              </w:rPr>
            </w:pPr>
            <w:r>
              <w:rPr>
                <w:rFonts w:ascii="宋体" w:hAnsi="宋体" w:eastAsia="宋体" w:cs="宋体"/>
                <w:kern w:val="0"/>
                <w:sz w:val="21"/>
                <w:szCs w:val="21"/>
                <w:lang w:val="en-US" w:eastAsia="zh-CN" w:bidi="ar"/>
              </w:rPr>
              <w:t>（四）无法提供</w:t>
            </w: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1.本机关不掌握相关政府信息</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2.没有现成信息需要另行制作</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3.补正后申请内容仍不明确</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07" w:right="0"/>
              <w:jc w:val="left"/>
              <w:rPr>
                <w:sz w:val="24"/>
                <w:szCs w:val="24"/>
              </w:rPr>
            </w:pPr>
            <w:r>
              <w:rPr>
                <w:rFonts w:ascii="宋体" w:hAnsi="宋体" w:eastAsia="宋体" w:cs="宋体"/>
                <w:kern w:val="0"/>
                <w:sz w:val="21"/>
                <w:szCs w:val="21"/>
                <w:lang w:val="en-US" w:eastAsia="zh-CN" w:bidi="ar"/>
              </w:rPr>
              <w:t>（五）不予处理</w:t>
            </w: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1.信访举报投诉类申请</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2.重复申请</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3.要求提供公开出版物</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4.无正当理由大量反复申请</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5.要求行政机关确认或重新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firstLine="200"/>
              <w:jc w:val="left"/>
              <w:rPr>
                <w:sz w:val="24"/>
                <w:szCs w:val="24"/>
              </w:rPr>
            </w:pPr>
            <w:r>
              <w:rPr>
                <w:rFonts w:ascii="宋体" w:hAnsi="宋体" w:eastAsia="宋体" w:cs="宋体"/>
                <w:kern w:val="0"/>
                <w:sz w:val="21"/>
                <w:szCs w:val="21"/>
                <w:lang w:val="en-US" w:eastAsia="zh-CN" w:bidi="ar"/>
              </w:rPr>
              <w:t>出具已获取信息</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2" w:hRule="atLeast"/>
        </w:trPr>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1522" w:type="dxa"/>
            <w:vMerge w:val="restart"/>
            <w:tcBorders>
              <w:top w:val="single" w:color="auto" w:sz="8" w:space="0"/>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（六）其他处理</w:t>
            </w: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1.申请人无正当理由逾期不补正、行政机关不再处理其政府信息公开申请</w:t>
            </w:r>
          </w:p>
        </w:tc>
        <w:tc>
          <w:tcPr>
            <w:tcW w:w="854" w:type="dxa"/>
            <w:vMerge w:val="restart"/>
            <w:tcBorders>
              <w:top w:val="single" w:color="auto" w:sz="8" w:space="0"/>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vMerge w:val="restart"/>
            <w:tcBorders>
              <w:top w:val="single" w:color="auto" w:sz="8" w:space="0"/>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vMerge w:val="restart"/>
            <w:tcBorders>
              <w:top w:val="single" w:color="auto" w:sz="8" w:space="0"/>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vMerge w:val="restart"/>
            <w:tcBorders>
              <w:top w:val="single" w:color="auto" w:sz="8" w:space="0"/>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vMerge w:val="restart"/>
            <w:tcBorders>
              <w:top w:val="single" w:color="auto" w:sz="8" w:space="0"/>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vMerge w:val="restart"/>
            <w:tcBorders>
              <w:top w:val="single" w:color="auto" w:sz="8" w:space="0"/>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vMerge w:val="restart"/>
            <w:tcBorders>
              <w:top w:val="single" w:color="auto" w:sz="8" w:space="0"/>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trPr>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pPr>
          </w:p>
        </w:tc>
        <w:tc>
          <w:tcPr>
            <w:tcW w:w="1522" w:type="dxa"/>
            <w:vMerge w:val="continue"/>
            <w:tcBorders>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2.申请人逾期未按收费通知要求缴纳费用、行政机关不再处理其政府信息公开申请</w:t>
            </w:r>
          </w:p>
        </w:tc>
        <w:tc>
          <w:tcPr>
            <w:tcW w:w="854" w:type="dxa"/>
            <w:vMerge w:val="continue"/>
            <w:tcBorders>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69" w:type="dxa"/>
            <w:vMerge w:val="continue"/>
            <w:tcBorders>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69" w:type="dxa"/>
            <w:vMerge w:val="continue"/>
            <w:tcBorders>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69" w:type="dxa"/>
            <w:vMerge w:val="continue"/>
            <w:tcBorders>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69" w:type="dxa"/>
            <w:vMerge w:val="continue"/>
            <w:tcBorders>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39" w:type="dxa"/>
            <w:vMerge w:val="continue"/>
            <w:tcBorders>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629" w:type="dxa"/>
            <w:vMerge w:val="continue"/>
            <w:tcBorders>
              <w:left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2" w:hRule="atLeast"/>
        </w:trPr>
        <w:tc>
          <w:tcPr>
            <w:tcW w:w="524"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1522"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273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3.其他</w:t>
            </w:r>
          </w:p>
        </w:tc>
        <w:tc>
          <w:tcPr>
            <w:tcW w:w="854"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69"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69"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69"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69"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539"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c>
          <w:tcPr>
            <w:tcW w:w="629" w:type="dxa"/>
            <w:vMerge w:val="continue"/>
            <w:tcBorders>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rFonts w:ascii="宋体" w:hAnsi="宋体" w:eastAsia="宋体" w:cs="宋体"/>
                <w:kern w:val="0"/>
                <w:sz w:val="21"/>
                <w:szCs w:val="21"/>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24"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4253"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（七）总计</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77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ascii="宋体" w:hAnsi="宋体" w:eastAsia="宋体" w:cs="宋体"/>
                <w:kern w:val="0"/>
                <w:sz w:val="21"/>
                <w:szCs w:val="21"/>
                <w:lang w:val="en-US" w:eastAsia="zh-CN" w:bidi="ar"/>
              </w:rPr>
              <w:t>四、结转下年度继续办理</w:t>
            </w:r>
          </w:p>
        </w:tc>
        <w:tc>
          <w:tcPr>
            <w:tcW w:w="85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3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2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0" w:right="0" w:firstLine="420"/>
        <w:jc w:val="both"/>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0" w:right="0" w:firstLine="640"/>
        <w:jc w:val="both"/>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left="0" w:right="0" w:firstLine="420"/>
        <w:jc w:val="both"/>
        <w:rPr>
          <w:sz w:val="24"/>
          <w:szCs w:val="24"/>
        </w:rPr>
      </w:pPr>
    </w:p>
    <w:tbl>
      <w:tblPr>
        <w:tblStyle w:val="3"/>
        <w:tblW w:w="90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07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行政复议</w:t>
            </w:r>
          </w:p>
        </w:tc>
        <w:tc>
          <w:tcPr>
            <w:tcW w:w="6000"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49" w:right="0"/>
              <w:jc w:val="center"/>
              <w:rPr>
                <w:sz w:val="24"/>
                <w:szCs w:val="24"/>
              </w:rPr>
            </w:pPr>
            <w:r>
              <w:rPr>
                <w:rFonts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49" w:right="0"/>
              <w:jc w:val="center"/>
              <w:rPr>
                <w:sz w:val="24"/>
                <w:szCs w:val="24"/>
              </w:rPr>
            </w:pPr>
            <w:r>
              <w:rPr>
                <w:rFonts w:ascii="宋体" w:hAnsi="宋体" w:eastAsia="宋体" w:cs="宋体"/>
                <w:kern w:val="0"/>
                <w:sz w:val="21"/>
                <w:szCs w:val="21"/>
                <w:lang w:val="en-US" w:eastAsia="zh-CN" w:bidi="ar"/>
              </w:rPr>
              <w:t>维持</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43" w:right="0" w:hanging="1"/>
              <w:jc w:val="center"/>
              <w:rPr>
                <w:sz w:val="24"/>
                <w:szCs w:val="24"/>
              </w:rPr>
            </w:pPr>
            <w:r>
              <w:rPr>
                <w:rFonts w:ascii="宋体" w:hAnsi="宋体" w:eastAsia="宋体" w:cs="宋体"/>
                <w:kern w:val="0"/>
                <w:sz w:val="21"/>
                <w:szCs w:val="21"/>
                <w:lang w:val="en-US" w:eastAsia="zh-CN" w:bidi="ar"/>
              </w:rPr>
              <w:t>结果纠正</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82" w:right="0"/>
              <w:jc w:val="center"/>
              <w:rPr>
                <w:sz w:val="24"/>
                <w:szCs w:val="24"/>
              </w:rPr>
            </w:pPr>
            <w:r>
              <w:rPr>
                <w:rFonts w:ascii="宋体" w:hAnsi="宋体" w:eastAsia="宋体" w:cs="宋体"/>
                <w:kern w:val="0"/>
                <w:sz w:val="21"/>
                <w:szCs w:val="21"/>
                <w:lang w:val="en-US" w:eastAsia="zh-CN" w:bidi="ar"/>
              </w:rPr>
              <w:t>其他结果</w:t>
            </w:r>
          </w:p>
        </w:tc>
        <w:tc>
          <w:tcPr>
            <w:tcW w:w="60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18" w:right="0"/>
              <w:jc w:val="center"/>
              <w:rPr>
                <w:sz w:val="24"/>
                <w:szCs w:val="24"/>
              </w:rPr>
            </w:pPr>
            <w:r>
              <w:rPr>
                <w:rFonts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18" w:right="0"/>
              <w:jc w:val="center"/>
              <w:rPr>
                <w:sz w:val="24"/>
                <w:szCs w:val="24"/>
              </w:rPr>
            </w:pPr>
            <w:r>
              <w:rPr>
                <w:rFonts w:ascii="宋体" w:hAnsi="宋体" w:eastAsia="宋体" w:cs="宋体"/>
                <w:kern w:val="0"/>
                <w:sz w:val="21"/>
                <w:szCs w:val="21"/>
                <w:lang w:val="en-US" w:eastAsia="zh-CN" w:bidi="ar"/>
              </w:rPr>
              <w:t>审结</w:t>
            </w:r>
          </w:p>
        </w:tc>
        <w:tc>
          <w:tcPr>
            <w:tcW w:w="66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计</w:t>
            </w:r>
          </w:p>
        </w:tc>
        <w:tc>
          <w:tcPr>
            <w:tcW w:w="297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未经复议直接起诉</w:t>
            </w:r>
          </w:p>
        </w:tc>
        <w:tc>
          <w:tcPr>
            <w:tcW w:w="303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60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宋体"/>
                <w:sz w:val="24"/>
                <w:szCs w:val="24"/>
              </w:rPr>
            </w:pPr>
          </w:p>
        </w:tc>
        <w:tc>
          <w:tcPr>
            <w:tcW w:w="5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05" w:right="0"/>
              <w:jc w:val="center"/>
              <w:rPr>
                <w:sz w:val="24"/>
                <w:szCs w:val="24"/>
              </w:rPr>
            </w:pPr>
            <w:r>
              <w:rPr>
                <w:rFonts w:ascii="宋体" w:hAnsi="宋体" w:eastAsia="宋体" w:cs="宋体"/>
                <w:kern w:val="0"/>
                <w:sz w:val="21"/>
                <w:szCs w:val="21"/>
                <w:lang w:val="en-US" w:eastAsia="zh-CN" w:bidi="ar"/>
              </w:rPr>
              <w:t>结果维持</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86" w:right="0"/>
              <w:jc w:val="center"/>
              <w:rPr>
                <w:sz w:val="24"/>
                <w:szCs w:val="24"/>
              </w:rPr>
            </w:pPr>
            <w:r>
              <w:rPr>
                <w:rFonts w:ascii="宋体" w:hAnsi="宋体" w:eastAsia="宋体" w:cs="宋体"/>
                <w:kern w:val="0"/>
                <w:sz w:val="21"/>
                <w:szCs w:val="21"/>
                <w:lang w:val="en-US" w:eastAsia="zh-CN" w:bidi="ar"/>
              </w:rPr>
              <w:t>结果纠正</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26" w:right="0"/>
              <w:jc w:val="center"/>
              <w:rPr>
                <w:sz w:val="24"/>
                <w:szCs w:val="24"/>
              </w:rPr>
            </w:pPr>
            <w:r>
              <w:rPr>
                <w:rFonts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26" w:right="0"/>
              <w:jc w:val="center"/>
              <w:rPr>
                <w:sz w:val="24"/>
                <w:szCs w:val="24"/>
              </w:rPr>
            </w:pPr>
            <w:r>
              <w:rPr>
                <w:rFonts w:ascii="宋体" w:hAnsi="宋体" w:eastAsia="宋体" w:cs="宋体"/>
                <w:kern w:val="0"/>
                <w:sz w:val="21"/>
                <w:szCs w:val="21"/>
                <w:lang w:val="en-US" w:eastAsia="zh-CN" w:bidi="ar"/>
              </w:rPr>
              <w:t>结果</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64" w:right="0"/>
              <w:jc w:val="center"/>
              <w:rPr>
                <w:sz w:val="24"/>
                <w:szCs w:val="24"/>
              </w:rPr>
            </w:pPr>
            <w:r>
              <w:rPr>
                <w:rFonts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64" w:right="0"/>
              <w:jc w:val="center"/>
              <w:rPr>
                <w:sz w:val="24"/>
                <w:szCs w:val="24"/>
              </w:rPr>
            </w:pPr>
            <w:r>
              <w:rPr>
                <w:rFonts w:ascii="宋体" w:hAnsi="宋体" w:eastAsia="宋体" w:cs="宋体"/>
                <w:kern w:val="0"/>
                <w:sz w:val="21"/>
                <w:szCs w:val="21"/>
                <w:lang w:val="en-US" w:eastAsia="zh-CN" w:bidi="ar"/>
              </w:rPr>
              <w:t>审结</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color w:val="000000"/>
                <w:kern w:val="0"/>
                <w:sz w:val="21"/>
                <w:szCs w:val="21"/>
                <w:lang w:val="en-US" w:eastAsia="zh-CN" w:bidi="ar"/>
              </w:rPr>
              <w:t>总计</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99" w:right="0"/>
              <w:jc w:val="center"/>
              <w:rPr>
                <w:sz w:val="24"/>
                <w:szCs w:val="24"/>
              </w:rPr>
            </w:pPr>
            <w:r>
              <w:rPr>
                <w:rFonts w:ascii="宋体" w:hAnsi="宋体" w:eastAsia="宋体" w:cs="宋体"/>
                <w:kern w:val="0"/>
                <w:sz w:val="21"/>
                <w:szCs w:val="21"/>
                <w:lang w:val="en-US" w:eastAsia="zh-CN" w:bidi="ar"/>
              </w:rPr>
              <w:t>结果维持</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36" w:right="0"/>
              <w:jc w:val="center"/>
              <w:rPr>
                <w:sz w:val="24"/>
                <w:szCs w:val="24"/>
              </w:rPr>
            </w:pPr>
            <w:r>
              <w:rPr>
                <w:rFonts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36" w:right="0"/>
              <w:jc w:val="center"/>
              <w:rPr>
                <w:sz w:val="24"/>
                <w:szCs w:val="24"/>
              </w:rPr>
            </w:pPr>
            <w:r>
              <w:rPr>
                <w:rFonts w:ascii="宋体" w:hAnsi="宋体" w:eastAsia="宋体" w:cs="宋体"/>
                <w:kern w:val="0"/>
                <w:sz w:val="21"/>
                <w:szCs w:val="21"/>
                <w:lang w:val="en-US" w:eastAsia="zh-CN" w:bidi="ar"/>
              </w:rPr>
              <w:t>纠正</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73" w:right="0" w:hanging="1"/>
              <w:jc w:val="center"/>
              <w:rPr>
                <w:sz w:val="24"/>
                <w:szCs w:val="24"/>
              </w:rPr>
            </w:pPr>
            <w:r>
              <w:rPr>
                <w:rFonts w:ascii="宋体" w:hAnsi="宋体" w:eastAsia="宋体" w:cs="宋体"/>
                <w:color w:val="000000"/>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173" w:right="0" w:hanging="1"/>
              <w:jc w:val="center"/>
              <w:rPr>
                <w:sz w:val="24"/>
                <w:szCs w:val="24"/>
              </w:rPr>
            </w:pPr>
            <w:r>
              <w:rPr>
                <w:rFonts w:ascii="宋体" w:hAnsi="宋体" w:eastAsia="宋体" w:cs="宋体"/>
                <w:color w:val="000000"/>
                <w:kern w:val="0"/>
                <w:sz w:val="21"/>
                <w:szCs w:val="21"/>
                <w:lang w:val="en-US" w:eastAsia="zh-CN" w:bidi="ar"/>
              </w:rPr>
              <w:t>结果</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67" w:right="0" w:hanging="2"/>
              <w:jc w:val="center"/>
              <w:rPr>
                <w:sz w:val="24"/>
                <w:szCs w:val="24"/>
              </w:rPr>
            </w:pPr>
            <w:r>
              <w:rPr>
                <w:rFonts w:ascii="宋体" w:hAnsi="宋体" w:eastAsia="宋体" w:cs="宋体"/>
                <w:kern w:val="0"/>
                <w:sz w:val="21"/>
                <w:szCs w:val="21"/>
                <w:lang w:val="en-US" w:eastAsia="zh-CN" w:bidi="ar"/>
              </w:rPr>
              <w:t>尚未审结</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55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color w:val="000000"/>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color w:val="000000"/>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c>
          <w:tcPr>
            <w:tcW w:w="600"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宋体" w:hAnsi="宋体" w:eastAsia="宋体" w:cs="宋体"/>
                <w:kern w:val="0"/>
                <w:sz w:val="21"/>
                <w:szCs w:val="21"/>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both"/>
        <w:rPr>
          <w:rFonts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bdr w:val="none" w:color="auto" w:sz="0" w:space="0"/>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both"/>
        <w:rPr>
          <w:rFonts w:hint="default" w:ascii="sans-serif" w:hAnsi="sans-serif" w:eastAsia="sans-serif" w:cs="sans-serif"/>
          <w:i w:val="0"/>
          <w:iCs w:val="0"/>
          <w:caps w:val="0"/>
          <w:color w:val="000000"/>
          <w:spacing w:val="0"/>
          <w:sz w:val="31"/>
          <w:szCs w:val="31"/>
        </w:rPr>
      </w:pPr>
      <w:r>
        <w:rPr>
          <w:rFonts w:ascii="仿宋_GB2312" w:hAnsi="sans-serif" w:eastAsia="仿宋_GB2312" w:cs="仿宋_GB2312"/>
          <w:i w:val="0"/>
          <w:iCs w:val="0"/>
          <w:caps w:val="0"/>
          <w:color w:val="000000"/>
          <w:spacing w:val="0"/>
          <w:sz w:val="31"/>
          <w:szCs w:val="31"/>
          <w:bdr w:val="none" w:color="auto" w:sz="0" w:space="0"/>
          <w:shd w:val="clear" w:fill="FFFFFF"/>
        </w:rPr>
        <w:t>    本年度，滕州市退役军人事务局政府信息公开工作取得了一定成绩，但也存在一些问题。一是信息公开的全面性、及时性、规范性有待提升；二是政务公开工作力量有待加强。</w:t>
      </w:r>
      <w:r>
        <w:rPr>
          <w:rFonts w:hint="eastAsia" w:ascii="仿宋_GB2312" w:hAnsi="sans-serif" w:eastAsia="仿宋_GB2312" w:cs="仿宋_GB2312"/>
          <w:i w:val="0"/>
          <w:iCs w:val="0"/>
          <w:caps w:val="0"/>
          <w:color w:val="333333"/>
          <w:spacing w:val="0"/>
          <w:sz w:val="31"/>
          <w:szCs w:val="31"/>
          <w:bdr w:val="none" w:color="auto" w:sz="0" w:space="0"/>
          <w:shd w:val="clear" w:fill="FFFFFF"/>
        </w:rPr>
        <w:t>下一步，我局将继续贯彻落实市委、市政府的决策部署，做好政务公开工作，一是加强机制考核。将信息公开工作更好地融入日常业务工作，认真做好门户网站信息公开平台常态化管理，及时发布政务信息。二是加强监督管理。对发布信息内容加强审查、监督管理，强化对信息时效性管理，避免信息公开遗漏等情况发生。三是进一步丰富信息公开形式，根据职责任务和工作实际，不断调整充实法定主动公开内容，通过文字、图片、漫画、音频、视频等多种形式，拓展主动公开的广度和深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15" w:lineRule="atLeast"/>
        <w:ind w:left="0" w:right="0" w:firstLine="0"/>
        <w:jc w:val="both"/>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bdr w:val="none" w:color="auto" w:sz="0" w:space="0"/>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2021年滕州市退役军人事务局共办理建议提案1件，主要涉及退役军人就业保障等方面。市退役军人事务局按照提案办理要求，加强组织领导，强化工作措施，规范办理程序，圆满完成了提案办理工作，实现办复率、面复率和满意率3个100%，得到了政协委员们的普遍认可和高度评价，取得了良好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2021年滕州市退役军人事务局未收取任何政府信息公开费用。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20" w:lineRule="atLeast"/>
        <w:ind w:left="0" w:right="0" w:firstLine="645"/>
        <w:jc w:val="both"/>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bdr w:val="none" w:color="auto" w:sz="0" w:space="0"/>
          <w:shd w:val="clear" w:fill="FFFFFF"/>
        </w:rPr>
        <w:t>本报告的电子版可在“中国滕州网”(www.tengzhou.gov.cn)网站查询和下载。如对本报告有任何疑问，请与滕州市退役军人事务局办公室联系。(地址:山东省滕州市春藤东路1566号办公室106房间，联系电话:0632-8028600，电子邮箱:</w:t>
      </w:r>
      <w:r>
        <w:rPr>
          <w:rFonts w:hint="default" w:ascii="sans-serif" w:hAnsi="sans-serif" w:eastAsia="sans-serif" w:cs="sans-serif"/>
          <w:i w:val="0"/>
          <w:iCs w:val="0"/>
          <w:caps w:val="0"/>
          <w:spacing w:val="0"/>
          <w:sz w:val="27"/>
          <w:szCs w:val="27"/>
          <w:bdr w:val="none" w:color="auto" w:sz="0" w:space="0"/>
          <w:shd w:val="clear" w:fill="FFFFFF"/>
        </w:rPr>
        <w:fldChar w:fldCharType="begin"/>
      </w:r>
      <w:r>
        <w:rPr>
          <w:rFonts w:hint="default" w:ascii="sans-serif" w:hAnsi="sans-serif" w:eastAsia="sans-serif" w:cs="sans-serif"/>
          <w:i w:val="0"/>
          <w:iCs w:val="0"/>
          <w:caps w:val="0"/>
          <w:spacing w:val="0"/>
          <w:sz w:val="27"/>
          <w:szCs w:val="27"/>
          <w:bdr w:val="none" w:color="auto" w:sz="0" w:space="0"/>
          <w:shd w:val="clear" w:fill="FFFFFF"/>
        </w:rPr>
        <w:instrText xml:space="preserve"> HYPERLINK "mailto:tyjr8028600@zz.shandong.cn" </w:instrText>
      </w:r>
      <w:r>
        <w:rPr>
          <w:rFonts w:hint="default" w:ascii="sans-serif" w:hAnsi="sans-serif" w:eastAsia="sans-serif" w:cs="sans-serif"/>
          <w:i w:val="0"/>
          <w:iCs w:val="0"/>
          <w:caps w:val="0"/>
          <w:spacing w:val="0"/>
          <w:sz w:val="27"/>
          <w:szCs w:val="27"/>
          <w:bdr w:val="none" w:color="auto" w:sz="0" w:space="0"/>
          <w:shd w:val="clear" w:fill="FFFFFF"/>
        </w:rPr>
        <w:fldChar w:fldCharType="separate"/>
      </w:r>
      <w:r>
        <w:rPr>
          <w:rStyle w:val="6"/>
          <w:rFonts w:hint="eastAsia" w:ascii="仿宋_GB2312" w:hAnsi="sans-serif" w:eastAsia="仿宋_GB2312" w:cs="仿宋_GB2312"/>
          <w:i w:val="0"/>
          <w:iCs w:val="0"/>
          <w:caps w:val="0"/>
          <w:color w:val="000000"/>
          <w:spacing w:val="0"/>
          <w:sz w:val="31"/>
          <w:szCs w:val="31"/>
          <w:bdr w:val="none" w:color="auto" w:sz="0" w:space="0"/>
          <w:shd w:val="clear" w:fill="FFFFFF"/>
        </w:rPr>
        <w:t>tyjr8028600@zz.shandong.cn</w:t>
      </w:r>
      <w:r>
        <w:rPr>
          <w:rFonts w:hint="default" w:ascii="sans-serif" w:hAnsi="sans-serif" w:eastAsia="sans-serif" w:cs="sans-serif"/>
          <w:i w:val="0"/>
          <w:iCs w:val="0"/>
          <w:caps w:val="0"/>
          <w:spacing w:val="0"/>
          <w:sz w:val="27"/>
          <w:szCs w:val="27"/>
          <w:bdr w:val="none" w:color="auto" w:sz="0" w:space="0"/>
          <w:shd w:val="clear" w:fill="FFFFFF"/>
        </w:rPr>
        <w:fldChar w:fldCharType="end"/>
      </w:r>
      <w:r>
        <w:rPr>
          <w:rFonts w:hint="eastAsia" w:ascii="仿宋_GB2312" w:hAnsi="sans-serif" w:eastAsia="仿宋_GB2312" w:cs="仿宋_GB2312"/>
          <w:i w:val="0"/>
          <w:iCs w:val="0"/>
          <w:caps w:val="0"/>
          <w:color w:val="000000"/>
          <w:spacing w:val="0"/>
          <w:sz w:val="31"/>
          <w:szCs w:val="31"/>
          <w:bdr w:val="none" w:color="auto" w:sz="0" w:space="0"/>
          <w:shd w:val="clear" w:fill="FFFFFF"/>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26" w:afterAutospacing="0" w:line="26" w:lineRule="atLeast"/>
        <w:ind w:right="0" w:rightChars="0"/>
        <w:jc w:val="left"/>
        <w:rPr>
          <w:rFonts w:hint="eastAsia" w:ascii="仿宋_GB2312" w:hAnsi="仿宋_GB2312" w:eastAsia="仿宋_GB2312" w:cs="仿宋_GB2312"/>
          <w:i w:val="0"/>
          <w:iCs w:val="0"/>
          <w:caps w:val="0"/>
          <w:color w:val="000000"/>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7F6F73-77E0-401D-823B-116FE37FF1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BB03AD8-5336-437C-9F34-947BDE749F9C}"/>
  </w:font>
  <w:font w:name="方正公文小标宋">
    <w:panose1 w:val="02000500000000000000"/>
    <w:charset w:val="86"/>
    <w:family w:val="auto"/>
    <w:pitch w:val="default"/>
    <w:sig w:usb0="A00002BF" w:usb1="38CF7CFA" w:usb2="00000016" w:usb3="00000000" w:csb0="00040001" w:csb1="00000000"/>
    <w:embedRegular r:id="rId3" w:fontKey="{B473CEF6-B70E-461A-A14D-827AE0059389}"/>
  </w:font>
  <w:font w:name="汉仪旗黑-55简">
    <w:altName w:val="黑体"/>
    <w:panose1 w:val="00020600040101010101"/>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embedRegular r:id="rId4" w:fontKey="{803C84C9-F8A4-43D1-9A8D-FF8DF5D05B23}"/>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YjAxYjEyZWZjNWE0MzYxNTgxM2ZkNzhlNGE2ZGMifQ=="/>
  </w:docVars>
  <w:rsids>
    <w:rsidRoot w:val="00000000"/>
    <w:rsid w:val="005E6857"/>
    <w:rsid w:val="0075159E"/>
    <w:rsid w:val="036E4152"/>
    <w:rsid w:val="039020C3"/>
    <w:rsid w:val="074C3905"/>
    <w:rsid w:val="08DD09D6"/>
    <w:rsid w:val="09475E50"/>
    <w:rsid w:val="0BAA072F"/>
    <w:rsid w:val="0EB9334C"/>
    <w:rsid w:val="100126B3"/>
    <w:rsid w:val="12152F8F"/>
    <w:rsid w:val="13C94A77"/>
    <w:rsid w:val="13F5622C"/>
    <w:rsid w:val="170D0B47"/>
    <w:rsid w:val="1ACC70C5"/>
    <w:rsid w:val="1B3C040D"/>
    <w:rsid w:val="1BCA73BD"/>
    <w:rsid w:val="1D1E4CC0"/>
    <w:rsid w:val="1E1069C9"/>
    <w:rsid w:val="1F3D58D3"/>
    <w:rsid w:val="1F8D0609"/>
    <w:rsid w:val="1FC14756"/>
    <w:rsid w:val="23294AEC"/>
    <w:rsid w:val="240909DE"/>
    <w:rsid w:val="25422A07"/>
    <w:rsid w:val="2652435A"/>
    <w:rsid w:val="26914E82"/>
    <w:rsid w:val="26DE3ECA"/>
    <w:rsid w:val="27AB16E4"/>
    <w:rsid w:val="298011DE"/>
    <w:rsid w:val="31A11CF2"/>
    <w:rsid w:val="337551E4"/>
    <w:rsid w:val="34BB756E"/>
    <w:rsid w:val="37A81BE0"/>
    <w:rsid w:val="3A8A2756"/>
    <w:rsid w:val="3E895FE7"/>
    <w:rsid w:val="3E985BD3"/>
    <w:rsid w:val="3F4E08C2"/>
    <w:rsid w:val="3F536A09"/>
    <w:rsid w:val="3FCE6164"/>
    <w:rsid w:val="43E3619A"/>
    <w:rsid w:val="44B3670C"/>
    <w:rsid w:val="44EE4DF6"/>
    <w:rsid w:val="466C04FB"/>
    <w:rsid w:val="4916491B"/>
    <w:rsid w:val="4A1452FF"/>
    <w:rsid w:val="4A6F5995"/>
    <w:rsid w:val="4E1B126B"/>
    <w:rsid w:val="522E2CD6"/>
    <w:rsid w:val="54A14AFD"/>
    <w:rsid w:val="56181D96"/>
    <w:rsid w:val="561B17C3"/>
    <w:rsid w:val="59CD1026"/>
    <w:rsid w:val="5B0867BA"/>
    <w:rsid w:val="5BE2525D"/>
    <w:rsid w:val="5C0351D3"/>
    <w:rsid w:val="5F5F6BC4"/>
    <w:rsid w:val="5F797C86"/>
    <w:rsid w:val="6120452C"/>
    <w:rsid w:val="653463FD"/>
    <w:rsid w:val="66B71C06"/>
    <w:rsid w:val="696C085C"/>
    <w:rsid w:val="69CD5B6E"/>
    <w:rsid w:val="6C561415"/>
    <w:rsid w:val="6C85127F"/>
    <w:rsid w:val="6D0E5786"/>
    <w:rsid w:val="708D2B21"/>
    <w:rsid w:val="70F03B20"/>
    <w:rsid w:val="736856FA"/>
    <w:rsid w:val="760322D7"/>
    <w:rsid w:val="76300E7C"/>
    <w:rsid w:val="76870674"/>
    <w:rsid w:val="78826FCA"/>
    <w:rsid w:val="7B8E2E3F"/>
    <w:rsid w:val="7EC8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5" Type="http://schemas.microsoft.com/office/2011/relationships/chartColorStyle" Target="colors1.xml"/><Relationship Id="rId4" Type="http://schemas.microsoft.com/office/2011/relationships/chartStyle" Target="style1.xml"/><Relationship Id="rId3" Type="http://schemas.openxmlformats.org/officeDocument/2006/relationships/image" Target="../media/image3.png"/><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600" b="0" i="0" u="none" strike="noStrike" kern="1200" spc="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r>
              <a:rPr lang="en-US" altLang="zh-CN" sz="1200"/>
              <a:t>2021</a:t>
            </a:r>
            <a:r>
              <a:rPr altLang="en-US" sz="1200"/>
              <a:t>年度滕州市退役军人事务局主动公开政府信息统计图</a:t>
            </a:r>
            <a:endParaRPr lang="en-US" altLang="zh-CN" sz="1200"/>
          </a:p>
        </c:rich>
      </c:tx>
      <c:layout/>
      <c:overlay val="0"/>
      <c:spPr>
        <a:gradFill>
          <a:gsLst>
            <a:gs pos="100000">
              <a:srgbClr val="80B4E3"/>
            </a:gs>
            <a:gs pos="80000">
              <a:srgbClr val="80B4E3"/>
            </a:gs>
            <a:gs pos="60000">
              <a:srgbClr val="FAFAFA"/>
            </a:gs>
          </a:gsLst>
          <a:lin ang="5400000" scaled="0"/>
        </a:gradFill>
        <a:ln w="101600">
          <a:solidFill>
            <a:schemeClr val="bg1"/>
          </a:solidFill>
        </a:ln>
        <a:effectLst/>
      </c:spPr>
    </c:title>
    <c:autoTitleDeleted val="0"/>
    <c:plotArea>
      <c:layout>
        <c:manualLayout>
          <c:layoutTarget val="inner"/>
          <c:xMode val="edge"/>
          <c:yMode val="edge"/>
          <c:x val="0.0842174026652731"/>
          <c:y val="0.225799338478501"/>
          <c:w val="0.851110530441599"/>
          <c:h val="0.650716648291069"/>
        </c:manualLayout>
      </c:layout>
      <c:barChart>
        <c:barDir val="col"/>
        <c:grouping val="clustered"/>
        <c:varyColors val="0"/>
        <c:ser>
          <c:idx val="1"/>
          <c:order val="0"/>
          <c:tx>
            <c:strRef>
              <c:f>Sheet1!#REF!</c:f>
              <c:strCache>
                <c:ptCount val="1"/>
                <c:pt idx="0">
                  <c:v/>
                </c:pt>
              </c:strCache>
            </c:strRef>
          </c:tx>
          <c:spPr>
            <a:blipFill>
              <a:blip xmlns:r="http://schemas.openxmlformats.org/officeDocument/2006/relationships" r:embed="rId3"/>
              <a:stretch>
                <a:fillRect/>
              </a:stretch>
            </a:blip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市政府信息公开专栏</c:v>
                </c:pt>
                <c:pt idx="1">
                  <c:v>局网站</c:v>
                </c:pt>
                <c:pt idx="2">
                  <c:v>微信公众号</c:v>
                </c:pt>
              </c:strCache>
            </c:strRef>
          </c:cat>
          <c:val>
            <c:numRef>
              <c:f>Sheet1!$C$1:$C$3</c:f>
              <c:numCache>
                <c:formatCode>General</c:formatCode>
                <c:ptCount val="3"/>
                <c:pt idx="0">
                  <c:v>38</c:v>
                </c:pt>
                <c:pt idx="1">
                  <c:v>142</c:v>
                </c:pt>
                <c:pt idx="2">
                  <c:v>215</c:v>
                </c:pt>
              </c:numCache>
            </c:numRef>
          </c:val>
        </c:ser>
        <c:dLbls>
          <c:showLegendKey val="0"/>
          <c:showVal val="1"/>
          <c:showCatName val="0"/>
          <c:showSerName val="0"/>
          <c:showPercent val="0"/>
          <c:showBubbleSize val="0"/>
        </c:dLbls>
        <c:gapWidth val="50"/>
        <c:overlap val="24"/>
        <c:axId val="749064032"/>
        <c:axId val="586996436"/>
      </c:barChart>
      <c:catAx>
        <c:axId val="749064032"/>
        <c:scaling>
          <c:orientation val="minMax"/>
        </c:scaling>
        <c:delete val="0"/>
        <c:axPos val="b"/>
        <c:majorGridlines>
          <c:spPr>
            <a:ln w="9525" cap="flat" cmpd="sng" algn="ctr">
              <a:solidFill>
                <a:schemeClr val="bg1">
                  <a:lumMod val="95000"/>
                </a:schemeClr>
              </a:solidFill>
              <a:round/>
            </a:ln>
            <a:effectLst/>
          </c:spPr>
        </c:majorGridlines>
        <c:numFmt formatCode="General" sourceLinked="1"/>
        <c:majorTickMark val="out"/>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10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586996436"/>
        <c:crosses val="autoZero"/>
        <c:auto val="1"/>
        <c:lblAlgn val="ctr"/>
        <c:lblOffset val="100"/>
        <c:noMultiLvlLbl val="0"/>
      </c:catAx>
      <c:valAx>
        <c:axId val="586996436"/>
        <c:scaling>
          <c:orientation val="minMax"/>
        </c:scaling>
        <c:delete val="0"/>
        <c:axPos val="l"/>
        <c:majorGridlines>
          <c:spPr>
            <a:ln w="9525" cap="flat" cmpd="sng" algn="ctr">
              <a:solidFill>
                <a:schemeClr val="bg1">
                  <a:lumMod val="95000"/>
                </a:schemeClr>
              </a:solidFill>
              <a:prstDash val="solid"/>
              <a:round/>
            </a:ln>
            <a:effectLst/>
          </c:spPr>
        </c:majorGridlines>
        <c:numFmt formatCode="General" sourceLinked="1"/>
        <c:majorTickMark val="out"/>
        <c:minorTickMark val="in"/>
        <c:tickLblPos val="nextTo"/>
        <c:spPr>
          <a:noFill/>
          <a:ln>
            <a:solidFill>
              <a:schemeClr val="bg1">
                <a:lumMod val="8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crossAx val="749064032"/>
        <c:crosses val="autoZero"/>
        <c:crossBetween val="between"/>
      </c:valAx>
      <c:spPr>
        <a:solidFill>
          <a:srgbClr val="FAFAFA"/>
        </a:solidFill>
        <a:ln>
          <a:solidFill>
            <a:schemeClr val="bg1">
              <a:lumMod val="85000"/>
            </a:schemeClr>
          </a:solidFill>
        </a:ln>
        <a:effectLst/>
      </c:spPr>
    </c:plotArea>
    <c:plotVisOnly val="1"/>
    <c:dispBlanksAs val="gap"/>
    <c:showDLblsOverMax val="0"/>
  </c:chart>
  <c:spPr>
    <a:solidFill>
      <a:schemeClr val="bg1"/>
    </a:solidFill>
    <a:ln w="12700" cap="flat" cmpd="sng" algn="ctr">
      <a:solidFill>
        <a:schemeClr val="bg1">
          <a:lumMod val="85000"/>
        </a:schemeClr>
      </a:solidFill>
      <a:prstDash val="solid"/>
      <a:round/>
    </a:ln>
    <a:effectLst/>
  </c:spPr>
  <c:txPr>
    <a:bodyPr anchor="ctr"/>
    <a:lstStyle/>
    <a:p>
      <a:pPr>
        <a:defRPr lang="zh-CN" sz="1000">
          <a:latin typeface="汉仪旗黑-55简" panose="00020600040101010101" charset="-122"/>
          <a:ea typeface="汉仪旗黑-55简" panose="00020600040101010101" charset="-122"/>
          <a:cs typeface="汉仪旗黑-55简" panose="00020600040101010101" charset="-122"/>
          <a:sym typeface="汉仪旗黑-55简" panose="0002060004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2022-01-06T03:21:00Z</dcterms:created>
  <dc:creator>LENOVO</dc:creator>
  <cp:lastModifiedBy>沈面</cp:lastModifiedBy>
  <dcterms:modified xsi:type="dcterms:W3CDTF">2024-03-21T05:47:48Z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EE718D605C9C4577AC4123AEF7E3DEA3</vt:lpwstr>
  </property>
</Properties>
</file>