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方正小标宋简体" w:cs="黑体"/>
          <w:sz w:val="44"/>
          <w:szCs w:val="44"/>
        </w:rPr>
      </w:pPr>
      <w:r>
        <w:rPr>
          <w:rFonts w:hint="eastAsia" w:ascii="黑体" w:hAnsi="黑体" w:eastAsia="方正小标宋简体" w:cs="黑体"/>
          <w:sz w:val="44"/>
          <w:szCs w:val="44"/>
        </w:rPr>
        <w:t>滕州市司法局2021年度政府信息公开工作年度报告</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按照《中华人民共和国政府信息公开条例》和《国务院办公厅政府信息与政务公开办公室关于政府信息公开工作年度报告有关事项的通知》（国办公开办函〔2021〕30号）及有关文件要求，结合滕州市司法局2021年度信息公开工作实际，编制了本报告。本报告包括总体情况、主动公开政府信息情况、政府信息公开工作存在的主要问题及改进情况。本报告中所统计的数据时限为2021年1月1日起至2021年12月31日止。</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一、总体情况</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2021年，市司法局按照市委、市政府的统一部署，认真贯彻落实《中华人民共和国政府信息公开条例》和省、市关于政府信息公开工作的要求，紧扣本单位的工作实际，加强</w:t>
      </w:r>
      <w:r>
        <w:rPr>
          <w:rFonts w:hint="eastAsia" w:ascii="华文仿宋" w:hAnsi="华文仿宋" w:eastAsia="华文仿宋" w:cs="华文仿宋"/>
          <w:sz w:val="32"/>
          <w:szCs w:val="32"/>
          <w:lang w:val="en-US" w:eastAsia="zh-CN"/>
        </w:rPr>
        <w:t>信息公开平台、</w:t>
      </w:r>
      <w:r>
        <w:rPr>
          <w:rFonts w:hint="eastAsia" w:ascii="华文仿宋" w:hAnsi="华文仿宋" w:eastAsia="华文仿宋" w:cs="华文仿宋"/>
          <w:sz w:val="32"/>
          <w:szCs w:val="32"/>
        </w:rPr>
        <w:t>门户网站、政务新媒体信息公开力度，优化政务服务机制，提高工作效率，不断提升政府信息公开工作力度和实效，政府信息公开水平实现新的突破。</w:t>
      </w:r>
    </w:p>
    <w:p>
      <w:pPr>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（一）主动公开政府信息情况</w:t>
      </w:r>
    </w:p>
    <w:p>
      <w:pPr>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市司法局始终坚持“以公开为常态、不公开为例外”的原则，主动做好政府信息公开工作。2021年，滕州市司法局</w:t>
      </w:r>
      <w:r>
        <w:rPr>
          <w:rFonts w:hint="eastAsia" w:ascii="华文仿宋" w:hAnsi="华文仿宋" w:eastAsia="华文仿宋" w:cs="华文仿宋"/>
          <w:sz w:val="32"/>
          <w:szCs w:val="32"/>
          <w:lang w:val="en-US" w:eastAsia="zh-CN"/>
        </w:rPr>
        <w:t>信息公开平台</w:t>
      </w:r>
      <w:r>
        <w:rPr>
          <w:rFonts w:hint="eastAsia" w:ascii="华文仿宋" w:hAnsi="华文仿宋" w:eastAsia="华文仿宋" w:cs="华文仿宋"/>
          <w:sz w:val="32"/>
          <w:szCs w:val="32"/>
        </w:rPr>
        <w:t xml:space="preserve">主动公开政府信息65条，其中部门工作动态25条，通知公告4条，财政信息6条，政府工作报告及惠民实事执行落实情况4条，部门政务公开推进7条，年度计划1条，人大建议政协提案公开办理结果公开及建议提案办理总体情况5条，其他政务信息13条。此外，利用网站、政务微博、微信、今日头条、抖音等新媒体，及时发布政务信息（含工作动态）620余条。 </w:t>
      </w:r>
    </w:p>
    <w:p>
      <w:pPr>
        <w:jc w:val="center"/>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drawing>
          <wp:inline distT="0" distB="0" distL="114300" distR="114300">
            <wp:extent cx="3940810" cy="3909695"/>
            <wp:effectExtent l="0" t="0" r="2540" b="14605"/>
            <wp:docPr id="2" name="图片 2" descr="搜狗截图22年01月12日111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搜狗截图22年01月12日1112_3"/>
                    <pic:cNvPicPr>
                      <a:picLocks noChangeAspect="1"/>
                    </pic:cNvPicPr>
                  </pic:nvPicPr>
                  <pic:blipFill>
                    <a:blip r:embed="rId5"/>
                    <a:stretch>
                      <a:fillRect/>
                    </a:stretch>
                  </pic:blipFill>
                  <pic:spPr>
                    <a:xfrm>
                      <a:off x="0" y="0"/>
                      <a:ext cx="3940810" cy="3909695"/>
                    </a:xfrm>
                    <a:prstGeom prst="rect">
                      <a:avLst/>
                    </a:prstGeom>
                  </pic:spPr>
                </pic:pic>
              </a:graphicData>
            </a:graphic>
          </wp:inline>
        </w:drawing>
      </w:r>
    </w:p>
    <w:p>
      <w:pPr>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（二）收到和处理政府信息依申请情况</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1、2021年，市司法局共受理2件政府信息公开申请，结转上年政府信息公开申请0件，均为自然人提交。</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2、处理情况。共答复政府信息公开申请2件，按时办结2件，按时办结率100%。</w:t>
      </w:r>
    </w:p>
    <w:p>
      <w:pPr>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（三）因政府信息公开行政申请提起行政复议、行政诉讼的情况</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2021年，滕州市司法局未发生针对本部门有关政府信息公开事务的行政复议和诉讼案件。</w:t>
      </w:r>
    </w:p>
    <w:p>
      <w:pPr>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（四）政府信息公开平台建设</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结合自身实际情况，完善</w:t>
      </w:r>
      <w:r>
        <w:rPr>
          <w:rFonts w:hint="eastAsia" w:ascii="华文仿宋" w:hAnsi="华文仿宋" w:eastAsia="华文仿宋" w:cs="华文仿宋"/>
          <w:sz w:val="32"/>
          <w:szCs w:val="32"/>
          <w:lang w:val="en-US" w:eastAsia="zh-CN"/>
        </w:rPr>
        <w:t>部门、科室</w:t>
      </w:r>
      <w:r>
        <w:rPr>
          <w:rFonts w:hint="eastAsia" w:ascii="华文仿宋" w:hAnsi="华文仿宋" w:eastAsia="华文仿宋" w:cs="华文仿宋"/>
          <w:sz w:val="32"/>
          <w:szCs w:val="32"/>
        </w:rPr>
        <w:t>政府信息公开制度，明确政府信息公开的职责、范围、方式和操作流程。将信息公开的内容和速率作为信息公开工作的核心，安排人员负责公开信息的编辑、审核与发布。同时积极构建微信公众号等新媒体宣传工作新格局，“滕州司法行政在线”微信公众号关注人数达到5456人、“滕州司法”今日头条号关注人数达到1.2万人。</w:t>
      </w:r>
    </w:p>
    <w:p>
      <w:pPr>
        <w:ind w:firstLine="641"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b/>
          <w:bCs/>
          <w:sz w:val="32"/>
          <w:szCs w:val="32"/>
        </w:rPr>
        <w:t>（</w:t>
      </w:r>
      <w:r>
        <w:rPr>
          <w:rFonts w:hint="eastAsia" w:ascii="华文仿宋" w:hAnsi="华文仿宋" w:eastAsia="华文仿宋" w:cs="华文仿宋"/>
          <w:b/>
          <w:bCs/>
          <w:sz w:val="32"/>
          <w:szCs w:val="32"/>
          <w:lang w:val="en-US" w:eastAsia="zh-CN"/>
        </w:rPr>
        <w:t>五</w:t>
      </w:r>
      <w:r>
        <w:rPr>
          <w:rFonts w:hint="eastAsia" w:ascii="华文仿宋" w:hAnsi="华文仿宋" w:eastAsia="华文仿宋" w:cs="华文仿宋"/>
          <w:b/>
          <w:bCs/>
          <w:sz w:val="32"/>
          <w:szCs w:val="32"/>
        </w:rPr>
        <w:t>）</w:t>
      </w:r>
      <w:r>
        <w:rPr>
          <w:rFonts w:hint="eastAsia" w:ascii="华文仿宋" w:hAnsi="华文仿宋" w:eastAsia="华文仿宋" w:cs="华文仿宋"/>
          <w:b/>
          <w:bCs/>
          <w:sz w:val="32"/>
          <w:szCs w:val="32"/>
          <w:lang w:val="en-US" w:eastAsia="zh-CN"/>
        </w:rPr>
        <w:t>监督保障</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市司法局对政府信息公开进行严格的保密审查，既保证政府信息及时有效公开，又确保受国家法律保护的秘密信息安全。对信息公开保密审查工作，实行局主要领导总负责、分管领导组织协调、责任科室和专门审查人员具体实施、保密工作部门指导监督的管理机制，层层增强保密责任</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市司法</w:t>
      </w:r>
      <w:r>
        <w:rPr>
          <w:rFonts w:hint="eastAsia" w:ascii="华文仿宋" w:hAnsi="华文仿宋" w:eastAsia="华文仿宋" w:cs="华文仿宋"/>
          <w:sz w:val="32"/>
          <w:szCs w:val="32"/>
        </w:rPr>
        <w:t>局办公室为保密工作部门。2021年，市司法局在政府信息公开工作中未出现失密、泄密情况。纳入滕州市部门绩效考核（镇街绩效评估），未进行社会评议，未发生责任追究情况。</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滕州市司法局2021年度主动公开政府信息情况</w:t>
      </w:r>
    </w:p>
    <w:tbl>
      <w:tblPr>
        <w:tblStyle w:val="5"/>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1973"/>
        <w:gridCol w:w="1987"/>
        <w:gridCol w:w="1987"/>
        <w:gridCol w:w="259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45" w:hRule="atLeast"/>
        </w:trPr>
        <w:tc>
          <w:tcPr>
            <w:tcW w:w="8580" w:type="dxa"/>
            <w:gridSpan w:val="4"/>
            <w:tcBorders>
              <w:top w:val="single" w:color="00000A" w:sz="6" w:space="0"/>
              <w:left w:val="single" w:color="00000A" w:sz="6" w:space="0"/>
              <w:bottom w:val="single" w:color="00000A" w:sz="6" w:space="0"/>
              <w:right w:val="single" w:color="000001" w:sz="6" w:space="0"/>
            </w:tcBorders>
            <w:shd w:val="clear" w:color="auto" w:fill="C6D9F1"/>
            <w:noWrap w:val="0"/>
            <w:tcMar>
              <w:left w:w="12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pacing w:val="0"/>
                <w:sz w:val="19"/>
                <w:szCs w:val="19"/>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信息内容</w:t>
            </w:r>
          </w:p>
        </w:tc>
        <w:tc>
          <w:tcPr>
            <w:tcW w:w="1995" w:type="dxa"/>
            <w:tcBorders>
              <w:top w:val="nil"/>
              <w:left w:val="nil"/>
              <w:bottom w:val="single" w:color="00000A" w:sz="6" w:space="0"/>
              <w:right w:val="single" w:color="00000A" w:sz="6" w:space="0"/>
            </w:tcBorders>
            <w:noWrap w:val="0"/>
            <w:tcMar>
              <w:left w:w="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本年制发件数</w:t>
            </w:r>
          </w:p>
        </w:tc>
        <w:tc>
          <w:tcPr>
            <w:tcW w:w="1995" w:type="dxa"/>
            <w:tcBorders>
              <w:top w:val="nil"/>
              <w:left w:val="nil"/>
              <w:bottom w:val="single" w:color="00000A" w:sz="6" w:space="0"/>
              <w:right w:val="single" w:color="00000A" w:sz="6" w:space="0"/>
            </w:tcBorders>
            <w:noWrap w:val="0"/>
            <w:tcMar>
              <w:left w:w="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本年废止件数</w:t>
            </w:r>
          </w:p>
        </w:tc>
        <w:tc>
          <w:tcPr>
            <w:tcW w:w="1980" w:type="dxa"/>
            <w:tcBorders>
              <w:top w:val="nil"/>
              <w:left w:val="nil"/>
              <w:bottom w:val="single" w:color="00000A" w:sz="6" w:space="0"/>
              <w:right w:val="single" w:color="00000A" w:sz="6" w:space="0"/>
            </w:tcBorders>
            <w:noWrap w:val="0"/>
            <w:tcMar>
              <w:left w:w="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pacing w:val="0"/>
                <w:sz w:val="19"/>
                <w:szCs w:val="19"/>
              </w:rPr>
              <w:t>规章</w:t>
            </w:r>
          </w:p>
        </w:tc>
        <w:tc>
          <w:tcPr>
            <w:tcW w:w="1995" w:type="dxa"/>
            <w:tcBorders>
              <w:top w:val="nil"/>
              <w:left w:val="nil"/>
              <w:bottom w:val="single" w:color="00000A" w:sz="6" w:space="0"/>
              <w:right w:val="single" w:color="00000A" w:sz="6" w:space="0"/>
            </w:tcBorders>
            <w:noWrap w:val="0"/>
            <w:tcMar>
              <w:left w:w="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0</w:t>
            </w:r>
          </w:p>
        </w:tc>
        <w:tc>
          <w:tcPr>
            <w:tcW w:w="1995" w:type="dxa"/>
            <w:tcBorders>
              <w:top w:val="nil"/>
              <w:left w:val="nil"/>
              <w:bottom w:val="single" w:color="00000A" w:sz="6" w:space="0"/>
              <w:right w:val="single" w:color="00000A" w:sz="6" w:space="0"/>
            </w:tcBorders>
            <w:noWrap w:val="0"/>
            <w:tcMar>
              <w:left w:w="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0</w:t>
            </w:r>
          </w:p>
        </w:tc>
        <w:tc>
          <w:tcPr>
            <w:tcW w:w="1980" w:type="dxa"/>
            <w:tcBorders>
              <w:top w:val="nil"/>
              <w:left w:val="nil"/>
              <w:bottom w:val="single" w:color="00000A" w:sz="6" w:space="0"/>
              <w:right w:val="single" w:color="00000A" w:sz="6" w:space="0"/>
            </w:tcBorders>
            <w:noWrap w:val="0"/>
            <w:tcMar>
              <w:left w:w="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pacing w:val="0"/>
                <w:sz w:val="19"/>
                <w:szCs w:val="19"/>
              </w:rPr>
              <w:t>行政规范性文件</w:t>
            </w:r>
          </w:p>
        </w:tc>
        <w:tc>
          <w:tcPr>
            <w:tcW w:w="1995" w:type="dxa"/>
            <w:tcBorders>
              <w:top w:val="nil"/>
              <w:left w:val="nil"/>
              <w:bottom w:val="single" w:color="00000A" w:sz="6" w:space="0"/>
              <w:right w:val="single" w:color="00000A" w:sz="6" w:space="0"/>
            </w:tcBorders>
            <w:noWrap w:val="0"/>
            <w:tcMar>
              <w:left w:w="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 0</w:t>
            </w:r>
          </w:p>
        </w:tc>
        <w:tc>
          <w:tcPr>
            <w:tcW w:w="1995" w:type="dxa"/>
            <w:tcBorders>
              <w:top w:val="nil"/>
              <w:left w:val="nil"/>
              <w:bottom w:val="single" w:color="00000A" w:sz="6" w:space="0"/>
              <w:right w:val="single" w:color="00000A" w:sz="6" w:space="0"/>
            </w:tcBorders>
            <w:noWrap w:val="0"/>
            <w:tcMar>
              <w:left w:w="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0</w:t>
            </w:r>
          </w:p>
        </w:tc>
        <w:tc>
          <w:tcPr>
            <w:tcW w:w="1980" w:type="dxa"/>
            <w:tcBorders>
              <w:top w:val="nil"/>
              <w:left w:val="nil"/>
              <w:bottom w:val="single" w:color="00000A" w:sz="6" w:space="0"/>
              <w:right w:val="single" w:color="00000A" w:sz="6" w:space="0"/>
            </w:tcBorders>
            <w:noWrap w:val="0"/>
            <w:tcMar>
              <w:left w:w="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宋体"/>
                <w:lang w:val="en-US" w:eastAsia="zh-CN"/>
              </w:rPr>
            </w:pPr>
            <w:r>
              <w:rPr>
                <w:rFonts w:hint="eastAsia" w:ascii="宋体" w:hAnsi="宋体" w:cs="宋体"/>
                <w:sz w:val="19"/>
                <w:szCs w:val="19"/>
                <w:lang w:val="en-US" w:eastAsia="zh-CN"/>
              </w:rPr>
              <w:t>12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8580" w:type="dxa"/>
            <w:gridSpan w:val="4"/>
            <w:tcBorders>
              <w:top w:val="nil"/>
              <w:left w:val="single" w:color="00000A" w:sz="6" w:space="0"/>
              <w:bottom w:val="single" w:color="00000A" w:sz="6" w:space="0"/>
              <w:right w:val="single" w:color="000001" w:sz="6" w:space="0"/>
            </w:tcBorders>
            <w:shd w:val="clear" w:color="auto" w:fill="C6D9F1"/>
            <w:noWrap w:val="0"/>
            <w:tcMar>
              <w:left w:w="12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pacing w:val="0"/>
                <w:sz w:val="19"/>
                <w:szCs w:val="19"/>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信息内容</w:t>
            </w:r>
          </w:p>
        </w:tc>
        <w:tc>
          <w:tcPr>
            <w:tcW w:w="6390" w:type="dxa"/>
            <w:gridSpan w:val="3"/>
            <w:tcBorders>
              <w:top w:val="single" w:color="00000A" w:sz="6" w:space="0"/>
              <w:left w:val="nil"/>
              <w:bottom w:val="single" w:color="00000A" w:sz="6" w:space="0"/>
              <w:right w:val="single" w:color="000001" w:sz="6" w:space="0"/>
            </w:tcBorders>
            <w:noWrap w:val="0"/>
            <w:tcMar>
              <w:left w:w="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pacing w:val="0"/>
                <w:sz w:val="19"/>
                <w:szCs w:val="19"/>
              </w:rPr>
              <w:t>行政许可</w:t>
            </w:r>
          </w:p>
        </w:tc>
        <w:tc>
          <w:tcPr>
            <w:tcW w:w="6390" w:type="dxa"/>
            <w:gridSpan w:val="3"/>
            <w:tcBorders>
              <w:top w:val="nil"/>
              <w:left w:val="nil"/>
              <w:bottom w:val="single" w:color="00000A" w:sz="6" w:space="0"/>
              <w:right w:val="single" w:color="000001" w:sz="6" w:space="0"/>
            </w:tcBorders>
            <w:noWrap w:val="0"/>
            <w:tcMar>
              <w:left w:w="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8580" w:type="dxa"/>
            <w:gridSpan w:val="4"/>
            <w:tcBorders>
              <w:top w:val="nil"/>
              <w:left w:val="single" w:color="00000A" w:sz="6" w:space="0"/>
              <w:bottom w:val="single" w:color="00000A" w:sz="6" w:space="0"/>
              <w:right w:val="single" w:color="000001" w:sz="6" w:space="0"/>
            </w:tcBorders>
            <w:shd w:val="clear" w:color="auto" w:fill="C6D9F1"/>
            <w:noWrap w:val="0"/>
            <w:tcMar>
              <w:left w:w="12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pacing w:val="0"/>
                <w:sz w:val="19"/>
                <w:szCs w:val="19"/>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信息内容</w:t>
            </w:r>
          </w:p>
        </w:tc>
        <w:tc>
          <w:tcPr>
            <w:tcW w:w="6390" w:type="dxa"/>
            <w:gridSpan w:val="3"/>
            <w:tcBorders>
              <w:top w:val="single" w:color="00000A" w:sz="6" w:space="0"/>
              <w:left w:val="nil"/>
              <w:bottom w:val="single" w:color="00000A" w:sz="6" w:space="0"/>
              <w:right w:val="single" w:color="000001" w:sz="6" w:space="0"/>
            </w:tcBorders>
            <w:noWrap w:val="0"/>
            <w:tcMar>
              <w:left w:w="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pacing w:val="0"/>
                <w:sz w:val="19"/>
                <w:szCs w:val="19"/>
              </w:rPr>
              <w:t>行政处罚</w:t>
            </w:r>
          </w:p>
        </w:tc>
        <w:tc>
          <w:tcPr>
            <w:tcW w:w="6390" w:type="dxa"/>
            <w:gridSpan w:val="3"/>
            <w:tcBorders>
              <w:top w:val="nil"/>
              <w:left w:val="nil"/>
              <w:bottom w:val="single" w:color="00000A" w:sz="6" w:space="0"/>
              <w:right w:val="single" w:color="000001" w:sz="6" w:space="0"/>
            </w:tcBorders>
            <w:noWrap w:val="0"/>
            <w:tcMar>
              <w:left w:w="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lang w:eastAsia="zh-CN"/>
              </w:rPr>
            </w:pPr>
            <w:r>
              <w:rPr>
                <w:rFonts w:hint="eastAsia" w:ascii="宋体" w:hAnsi="宋体" w:cs="宋体"/>
                <w:sz w:val="19"/>
                <w:szCs w:val="19"/>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9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pacing w:val="0"/>
                <w:sz w:val="19"/>
                <w:szCs w:val="19"/>
              </w:rPr>
              <w:t>行政强制</w:t>
            </w:r>
          </w:p>
        </w:tc>
        <w:tc>
          <w:tcPr>
            <w:tcW w:w="6390" w:type="dxa"/>
            <w:gridSpan w:val="3"/>
            <w:tcBorders>
              <w:top w:val="nil"/>
              <w:left w:val="nil"/>
              <w:bottom w:val="single" w:color="00000A" w:sz="6" w:space="0"/>
              <w:right w:val="single" w:color="000001" w:sz="6" w:space="0"/>
            </w:tcBorders>
            <w:noWrap w:val="0"/>
            <w:tcMar>
              <w:left w:w="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lang w:eastAsia="zh-CN"/>
              </w:rPr>
            </w:pPr>
            <w:r>
              <w:rPr>
                <w:rFonts w:hint="eastAsia" w:ascii="宋体" w:hAnsi="宋体" w:cs="宋体"/>
                <w:sz w:val="19"/>
                <w:szCs w:val="19"/>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8580" w:type="dxa"/>
            <w:gridSpan w:val="4"/>
            <w:tcBorders>
              <w:top w:val="nil"/>
              <w:left w:val="single" w:color="00000A" w:sz="6" w:space="0"/>
              <w:bottom w:val="single" w:color="00000A" w:sz="6" w:space="0"/>
              <w:right w:val="single" w:color="000001" w:sz="6" w:space="0"/>
            </w:tcBorders>
            <w:shd w:val="clear" w:color="auto" w:fill="C6D9F1"/>
            <w:noWrap w:val="0"/>
            <w:tcMar>
              <w:left w:w="12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pacing w:val="0"/>
                <w:sz w:val="19"/>
                <w:szCs w:val="19"/>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信息内容</w:t>
            </w:r>
          </w:p>
        </w:tc>
        <w:tc>
          <w:tcPr>
            <w:tcW w:w="6390" w:type="dxa"/>
            <w:gridSpan w:val="3"/>
            <w:tcBorders>
              <w:top w:val="single" w:color="00000A" w:sz="6" w:space="0"/>
              <w:left w:val="nil"/>
              <w:bottom w:val="single" w:color="00000A" w:sz="6" w:space="0"/>
              <w:right w:val="single" w:color="000001" w:sz="6" w:space="0"/>
            </w:tcBorders>
            <w:noWrap w:val="0"/>
            <w:tcMar>
              <w:left w:w="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45"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pacing w:val="0"/>
                <w:sz w:val="19"/>
                <w:szCs w:val="19"/>
              </w:rPr>
              <w:t>行政事业性收费</w:t>
            </w:r>
          </w:p>
        </w:tc>
        <w:tc>
          <w:tcPr>
            <w:tcW w:w="6390" w:type="dxa"/>
            <w:gridSpan w:val="3"/>
            <w:tcBorders>
              <w:top w:val="nil"/>
              <w:left w:val="nil"/>
              <w:bottom w:val="single" w:color="00000A" w:sz="6" w:space="0"/>
              <w:right w:val="single" w:color="000001" w:sz="6" w:space="0"/>
            </w:tcBorders>
            <w:noWrap w:val="0"/>
            <w:tcMar>
              <w:left w:w="0" w:type="dxa"/>
              <w:bottom w:w="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0</w:t>
            </w:r>
          </w:p>
        </w:tc>
      </w:tr>
    </w:tbl>
    <w:p>
      <w:pPr>
        <w:numPr>
          <w:ilvl w:val="0"/>
          <w:numId w:val="0"/>
        </w:numPr>
        <w:ind w:leftChars="200"/>
      </w:pPr>
      <w:r>
        <w:rPr>
          <w:rFonts w:hint="eastAsia" w:ascii="黑体" w:hAnsi="黑体" w:eastAsia="黑体" w:cs="黑体"/>
          <w:sz w:val="32"/>
          <w:szCs w:val="32"/>
          <w:lang w:val="en-US" w:eastAsia="zh-CN"/>
        </w:rPr>
        <w:t>三、</w:t>
      </w:r>
      <w:r>
        <w:rPr>
          <w:rFonts w:hint="eastAsia" w:ascii="黑体" w:hAnsi="黑体" w:eastAsia="黑体" w:cs="黑体"/>
          <w:sz w:val="32"/>
          <w:szCs w:val="32"/>
        </w:rPr>
        <w:t>收到和处理政府信息公开申请情况</w:t>
      </w:r>
    </w:p>
    <w:tbl>
      <w:tblPr>
        <w:tblStyle w:val="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630"/>
        <w:gridCol w:w="1456"/>
        <w:gridCol w:w="2272"/>
        <w:gridCol w:w="712"/>
        <w:gridCol w:w="499"/>
        <w:gridCol w:w="499"/>
        <w:gridCol w:w="618"/>
        <w:gridCol w:w="597"/>
        <w:gridCol w:w="499"/>
        <w:gridCol w:w="73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20" w:hRule="atLeast"/>
          <w:jc w:val="center"/>
        </w:trPr>
        <w:tc>
          <w:tcPr>
            <w:tcW w:w="5100" w:type="dxa"/>
            <w:gridSpan w:val="3"/>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ascii="楷体_GB2312" w:eastAsia="楷体_GB2312" w:cs="楷体_GB2312"/>
                <w:sz w:val="21"/>
                <w:szCs w:val="21"/>
              </w:rPr>
              <w:t>（本列数据的勾稽关系为：第一项加第二项之和，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楷体_GB2312" w:eastAsia="楷体_GB2312" w:cs="楷体_GB2312"/>
                <w:sz w:val="21"/>
                <w:szCs w:val="21"/>
              </w:rPr>
              <w:t>等于第三项加第四项之和）</w:t>
            </w:r>
          </w:p>
        </w:tc>
        <w:tc>
          <w:tcPr>
            <w:tcW w:w="4815" w:type="dxa"/>
            <w:gridSpan w:val="7"/>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20" w:hRule="atLeast"/>
          <w:jc w:val="center"/>
        </w:trPr>
        <w:tc>
          <w:tcPr>
            <w:tcW w:w="5100" w:type="dxa"/>
            <w:gridSpan w:val="3"/>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82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自然人</w:t>
            </w:r>
          </w:p>
        </w:tc>
        <w:tc>
          <w:tcPr>
            <w:tcW w:w="3135"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法人或其他组织</w:t>
            </w:r>
          </w:p>
        </w:tc>
        <w:tc>
          <w:tcPr>
            <w:tcW w:w="85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15" w:hRule="atLeast"/>
          <w:jc w:val="center"/>
        </w:trPr>
        <w:tc>
          <w:tcPr>
            <w:tcW w:w="5100" w:type="dxa"/>
            <w:gridSpan w:val="3"/>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82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firstLine="0"/>
              <w:jc w:val="center"/>
            </w:pPr>
            <w:r>
              <w:rPr>
                <w:rFonts w:hint="eastAsia" w:ascii="黑体" w:hAnsi="宋体" w:eastAsia="黑体" w:cs="黑体"/>
                <w:sz w:val="21"/>
                <w:szCs w:val="21"/>
              </w:rPr>
              <w:t>商业企业</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jc w:val="center"/>
            </w:pPr>
            <w:r>
              <w:rPr>
                <w:rFonts w:hint="eastAsia" w:ascii="黑体" w:hAnsi="宋体" w:eastAsia="黑体" w:cs="黑体"/>
                <w:sz w:val="21"/>
                <w:szCs w:val="21"/>
              </w:rPr>
              <w:t>科研机构</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jc w:val="center"/>
            </w:pPr>
            <w:r>
              <w:rPr>
                <w:rFonts w:hint="eastAsia" w:ascii="黑体" w:hAnsi="宋体" w:eastAsia="黑体" w:cs="黑体"/>
                <w:sz w:val="21"/>
                <w:szCs w:val="21"/>
              </w:rPr>
              <w:t>社会公益组织</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firstLine="0"/>
              <w:jc w:val="center"/>
            </w:pPr>
            <w:r>
              <w:rPr>
                <w:rFonts w:hint="eastAsia" w:ascii="黑体" w:hAnsi="宋体" w:eastAsia="黑体" w:cs="黑体"/>
                <w:sz w:val="21"/>
                <w:szCs w:val="21"/>
              </w:rPr>
              <w:t>法律服务机构</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60" w:right="-135"/>
              <w:jc w:val="center"/>
            </w:pPr>
            <w:r>
              <w:rPr>
                <w:rFonts w:hint="eastAsia" w:ascii="黑体" w:hAnsi="宋体" w:eastAsia="黑体" w:cs="黑体"/>
                <w:sz w:val="21"/>
                <w:szCs w:val="21"/>
              </w:rPr>
              <w:t>其他</w:t>
            </w:r>
          </w:p>
        </w:tc>
        <w:tc>
          <w:tcPr>
            <w:tcW w:w="85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5" w:hRule="atLeast"/>
          <w:jc w:val="center"/>
        </w:trPr>
        <w:tc>
          <w:tcPr>
            <w:tcW w:w="510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黑体" w:hAnsi="宋体" w:eastAsia="黑体" w:cs="黑体"/>
                <w:sz w:val="21"/>
                <w:szCs w:val="21"/>
              </w:rPr>
              <w:t>一、</w:t>
            </w:r>
            <w:bookmarkStart w:id="0" w:name="_Hlk66973412"/>
            <w:r>
              <w:rPr>
                <w:rFonts w:hint="eastAsia" w:ascii="黑体" w:hAnsi="宋体" w:eastAsia="黑体" w:cs="黑体"/>
                <w:sz w:val="21"/>
                <w:szCs w:val="21"/>
              </w:rPr>
              <w:t>本年新收政府信息公开申请数量</w:t>
            </w:r>
            <w:bookmarkEnd w:id="0"/>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仿宋_GB2312" w:eastAsia="仿宋_GB2312" w:cs="仿宋_GB2312"/>
                <w:sz w:val="21"/>
                <w:szCs w:val="21"/>
                <w:lang w:val="en-US" w:eastAsia="zh-CN"/>
              </w:rPr>
              <w:t>2</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仿宋_GB2312" w:eastAsia="仿宋_GB2312" w:cs="仿宋_GB2312"/>
                <w:sz w:val="21"/>
                <w:szCs w:val="21"/>
                <w:lang w:val="en-US" w:eastAsia="zh-CN"/>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5" w:hRule="atLeast"/>
          <w:jc w:val="center"/>
        </w:trPr>
        <w:tc>
          <w:tcPr>
            <w:tcW w:w="510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黑体" w:hAnsi="宋体" w:eastAsia="黑体" w:cs="黑体"/>
                <w:sz w:val="21"/>
                <w:szCs w:val="21"/>
              </w:rPr>
              <w:t>二、上年结转政府信息公开申请数量</w:t>
            </w:r>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rPr>
                <w:rFonts w:hint="eastAsia" w:eastAsia="宋体"/>
                <w:lang w:val="en-US" w:eastAsia="zh-CN"/>
              </w:rP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rPr>
                <w:rFonts w:hint="eastAsia" w:eastAsia="宋体"/>
                <w:lang w:val="en-US" w:eastAsia="zh-CN"/>
              </w:rPr>
            </w:pPr>
            <w:r>
              <w:rPr>
                <w:rFonts w:hint="eastAsia"/>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2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pPr>
            <w:r>
              <w:rPr>
                <w:rFonts w:hint="eastAsia" w:ascii="黑体" w:hAnsi="宋体" w:eastAsia="黑体" w:cs="黑体"/>
                <w:sz w:val="21"/>
                <w:szCs w:val="21"/>
              </w:rPr>
              <w:t>三、本年度办理结果</w:t>
            </w:r>
          </w:p>
        </w:tc>
        <w:tc>
          <w:tcPr>
            <w:tcW w:w="468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黑体" w:hAnsi="宋体" w:eastAsia="黑体" w:cs="黑体"/>
                <w:sz w:val="21"/>
                <w:szCs w:val="21"/>
              </w:rPr>
              <w:t>（一）予以公开</w:t>
            </w:r>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468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黑体" w:hAnsi="宋体" w:eastAsia="黑体" w:cs="黑体"/>
                <w:sz w:val="21"/>
                <w:szCs w:val="21"/>
              </w:rPr>
              <w:t>（二）部分公开（</w:t>
            </w:r>
            <w:bookmarkStart w:id="1" w:name="_Hlk66973981"/>
            <w:r>
              <w:rPr>
                <w:rFonts w:hint="eastAsia" w:ascii="黑体" w:hAnsi="宋体" w:eastAsia="黑体" w:cs="黑体"/>
                <w:sz w:val="21"/>
                <w:szCs w:val="21"/>
              </w:rPr>
              <w:t>区分处理的，只计这一情形，不计其他情形</w:t>
            </w:r>
            <w:bookmarkEnd w:id="1"/>
            <w:r>
              <w:rPr>
                <w:rFonts w:hint="eastAsia" w:ascii="黑体" w:hAnsi="宋体" w:eastAsia="黑体" w:cs="黑体"/>
                <w:sz w:val="21"/>
                <w:szCs w:val="21"/>
              </w:rPr>
              <w:t>）</w:t>
            </w:r>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105" w:right="0"/>
            </w:pPr>
            <w:r>
              <w:rPr>
                <w:rFonts w:hint="eastAsia" w:ascii="黑体" w:hAnsi="宋体" w:eastAsia="黑体" w:cs="黑体"/>
                <w:sz w:val="21"/>
                <w:szCs w:val="21"/>
              </w:rPr>
              <w:t>（三）不予公开</w:t>
            </w:r>
          </w:p>
        </w:tc>
        <w:tc>
          <w:tcPr>
            <w:tcW w:w="29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lang w:val="en-US" w:eastAsia="zh-CN"/>
              </w:rPr>
              <w:t>0</w:t>
            </w:r>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lang w:val="en-US" w:eastAsia="zh-CN"/>
              </w:rPr>
              <w:t>0</w:t>
            </w:r>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lang w:val="en-US" w:eastAsia="zh-CN"/>
              </w:rPr>
              <w:t>0</w:t>
            </w:r>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lang w:val="en-US" w:eastAsia="zh-CN"/>
              </w:rPr>
              <w:t>0</w:t>
            </w:r>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lang w:val="en-US" w:eastAsia="zh-CN"/>
              </w:rPr>
              <w:t>0</w:t>
            </w:r>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lang w:val="en-US" w:eastAsia="zh-CN"/>
              </w:rPr>
              <w:t>0</w:t>
            </w:r>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lang w:val="en-US" w:eastAsia="zh-CN"/>
              </w:rPr>
              <w:t>0</w:t>
            </w:r>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lang w:val="en-US" w:eastAsia="zh-CN"/>
              </w:rPr>
              <w:t>0</w:t>
            </w:r>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105" w:right="0"/>
            </w:pPr>
            <w:r>
              <w:rPr>
                <w:rFonts w:hint="eastAsia" w:ascii="黑体" w:hAnsi="宋体" w:eastAsia="黑体" w:cs="黑体"/>
                <w:sz w:val="21"/>
                <w:szCs w:val="21"/>
              </w:rPr>
              <w:t>（四）无法提供</w:t>
            </w:r>
          </w:p>
        </w:tc>
        <w:tc>
          <w:tcPr>
            <w:tcW w:w="29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lang w:val="en-US" w:eastAsia="zh-CN"/>
              </w:rPr>
              <w:t>0</w:t>
            </w:r>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default" w:ascii="仿宋_GB2312" w:eastAsia="仿宋_GB2312" w:cs="仿宋_GB2312"/>
                <w:sz w:val="21"/>
                <w:szCs w:val="21"/>
              </w:rPr>
              <w:t>2.</w:t>
            </w:r>
            <w:bookmarkStart w:id="2" w:name="_Hlk66975392"/>
            <w:r>
              <w:rPr>
                <w:rFonts w:hint="default" w:ascii="仿宋_GB2312" w:eastAsia="仿宋_GB2312" w:cs="仿宋_GB2312"/>
                <w:sz w:val="21"/>
                <w:szCs w:val="21"/>
              </w:rPr>
              <w:t>没有现成信息需要另行制作</w:t>
            </w:r>
            <w:bookmarkEnd w:id="2"/>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195" w:lineRule="atLeast"/>
              <w:ind w:left="0" w:right="0"/>
              <w:jc w:val="center"/>
              <w:rPr>
                <w:rFonts w:hint="eastAsia" w:eastAsia="宋体"/>
                <w:lang w:eastAsia="zh-CN"/>
              </w:rPr>
            </w:pPr>
            <w:r>
              <w:rPr>
                <w:rFonts w:hint="eastAsia" w:ascii="仿宋_GB2312" w:eastAsia="仿宋_GB2312" w:cs="仿宋_GB2312"/>
                <w:sz w:val="21"/>
                <w:szCs w:val="21"/>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仿宋_GB2312"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default" w:ascii="仿宋_GB2312" w:eastAsia="仿宋_GB2312" w:cs="仿宋_GB2312"/>
                <w:sz w:val="21"/>
                <w:szCs w:val="21"/>
              </w:rPr>
              <w:t>3.</w:t>
            </w:r>
            <w:bookmarkStart w:id="3" w:name="_Hlk66975466"/>
            <w:r>
              <w:rPr>
                <w:rFonts w:hint="default" w:ascii="仿宋_GB2312" w:eastAsia="仿宋_GB2312" w:cs="仿宋_GB2312"/>
                <w:sz w:val="21"/>
                <w:szCs w:val="21"/>
              </w:rPr>
              <w:t>补正后申请内容仍不明确</w:t>
            </w:r>
            <w:bookmarkEnd w:id="3"/>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105" w:right="0"/>
            </w:pPr>
            <w:r>
              <w:rPr>
                <w:rFonts w:hint="eastAsia" w:ascii="黑体" w:hAnsi="宋体" w:eastAsia="黑体" w:cs="黑体"/>
                <w:sz w:val="21"/>
                <w:szCs w:val="21"/>
              </w:rPr>
              <w:t>（五）不予处理</w:t>
            </w:r>
          </w:p>
        </w:tc>
        <w:tc>
          <w:tcPr>
            <w:tcW w:w="29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default" w:ascii="仿宋_GB2312" w:eastAsia="仿宋_GB2312" w:cs="仿宋_GB2312"/>
                <w:sz w:val="21"/>
                <w:szCs w:val="21"/>
              </w:rPr>
              <w:t>1.</w:t>
            </w:r>
            <w:bookmarkStart w:id="4" w:name="_Hlk66975537"/>
            <w:r>
              <w:rPr>
                <w:rFonts w:hint="default" w:ascii="仿宋_GB2312" w:eastAsia="仿宋_GB2312" w:cs="仿宋_GB2312"/>
                <w:sz w:val="21"/>
                <w:szCs w:val="21"/>
              </w:rPr>
              <w:t>信访举报投诉类申请</w:t>
            </w:r>
            <w:bookmarkEnd w:id="4"/>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default" w:ascii="仿宋_GB2312" w:eastAsia="仿宋_GB2312" w:cs="仿宋_GB2312"/>
                <w:sz w:val="21"/>
                <w:szCs w:val="21"/>
              </w:rPr>
              <w:t>2.重复申请</w:t>
            </w:r>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default" w:ascii="仿宋_GB2312" w:eastAsia="仿宋_GB2312" w:cs="仿宋_GB2312"/>
                <w:sz w:val="21"/>
                <w:szCs w:val="21"/>
              </w:rPr>
              <w:t>3.要求提供公开出版物</w:t>
            </w:r>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90" w:hRule="atLeast"/>
          <w:jc w:val="center"/>
        </w:trPr>
        <w:tc>
          <w:tcPr>
            <w:tcW w:w="42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default" w:ascii="仿宋_GB2312" w:eastAsia="仿宋_GB2312" w:cs="仿宋_GB2312"/>
                <w:sz w:val="21"/>
                <w:szCs w:val="21"/>
              </w:rPr>
              <w:t>4.无正当理由大量反复申请</w:t>
            </w:r>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default" w:ascii="仿宋_GB2312" w:eastAsia="仿宋_GB2312" w:cs="仿宋_GB2312"/>
                <w:sz w:val="21"/>
                <w:szCs w:val="21"/>
              </w:rPr>
              <w:t>5.要求行政机关确认或重新出具已获取信息</w:t>
            </w:r>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黑体" w:hAnsi="宋体" w:eastAsia="黑体" w:cs="黑体"/>
                <w:sz w:val="21"/>
                <w:szCs w:val="21"/>
              </w:rPr>
              <w:t>（六）其他处理</w:t>
            </w:r>
          </w:p>
        </w:tc>
        <w:tc>
          <w:tcPr>
            <w:tcW w:w="2970"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default" w:ascii="仿宋_GB2312" w:eastAsia="仿宋_GB2312" w:cs="仿宋_GB2312"/>
                <w:sz w:val="21"/>
                <w:szCs w:val="21"/>
              </w:rPr>
              <w:t>1.申请人无正当理由逾期不补正、行政机关不再处理其政府信息公开申请</w:t>
            </w:r>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default" w:ascii="仿宋_GB2312" w:eastAsia="仿宋_GB2312" w:cs="仿宋_GB2312"/>
                <w:sz w:val="21"/>
                <w:szCs w:val="21"/>
              </w:rPr>
              <w:t>2.申请人逾期未按收费通知要求缴纳费用、行政机关不再处理其政府信息公开申请</w:t>
            </w:r>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default" w:ascii="仿宋_GB2312" w:eastAsia="仿宋_GB2312" w:cs="仿宋_GB2312"/>
                <w:sz w:val="21"/>
                <w:szCs w:val="21"/>
              </w:rPr>
              <w:t>3.其他</w:t>
            </w:r>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195" w:lineRule="atLeast"/>
              <w:ind w:left="0" w:right="0"/>
              <w:jc w:val="center"/>
            </w:pPr>
            <w:r>
              <w:rPr>
                <w:rFonts w:hint="default" w:ascii="仿宋_GB2312" w:eastAsia="仿宋_GB2312" w:cs="仿宋_GB2312"/>
                <w:sz w:val="21"/>
                <w:szCs w:val="21"/>
              </w:rPr>
              <w:t>2</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仿宋_GB2312" w:eastAsia="仿宋_GB2312" w:cs="仿宋_GB2312"/>
                <w:sz w:val="21"/>
                <w:szCs w:val="21"/>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468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黑体" w:hAnsi="宋体" w:eastAsia="黑体" w:cs="黑体"/>
                <w:sz w:val="21"/>
                <w:szCs w:val="21"/>
              </w:rPr>
              <w:t>（七）总计</w:t>
            </w:r>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195" w:lineRule="atLeast"/>
              <w:ind w:left="0" w:right="0"/>
              <w:jc w:val="center"/>
              <w:rPr>
                <w:rFonts w:hint="eastAsia" w:eastAsia="宋体"/>
                <w:lang w:eastAsia="zh-CN"/>
              </w:rPr>
            </w:pPr>
            <w:r>
              <w:rPr>
                <w:rFonts w:hint="eastAsia" w:ascii="仿宋_GB2312" w:eastAsia="仿宋_GB2312" w:cs="仿宋_GB2312"/>
                <w:sz w:val="21"/>
                <w:szCs w:val="21"/>
                <w:lang w:val="en-US" w:eastAsia="zh-CN"/>
              </w:rPr>
              <w:t>2</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lang w:val="en-US" w:eastAsia="zh-CN"/>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510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黑体" w:hAnsi="宋体" w:eastAsia="黑体" w:cs="黑体"/>
                <w:sz w:val="21"/>
                <w:szCs w:val="21"/>
              </w:rPr>
              <w:t>四、结转下年度继续办理</w:t>
            </w:r>
          </w:p>
        </w:tc>
        <w:tc>
          <w:tcPr>
            <w:tcW w:w="8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widowControl/>
              <w:suppressLineNumbers w:val="0"/>
              <w:wordWrap w:val="0"/>
              <w:jc w:val="center"/>
            </w:pPr>
            <w:r>
              <w:rPr>
                <w:rFonts w:hint="eastAsia"/>
                <w:lang w:val="en-US" w:eastAsia="zh-CN"/>
              </w:rPr>
              <w:t>0</w:t>
            </w:r>
          </w:p>
        </w:tc>
      </w:tr>
    </w:tbl>
    <w:p>
      <w:pPr>
        <w:numPr>
          <w:ilvl w:val="0"/>
          <w:numId w:val="0"/>
        </w:numPr>
        <w:ind w:leftChars="200"/>
        <w:rPr>
          <w:rFonts w:hint="eastAsia" w:ascii="黑体" w:hAnsi="黑体" w:eastAsia="黑体" w:cs="黑体"/>
          <w:b/>
          <w:bCs/>
        </w:rPr>
      </w:pPr>
      <w:r>
        <w:rPr>
          <w:rFonts w:hint="eastAsia" w:ascii="黑体" w:hAnsi="黑体" w:eastAsia="黑体" w:cs="黑体"/>
          <w:sz w:val="32"/>
          <w:szCs w:val="32"/>
          <w:lang w:val="en-US" w:eastAsia="zh-CN"/>
        </w:rPr>
        <w:t>四、</w:t>
      </w:r>
      <w:r>
        <w:rPr>
          <w:rFonts w:hint="eastAsia" w:ascii="黑体" w:hAnsi="黑体" w:eastAsia="黑体" w:cs="黑体"/>
          <w:sz w:val="32"/>
          <w:szCs w:val="32"/>
        </w:rPr>
        <w:t>政府信息公开行政复议、行政诉讼情况</w:t>
      </w:r>
    </w:p>
    <w:tbl>
      <w:tblPr>
        <w:tblStyle w:val="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561"/>
        <w:gridCol w:w="561"/>
        <w:gridCol w:w="561"/>
        <w:gridCol w:w="561"/>
        <w:gridCol w:w="637"/>
        <w:gridCol w:w="522"/>
        <w:gridCol w:w="561"/>
        <w:gridCol w:w="561"/>
        <w:gridCol w:w="561"/>
        <w:gridCol w:w="586"/>
        <w:gridCol w:w="563"/>
        <w:gridCol w:w="561"/>
        <w:gridCol w:w="561"/>
        <w:gridCol w:w="561"/>
        <w:gridCol w:w="59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jc w:val="center"/>
        </w:trPr>
        <w:tc>
          <w:tcPr>
            <w:tcW w:w="3075"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行政复议</w:t>
            </w:r>
          </w:p>
        </w:tc>
        <w:tc>
          <w:tcPr>
            <w:tcW w:w="6000" w:type="dxa"/>
            <w:gridSpan w:val="10"/>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40" w:hRule="atLeast"/>
          <w:jc w:val="center"/>
        </w:trPr>
        <w:tc>
          <w:tcPr>
            <w:tcW w:w="600" w:type="dxa"/>
            <w:vMerge w:val="restart"/>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0" w:right="-165"/>
              <w:jc w:val="center"/>
            </w:pPr>
            <w:r>
              <w:rPr>
                <w:rFonts w:hint="eastAsia" w:ascii="黑体" w:hAnsi="宋体" w:eastAsia="黑体" w:cs="黑体"/>
                <w:sz w:val="19"/>
                <w:szCs w:val="19"/>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0" w:right="-165"/>
              <w:jc w:val="center"/>
            </w:pPr>
            <w:r>
              <w:rPr>
                <w:rFonts w:hint="eastAsia" w:ascii="黑体" w:hAnsi="宋体" w:eastAsia="黑体" w:cs="黑体"/>
                <w:sz w:val="19"/>
                <w:szCs w:val="19"/>
              </w:rPr>
              <w:t>维持</w:t>
            </w:r>
          </w:p>
        </w:tc>
        <w:tc>
          <w:tcPr>
            <w:tcW w:w="600" w:type="dxa"/>
            <w:vMerge w:val="restart"/>
            <w:tcBorders>
              <w:top w:val="nil"/>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5" w:right="-135" w:firstLine="0"/>
              <w:jc w:val="center"/>
            </w:pPr>
            <w:r>
              <w:rPr>
                <w:rFonts w:hint="eastAsia" w:ascii="黑体" w:hAnsi="宋体" w:eastAsia="黑体" w:cs="黑体"/>
                <w:sz w:val="19"/>
                <w:szCs w:val="19"/>
              </w:rPr>
              <w:t>结果纠正</w:t>
            </w:r>
          </w:p>
        </w:tc>
        <w:tc>
          <w:tcPr>
            <w:tcW w:w="600"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75" w:right="-90"/>
              <w:jc w:val="center"/>
            </w:pPr>
            <w:r>
              <w:rPr>
                <w:rFonts w:hint="eastAsia" w:ascii="黑体" w:hAnsi="宋体" w:eastAsia="黑体" w:cs="黑体"/>
                <w:sz w:val="19"/>
                <w:szCs w:val="19"/>
              </w:rPr>
              <w:t>其他结果</w:t>
            </w:r>
          </w:p>
        </w:tc>
        <w:tc>
          <w:tcPr>
            <w:tcW w:w="600"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20"/>
              <w:jc w:val="center"/>
            </w:pPr>
            <w:r>
              <w:rPr>
                <w:rFonts w:hint="eastAsia" w:ascii="黑体" w:hAnsi="宋体" w:eastAsia="黑体" w:cs="黑体"/>
                <w:sz w:val="19"/>
                <w:szCs w:val="19"/>
              </w:rPr>
              <w:t>尚未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20"/>
              <w:jc w:val="center"/>
            </w:pPr>
            <w:r>
              <w:rPr>
                <w:rFonts w:hint="eastAsia" w:ascii="黑体" w:hAnsi="宋体" w:eastAsia="黑体" w:cs="黑体"/>
                <w:sz w:val="19"/>
                <w:szCs w:val="19"/>
              </w:rPr>
              <w:t>审结</w:t>
            </w:r>
          </w:p>
        </w:tc>
        <w:tc>
          <w:tcPr>
            <w:tcW w:w="660"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计</w:t>
            </w:r>
          </w:p>
        </w:tc>
        <w:tc>
          <w:tcPr>
            <w:tcW w:w="2970"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未经复议直接起诉</w:t>
            </w:r>
          </w:p>
        </w:tc>
        <w:tc>
          <w:tcPr>
            <w:tcW w:w="3030"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bookmarkStart w:id="5" w:name="_Hlk67039688"/>
            <w:r>
              <w:rPr>
                <w:rFonts w:hint="eastAsia" w:ascii="黑体" w:hAnsi="宋体" w:eastAsia="黑体" w:cs="黑体"/>
                <w:sz w:val="19"/>
                <w:szCs w:val="19"/>
              </w:rPr>
              <w:t>复议后起诉</w:t>
            </w:r>
            <w:bookmarkEnd w:id="5"/>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00" w:hRule="atLeast"/>
          <w:jc w:val="center"/>
        </w:trPr>
        <w:tc>
          <w:tcPr>
            <w:tcW w:w="600" w:type="dxa"/>
            <w:vMerge w:val="continue"/>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20"/>
              <w:jc w:val="center"/>
            </w:pPr>
            <w:r>
              <w:rPr>
                <w:rFonts w:hint="eastAsia" w:ascii="黑体" w:hAnsi="宋体" w:eastAsia="黑体" w:cs="黑体"/>
                <w:sz w:val="19"/>
                <w:szCs w:val="19"/>
              </w:rPr>
              <w:t>结果维持</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90" w:right="-90"/>
              <w:jc w:val="center"/>
            </w:pPr>
            <w:r>
              <w:rPr>
                <w:rFonts w:hint="eastAsia" w:ascii="黑体" w:hAnsi="宋体" w:eastAsia="黑体" w:cs="黑体"/>
                <w:sz w:val="19"/>
                <w:szCs w:val="19"/>
              </w:rPr>
              <w:t>结果纠正</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35"/>
              <w:jc w:val="center"/>
            </w:pPr>
            <w:r>
              <w:rPr>
                <w:rFonts w:hint="eastAsia" w:ascii="黑体" w:hAnsi="宋体" w:eastAsia="黑体" w:cs="黑体"/>
                <w:sz w:val="19"/>
                <w:szCs w:val="19"/>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35"/>
              <w:jc w:val="center"/>
            </w:pPr>
            <w:r>
              <w:rPr>
                <w:rFonts w:hint="eastAsia"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65" w:right="-150"/>
              <w:jc w:val="center"/>
            </w:pPr>
            <w:r>
              <w:rPr>
                <w:rFonts w:hint="eastAsia" w:ascii="黑体" w:hAnsi="宋体" w:eastAsia="黑体" w:cs="黑体"/>
                <w:sz w:val="19"/>
                <w:szCs w:val="19"/>
              </w:rPr>
              <w:t>尚未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65" w:right="-150"/>
              <w:jc w:val="center"/>
            </w:pPr>
            <w:r>
              <w:rPr>
                <w:rFonts w:hint="eastAsia" w:ascii="黑体" w:hAnsi="宋体" w:eastAsia="黑体" w:cs="黑体"/>
                <w:sz w:val="19"/>
                <w:szCs w:val="19"/>
              </w:rPr>
              <w:t>审结</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总计</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75"/>
              <w:jc w:val="center"/>
            </w:pPr>
            <w:r>
              <w:rPr>
                <w:rFonts w:hint="eastAsia" w:ascii="黑体" w:hAnsi="宋体" w:eastAsia="黑体" w:cs="黑体"/>
                <w:sz w:val="19"/>
                <w:szCs w:val="19"/>
              </w:rPr>
              <w:t>结果维持</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5" w:right="-120"/>
              <w:jc w:val="center"/>
            </w:pPr>
            <w:r>
              <w:rPr>
                <w:rFonts w:hint="eastAsia" w:ascii="黑体" w:hAnsi="宋体" w:eastAsia="黑体" w:cs="黑体"/>
                <w:sz w:val="19"/>
                <w:szCs w:val="19"/>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5" w:right="-120"/>
              <w:jc w:val="center"/>
            </w:pPr>
            <w:r>
              <w:rPr>
                <w:rFonts w:hint="eastAsia" w:ascii="黑体" w:hAnsi="宋体" w:eastAsia="黑体" w:cs="黑体"/>
                <w:sz w:val="19"/>
                <w:szCs w:val="19"/>
              </w:rPr>
              <w:t>纠正</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80" w:right="-135" w:firstLine="0"/>
              <w:jc w:val="center"/>
            </w:pPr>
            <w:r>
              <w:rPr>
                <w:rFonts w:hint="eastAsia" w:ascii="黑体" w:hAnsi="宋体" w:eastAsia="黑体" w:cs="黑体"/>
                <w:sz w:val="19"/>
                <w:szCs w:val="19"/>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80" w:right="-135" w:firstLine="0"/>
              <w:jc w:val="center"/>
            </w:pPr>
            <w:r>
              <w:rPr>
                <w:rFonts w:hint="eastAsia"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60" w:right="-105" w:firstLine="0"/>
              <w:jc w:val="center"/>
            </w:pPr>
            <w:r>
              <w:rPr>
                <w:rFonts w:hint="eastAsia" w:ascii="黑体" w:hAnsi="宋体" w:eastAsia="黑体" w:cs="黑体"/>
                <w:sz w:val="19"/>
                <w:szCs w:val="19"/>
              </w:rPr>
              <w:t>尚未审结</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00" w:type="dxa"/>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6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555"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default" w:eastAsia="宋体"/>
                <w:lang w:val="en-US"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rPr>
                <w:rFonts w:hint="eastAsia" w:eastAsia="宋体"/>
                <w:lang w:val="en-US" w:eastAsia="zh-CN"/>
              </w:rPr>
            </w:pPr>
            <w:r>
              <w:rPr>
                <w:rFonts w:hint="eastAsia"/>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r>
    </w:tbl>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numPr>
          <w:ilvl w:val="0"/>
          <w:numId w:val="0"/>
        </w:num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（一）存在的问题</w:t>
      </w:r>
    </w:p>
    <w:p>
      <w:pPr>
        <w:numPr>
          <w:ilvl w:val="0"/>
          <w:numId w:val="0"/>
        </w:num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信息公开的时效性有待进一步增强，信息公开工作中各业务科室的密切配合程度有待进一步加强。   </w:t>
      </w:r>
    </w:p>
    <w:p>
      <w:pPr>
        <w:numPr>
          <w:ilvl w:val="0"/>
          <w:numId w:val="0"/>
        </w:num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（二）改进措施</w:t>
      </w:r>
    </w:p>
    <w:p>
      <w:pPr>
        <w:numPr>
          <w:ilvl w:val="0"/>
          <w:numId w:val="0"/>
        </w:num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w:t>
      </w:r>
      <w:r>
        <w:rPr>
          <w:rFonts w:ascii="华文仿宋" w:hAnsi="华文仿宋" w:eastAsia="华文仿宋" w:cs="华文仿宋"/>
          <w:i w:val="0"/>
          <w:iCs w:val="0"/>
          <w:caps w:val="0"/>
          <w:color w:val="000000"/>
          <w:spacing w:val="0"/>
          <w:sz w:val="31"/>
          <w:szCs w:val="31"/>
          <w:bdr w:val="none" w:color="auto" w:sz="0" w:space="0"/>
          <w:shd w:val="clear" w:fill="FFFFFF"/>
        </w:rPr>
        <w:t>认真按照“公开是原则，不公开是例外”的总体要求和“公正、公平、便民”的原则，不断提高办事效率，确保政府信息公开工作按工作流程有效运作，更好地为社会公众提供优质的服务。</w:t>
      </w:r>
      <w:r>
        <w:rPr>
          <w:rFonts w:hint="eastAsia" w:ascii="华文仿宋" w:hAnsi="华文仿宋" w:eastAsia="华文仿宋" w:cs="华文仿宋"/>
          <w:i w:val="0"/>
          <w:iCs w:val="0"/>
          <w:caps w:val="0"/>
          <w:color w:val="000000"/>
          <w:spacing w:val="0"/>
          <w:sz w:val="31"/>
          <w:szCs w:val="31"/>
          <w:bdr w:val="none" w:color="auto" w:sz="0" w:space="0"/>
          <w:shd w:val="clear" w:fill="FFFFFF"/>
        </w:rPr>
        <w:t>2022年，市司法局将采取多种形式，尝试采用视频、音频、动画、图片等形式增加信息公开的可读性和多彩性。</w:t>
      </w:r>
    </w:p>
    <w:p>
      <w:pPr>
        <w:numPr>
          <w:ilvl w:val="0"/>
          <w:numId w:val="1"/>
        </w:numPr>
        <w:ind w:firstLine="640" w:firstLineChars="200"/>
        <w:rPr>
          <w:rFonts w:hint="eastAsia" w:ascii="黑体" w:hAnsi="黑体" w:eastAsia="黑体" w:cs="黑体"/>
          <w:sz w:val="32"/>
          <w:szCs w:val="32"/>
        </w:rPr>
      </w:pPr>
      <w:bookmarkStart w:id="6" w:name="_GoBack"/>
      <w:bookmarkEnd w:id="6"/>
      <w:r>
        <w:rPr>
          <w:rFonts w:hint="eastAsia" w:ascii="黑体" w:hAnsi="黑体" w:eastAsia="黑体" w:cs="黑体"/>
          <w:sz w:val="32"/>
          <w:szCs w:val="32"/>
        </w:rPr>
        <w:t>其他需要报告的事项</w:t>
      </w:r>
    </w:p>
    <w:p>
      <w:pPr>
        <w:ind w:firstLine="640" w:firstLineChars="200"/>
        <w:rPr>
          <w:rFonts w:hint="eastAsia" w:ascii="黑体" w:hAnsi="黑体" w:eastAsia="黑体" w:cs="黑体"/>
          <w:sz w:val="32"/>
          <w:szCs w:val="32"/>
        </w:rPr>
      </w:pPr>
      <w:r>
        <w:rPr>
          <w:rFonts w:hint="eastAsia" w:ascii="华文仿宋" w:hAnsi="华文仿宋" w:eastAsia="华文仿宋" w:cs="华文仿宋"/>
          <w:sz w:val="32"/>
          <w:szCs w:val="32"/>
        </w:rPr>
        <w:t>2021年，市司法局政府信息公开</w:t>
      </w:r>
      <w:r>
        <w:rPr>
          <w:rFonts w:hint="eastAsia" w:ascii="华文仿宋" w:hAnsi="华文仿宋" w:eastAsia="华文仿宋" w:cs="华文仿宋"/>
          <w:sz w:val="32"/>
          <w:szCs w:val="32"/>
          <w:lang w:val="en-US" w:eastAsia="zh-CN"/>
        </w:rPr>
        <w:t>工作未发生《政府信息公开信息处理费管理办法》所列情况，</w:t>
      </w:r>
      <w:r>
        <w:rPr>
          <w:rFonts w:hint="eastAsia" w:ascii="华文仿宋" w:hAnsi="华文仿宋" w:eastAsia="华文仿宋" w:cs="华文仿宋"/>
          <w:sz w:val="32"/>
          <w:szCs w:val="32"/>
        </w:rPr>
        <w:t>无收费</w:t>
      </w:r>
      <w:r>
        <w:rPr>
          <w:rFonts w:hint="eastAsia" w:ascii="华文仿宋" w:hAnsi="华文仿宋" w:eastAsia="华文仿宋" w:cs="华文仿宋"/>
          <w:sz w:val="32"/>
          <w:szCs w:val="32"/>
          <w:lang w:val="en-US" w:eastAsia="zh-CN"/>
        </w:rPr>
        <w:t>及减免情况</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2021年度，市司法局收到滕州市政协提案4件、滕州市人大建议1件，均已办理完毕。</w:t>
      </w:r>
    </w:p>
    <w:p>
      <w:pPr>
        <w:numPr>
          <w:ilvl w:val="0"/>
          <w:numId w:val="0"/>
        </w:num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如对本报告有任何疑问，请与滕州市司法局联系（地址：滕州市善国北路78号，邮编：277599，电话：0632-5581769，电子邮箱：tzsf5581769@zz.shandong.cn。</w:t>
      </w:r>
    </w:p>
    <w:p>
      <w:pPr>
        <w:numPr>
          <w:ilvl w:val="0"/>
          <w:numId w:val="0"/>
        </w:numP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滕州市司法局</w:t>
      </w:r>
    </w:p>
    <w:p>
      <w:pPr>
        <w:numPr>
          <w:ilvl w:val="0"/>
          <w:numId w:val="0"/>
        </w:numP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 xml:space="preserve"> 2022年1月7日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F6C104-A3CB-4FB9-B3E1-9F28EC27D4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71FBEFC5-2763-45EC-BB11-AB2F2A67FCCD}"/>
  </w:font>
  <w:font w:name="华文仿宋">
    <w:panose1 w:val="02010600040101010101"/>
    <w:charset w:val="86"/>
    <w:family w:val="auto"/>
    <w:pitch w:val="default"/>
    <w:sig w:usb0="00000287" w:usb1="080F0000" w:usb2="00000000" w:usb3="00000000" w:csb0="0004009F" w:csb1="DFD70000"/>
    <w:embedRegular r:id="rId3" w:fontKey="{149E6D05-F15C-4FF9-B10A-752CE8C21DBA}"/>
  </w:font>
  <w:font w:name="仿宋_GB2312">
    <w:panose1 w:val="02010609030101010101"/>
    <w:charset w:val="86"/>
    <w:family w:val="auto"/>
    <w:pitch w:val="default"/>
    <w:sig w:usb0="00000001" w:usb1="080E0000" w:usb2="00000000" w:usb3="00000000" w:csb0="00040000" w:csb1="00000000"/>
    <w:embedRegular r:id="rId4" w:fontKey="{FE20A8E5-EA12-4DF9-A2C1-1CD9670874BB}"/>
  </w:font>
  <w:font w:name="楷体_GB2312">
    <w:panose1 w:val="02010609030101010101"/>
    <w:charset w:val="86"/>
    <w:family w:val="auto"/>
    <w:pitch w:val="default"/>
    <w:sig w:usb0="00000001" w:usb1="080E0000" w:usb2="00000000" w:usb3="00000000" w:csb0="00040000" w:csb1="00000000"/>
    <w:embedRegular r:id="rId5" w:fontKey="{72D99468-D025-43DC-B837-263FD0E57D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D3928"/>
    <w:multiLevelType w:val="singleLevel"/>
    <w:tmpl w:val="B94D392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TI4YjE0YWI3NTdmYTNjNWM1NDI4YmEyZDc3ODUifQ=="/>
  </w:docVars>
  <w:rsids>
    <w:rsidRoot w:val="7E4403A5"/>
    <w:rsid w:val="034E4C9C"/>
    <w:rsid w:val="104D1783"/>
    <w:rsid w:val="1EBA1146"/>
    <w:rsid w:val="2CA85672"/>
    <w:rsid w:val="2DBE2804"/>
    <w:rsid w:val="37FC6EFA"/>
    <w:rsid w:val="389F11B6"/>
    <w:rsid w:val="3F5B5BD6"/>
    <w:rsid w:val="46567474"/>
    <w:rsid w:val="49EA0282"/>
    <w:rsid w:val="50E46940"/>
    <w:rsid w:val="527A7D88"/>
    <w:rsid w:val="5A470CE5"/>
    <w:rsid w:val="5B0C79B0"/>
    <w:rsid w:val="6166248C"/>
    <w:rsid w:val="62523B65"/>
    <w:rsid w:val="6D3810AF"/>
    <w:rsid w:val="6DE94229"/>
    <w:rsid w:val="6DEF38D1"/>
    <w:rsid w:val="7002466A"/>
    <w:rsid w:val="76A64272"/>
    <w:rsid w:val="76FA2478"/>
    <w:rsid w:val="7780362D"/>
    <w:rsid w:val="7E44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2418</Words>
  <Characters>2532</Characters>
  <Lines>0</Lines>
  <Paragraphs>0</Paragraphs>
  <TotalTime>6</TotalTime>
  <ScaleCrop>false</ScaleCrop>
  <LinksUpToDate>false</LinksUpToDate>
  <CharactersWithSpaces>2608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2022-01-12T03:16:00Z</dcterms:created>
  <dc:creator>朱</dc:creator>
  <cp:lastModifiedBy>朱</cp:lastModifiedBy>
  <dcterms:modified xsi:type="dcterms:W3CDTF">2024-01-12T01:08:26Z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6DDAE870574A44338F7C80FC7D8D9D7B</vt:lpwstr>
  </property>
</Properties>
</file>