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滕州市人力资源和社会保障局</w:t>
      </w:r>
    </w:p>
    <w:p>
      <w:pPr>
        <w:ind w:firstLine="880" w:firstLineChars="200"/>
        <w:jc w:val="center"/>
        <w:rPr>
          <w:rFonts w:ascii="方正小标宋简体" w:hAnsi="方正小标宋简体" w:eastAsia="方正小标宋简体" w:cs="方正小标宋简体"/>
          <w:sz w:val="44"/>
          <w:szCs w:val="44"/>
        </w:rPr>
      </w:pPr>
      <w:bookmarkStart w:id="10" w:name="_GoBack"/>
      <w:bookmarkEnd w:id="10"/>
      <w:r>
        <w:rPr>
          <w:rFonts w:hint="eastAsia" w:ascii="方正小标宋简体" w:hAnsi="方正小标宋简体" w:eastAsia="方正小标宋简体" w:cs="方正小标宋简体"/>
          <w:sz w:val="44"/>
          <w:szCs w:val="44"/>
        </w:rPr>
        <w:t>2021年政府信息公开工作年度报告</w:t>
      </w:r>
    </w:p>
    <w:p>
      <w:pPr>
        <w:ind w:firstLine="640" w:firstLineChars="200"/>
        <w:rPr>
          <w:rFonts w:ascii="仿宋" w:hAnsi="仿宋" w:eastAsia="仿宋" w:cs="仿宋"/>
          <w:sz w:val="32"/>
          <w:szCs w:val="32"/>
        </w:rPr>
      </w:pPr>
      <w:r>
        <w:rPr>
          <w:rFonts w:hint="eastAsia" w:ascii="仿宋" w:hAnsi="仿宋" w:eastAsia="仿宋" w:cs="仿宋"/>
          <w:sz w:val="32"/>
          <w:szCs w:val="32"/>
        </w:rPr>
        <w:t>根据《中华人民共和国政府信息公开条例》和《国务院办公厅政府信息与政务公开办公室关于印发＜中华人民共和国政府信息公开工作年度报告格式＞的通知》（国办公开办函〔2021〕30 号）以及有关文件要求，编制滕州市人力资源和社会保障局2021年政府信息公开工作年度报告。本年度报告中所列数据的统计期限自2021年1月1日起，至2021年12月31日止。</w:t>
      </w:r>
    </w:p>
    <w:p>
      <w:pPr>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ascii="仿宋" w:hAnsi="仿宋" w:eastAsia="仿宋" w:cs="仿宋"/>
          <w:sz w:val="32"/>
          <w:szCs w:val="32"/>
        </w:rPr>
      </w:pPr>
      <w:r>
        <w:rPr>
          <w:rFonts w:hint="eastAsia" w:ascii="仿宋" w:hAnsi="仿宋" w:eastAsia="仿宋" w:cs="仿宋"/>
          <w:sz w:val="32"/>
          <w:szCs w:val="32"/>
        </w:rPr>
        <w:t>2021年，滕州市人力资源和社会保障局认真贯彻落实《中华人民共和国政府信息公开条例》以及省、枣庄、滕州关于政府信息公开工作的具体要求，不断强化公开理念，加强组织领导和工作机制建设，坚持把就业作为最大的民生工程，落实各项稳岗惠企政策，提升劳动力转移就业水平，着力构建覆盖全民、可持续的社会保障体系。着力提升信息公开质量和实效，不断提升人社各项工作的透明度和政策知晓率，强化政策解读，积极回应社会关切，切实增强红河人力资源和社会保障事业信息公开工作。</w:t>
      </w:r>
    </w:p>
    <w:p>
      <w:pPr>
        <w:numPr>
          <w:ilvl w:val="0"/>
          <w:numId w:val="1"/>
        </w:numPr>
        <w:ind w:firstLine="640" w:firstLineChars="200"/>
        <w:rPr>
          <w:rFonts w:hint="eastAsia" w:ascii="仿宋" w:hAnsi="仿宋" w:eastAsia="仿宋" w:cs="仿宋"/>
          <w:sz w:val="32"/>
          <w:szCs w:val="32"/>
        </w:rPr>
      </w:pPr>
      <w:r>
        <w:rPr>
          <w:rFonts w:hint="eastAsia" w:ascii="楷体" w:hAnsi="楷体" w:eastAsia="楷体" w:cs="楷体"/>
          <w:sz w:val="32"/>
          <w:szCs w:val="32"/>
        </w:rPr>
        <w:t>主动公开。</w:t>
      </w:r>
      <w:r>
        <w:rPr>
          <w:rFonts w:hint="eastAsia" w:ascii="仿宋" w:hAnsi="仿宋" w:eastAsia="仿宋" w:cs="仿宋"/>
          <w:sz w:val="32"/>
          <w:szCs w:val="32"/>
        </w:rPr>
        <w:t>围绕人社中心工作，针对公众关注的民生问题，积极规范做好政府信息主动公开工作，2021年，我局在滕州市政府信息公开网共发布信息</w:t>
      </w:r>
      <w:r>
        <w:rPr>
          <w:rFonts w:hint="eastAsia" w:ascii="仿宋" w:hAnsi="仿宋" w:eastAsia="仿宋" w:cs="仿宋"/>
          <w:sz w:val="32"/>
          <w:szCs w:val="32"/>
          <w:lang w:val="en-US" w:eastAsia="zh-CN"/>
        </w:rPr>
        <w:t>119</w:t>
      </w:r>
      <w:r>
        <w:rPr>
          <w:rFonts w:hint="eastAsia" w:ascii="仿宋" w:hAnsi="仿宋" w:eastAsia="仿宋" w:cs="仿宋"/>
          <w:sz w:val="32"/>
          <w:szCs w:val="32"/>
        </w:rPr>
        <w:t>余条。其中，通知公告5条，政策文件4条，规划计划1条，人事信息5条，财政信息10条，行政权力2条，建议提案14条，重点领域65条（包括政府工作报告4条、行政执法公示19条、“双随机、一公开”监管2条、社会保险15条、稳岗就业25条），组织管理12条，政务公开基本目录1条。同时，积极运用政务新媒体，推动政务公开和信息发布，“滕州市人社局”微信公众号全年共发布人力资源社会保障相关信息114条，累计阅读量达90万余人次。</w:t>
      </w: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widowControl w:val="0"/>
        <w:numPr>
          <w:numId w:val="0"/>
        </w:numPr>
        <w:jc w:val="both"/>
        <w:rPr>
          <w:rFonts w:hint="eastAsia" w:ascii="仿宋" w:hAnsi="仿宋" w:eastAsia="仿宋" w:cs="仿宋"/>
          <w:sz w:val="32"/>
          <w:szCs w:val="32"/>
        </w:rPr>
      </w:pPr>
    </w:p>
    <w:p>
      <w:pPr>
        <w:ind w:firstLine="420" w:firstLineChars="20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column">
              <wp:posOffset>-247650</wp:posOffset>
            </wp:positionH>
            <wp:positionV relativeFrom="paragraph">
              <wp:posOffset>100965</wp:posOffset>
            </wp:positionV>
            <wp:extent cx="5804535" cy="3694430"/>
            <wp:effectExtent l="5080" t="4445" r="19685" b="1587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 w:hAnsi="仿宋" w:eastAsia="仿宋" w:cs="仿宋"/>
          <w:sz w:val="32"/>
          <w:szCs w:val="32"/>
          <w:lang w:eastAsia="zh-CN"/>
        </w:rPr>
        <w:t>　　</w:t>
      </w:r>
    </w:p>
    <w:p>
      <w:pPr>
        <w:ind w:firstLine="640" w:firstLineChars="200"/>
        <w:rPr>
          <w:rFonts w:ascii="仿宋" w:hAnsi="仿宋" w:eastAsia="仿宋" w:cs="仿宋"/>
          <w:sz w:val="32"/>
          <w:szCs w:val="32"/>
        </w:rPr>
      </w:pPr>
      <w:r>
        <w:rPr>
          <w:rFonts w:hint="eastAsia" w:ascii="楷体" w:hAnsi="楷体" w:eastAsia="楷体" w:cs="楷体"/>
          <w:sz w:val="32"/>
          <w:szCs w:val="32"/>
        </w:rPr>
        <w:t>（二）依申请公开。</w:t>
      </w:r>
      <w:r>
        <w:rPr>
          <w:rFonts w:hint="eastAsia" w:ascii="仿宋" w:hAnsi="仿宋" w:eastAsia="仿宋" w:cs="仿宋"/>
          <w:sz w:val="32"/>
          <w:szCs w:val="32"/>
        </w:rPr>
        <w:t>2021年，我局共收到6件政府信息公开申请，均为自然人提交，全部按照办理流程和时限要求</w:t>
      </w:r>
      <w:r>
        <w:rPr>
          <w:rFonts w:hint="eastAsia" w:ascii="仿宋" w:hAnsi="仿宋" w:eastAsia="仿宋" w:cs="仿宋"/>
          <w:sz w:val="32"/>
          <w:szCs w:val="32"/>
          <w:lang w:eastAsia="zh-CN"/>
        </w:rPr>
        <w:t>作出</w:t>
      </w:r>
      <w:r>
        <w:rPr>
          <w:rFonts w:hint="eastAsia" w:ascii="仿宋" w:hAnsi="仿宋" w:eastAsia="仿宋" w:cs="仿宋"/>
          <w:sz w:val="32"/>
          <w:szCs w:val="32"/>
        </w:rPr>
        <w:t>答复，未发生因政府信息公开工作引起的行政复议、行政诉讼。</w:t>
      </w:r>
    </w:p>
    <w:p>
      <w:pPr>
        <w:ind w:firstLine="640" w:firstLineChars="200"/>
        <w:rPr>
          <w:rFonts w:ascii="仿宋" w:hAnsi="仿宋" w:eastAsia="仿宋" w:cs="仿宋"/>
          <w:sz w:val="32"/>
          <w:szCs w:val="32"/>
        </w:rPr>
      </w:pPr>
      <w:r>
        <w:rPr>
          <w:rFonts w:hint="eastAsia" w:ascii="楷体" w:hAnsi="楷体" w:eastAsia="楷体" w:cs="楷体"/>
          <w:sz w:val="32"/>
          <w:szCs w:val="32"/>
        </w:rPr>
        <w:t>（三）政府信息管理。</w:t>
      </w:r>
      <w:r>
        <w:rPr>
          <w:rFonts w:hint="eastAsia" w:ascii="仿宋" w:hAnsi="仿宋" w:eastAsia="仿宋" w:cs="仿宋"/>
          <w:sz w:val="32"/>
          <w:szCs w:val="32"/>
        </w:rPr>
        <w:t>严格落实局政务公开保密审查管理办法，要求部门提报公开信息时，部门负责人和分管领导要严格把关，做到一文一审。对必须公开和可以公开的信息及时公开，对不属于公开事项的严格遵守保密规定，确保不出差错。</w:t>
      </w:r>
    </w:p>
    <w:p>
      <w:pPr>
        <w:ind w:firstLine="640" w:firstLineChars="200"/>
        <w:rPr>
          <w:rFonts w:ascii="仿宋" w:hAnsi="仿宋" w:eastAsia="仿宋" w:cs="仿宋"/>
          <w:sz w:val="32"/>
          <w:szCs w:val="32"/>
        </w:rPr>
      </w:pPr>
      <w:r>
        <w:rPr>
          <w:rFonts w:hint="eastAsia" w:ascii="楷体" w:hAnsi="楷体" w:eastAsia="楷体" w:cs="楷体"/>
          <w:sz w:val="32"/>
          <w:szCs w:val="32"/>
        </w:rPr>
        <w:t>（四）政府信息公开平台建设。</w:t>
      </w:r>
      <w:r>
        <w:rPr>
          <w:rFonts w:hint="eastAsia" w:ascii="仿宋" w:hAnsi="仿宋" w:eastAsia="仿宋" w:cs="仿宋"/>
          <w:sz w:val="32"/>
          <w:szCs w:val="32"/>
        </w:rPr>
        <w:t>以滕州市政府信息公开网、滕州市人力资源和</w:t>
      </w:r>
      <w:r>
        <w:rPr>
          <w:rFonts w:hint="eastAsia" w:ascii="仿宋" w:hAnsi="仿宋" w:eastAsia="仿宋" w:cs="仿宋"/>
          <w:sz w:val="32"/>
          <w:szCs w:val="32"/>
          <w:lang w:eastAsia="zh-CN"/>
        </w:rPr>
        <w:t>社会</w:t>
      </w:r>
      <w:r>
        <w:rPr>
          <w:rFonts w:hint="eastAsia" w:ascii="仿宋" w:hAnsi="仿宋" w:eastAsia="仿宋" w:cs="仿宋"/>
          <w:sz w:val="32"/>
          <w:szCs w:val="32"/>
        </w:rPr>
        <w:t>保障局网站为主阵地，同时积极发挥政务微信等新媒体作用，充分运用政务新媒体进行政策、信息发布，促进政民互动，形成了自身特色，“滕州市人社局”微信公众平台开通至今，关注用户达到25余万人，进一步扩大了人社信息公开的影响力和覆盖面。</w:t>
      </w:r>
    </w:p>
    <w:p>
      <w:pPr>
        <w:ind w:firstLine="640" w:firstLineChars="200"/>
        <w:rPr>
          <w:rFonts w:ascii="仿宋" w:hAnsi="仿宋" w:eastAsia="仿宋" w:cs="仿宋"/>
          <w:sz w:val="32"/>
          <w:szCs w:val="32"/>
        </w:rPr>
      </w:pPr>
      <w:r>
        <w:rPr>
          <w:rFonts w:hint="eastAsia" w:ascii="楷体" w:hAnsi="楷体" w:eastAsia="楷体" w:cs="楷体"/>
          <w:sz w:val="32"/>
          <w:szCs w:val="32"/>
        </w:rPr>
        <w:t>（五）监督保障。</w:t>
      </w:r>
      <w:r>
        <w:rPr>
          <w:rFonts w:hint="eastAsia" w:ascii="仿宋" w:hAnsi="仿宋" w:eastAsia="仿宋" w:cs="仿宋"/>
          <w:sz w:val="32"/>
          <w:szCs w:val="32"/>
        </w:rPr>
        <w:t>根据人员变化情况和工作需要，及时调整滕州市人力资源和社会保障局政务公开工作领导小组。领导小组对全局政务公开工作实行统一领导，就有关重大问题</w:t>
      </w:r>
      <w:r>
        <w:rPr>
          <w:rFonts w:hint="eastAsia" w:ascii="仿宋" w:hAnsi="仿宋" w:eastAsia="仿宋" w:cs="仿宋"/>
          <w:sz w:val="32"/>
          <w:szCs w:val="32"/>
          <w:lang w:eastAsia="zh-CN"/>
        </w:rPr>
        <w:t>作出</w:t>
      </w:r>
      <w:r>
        <w:rPr>
          <w:rFonts w:hint="eastAsia" w:ascii="仿宋" w:hAnsi="仿宋" w:eastAsia="仿宋" w:cs="仿宋"/>
          <w:sz w:val="32"/>
          <w:szCs w:val="32"/>
        </w:rPr>
        <w:t>决策部署，对我局各单位、各科室政务公开工作进行监督检查。并召开专题会议，对政务公开工作进行细化分解，明确任务，压实责任，确保各项工作落实到位。</w:t>
      </w:r>
    </w:p>
    <w:p>
      <w:pPr>
        <w:ind w:firstLine="640" w:firstLineChars="200"/>
        <w:rPr>
          <w:rFonts w:ascii="仿宋" w:hAnsi="仿宋" w:eastAsia="仿宋" w:cs="仿宋"/>
          <w:sz w:val="32"/>
          <w:szCs w:val="32"/>
        </w:rPr>
      </w:pPr>
      <w:r>
        <w:rPr>
          <w:rFonts w:hint="eastAsia" w:ascii="仿宋" w:hAnsi="仿宋" w:eastAsia="仿宋" w:cs="仿宋"/>
          <w:sz w:val="32"/>
          <w:szCs w:val="32"/>
        </w:rPr>
        <w:t>2021年，滕州市人力资源和社会保障局未发生因政府信息公开审查不当或保密审查机构未履行保密审查职责而引起的失泄密情况。2021年度未进行社会评议，未发生责任追究情况。</w:t>
      </w:r>
    </w:p>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119.16882万元</w:t>
            </w:r>
          </w:p>
        </w:tc>
      </w:tr>
    </w:tbl>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ind w:firstLine="420" w:firstLineChars="200"/>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ind w:firstLine="420" w:firstLineChars="200"/>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6</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5</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67" w:type="dxa"/>
            <w:tcMar>
              <w:left w:w="108" w:type="dxa"/>
              <w:right w:w="108" w:type="dxa"/>
            </w:tcMa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ind w:firstLine="420" w:firstLineChars="200"/>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420" w:firstLineChars="2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6</w:t>
            </w:r>
          </w:p>
        </w:tc>
        <w:tc>
          <w:tcPr>
            <w:tcW w:w="567" w:type="dxa"/>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widowControl/>
              <w:spacing w:after="180"/>
              <w:jc w:val="center"/>
              <w:rPr>
                <w:rFonts w:ascii="仿宋_GB2312" w:hAnsi="Times New Roman" w:eastAsia="仿宋_GB2312" w:cs="Times New Roman"/>
                <w:szCs w:val="21"/>
              </w:rPr>
            </w:pPr>
            <w:r>
              <w:rPr>
                <w:rFonts w:hint="eastAsia" w:ascii="仿宋_GB2312" w:hAnsi="Times New Roman" w:eastAsia="仿宋_GB2312"/>
                <w:szCs w:val="21"/>
              </w:rPr>
              <w:t>0</w:t>
            </w:r>
          </w:p>
        </w:tc>
      </w:tr>
    </w:tbl>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541"/>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6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right="-170" w:rightChars="-81"/>
              <w:jc w:val="both"/>
              <w:rPr>
                <w:rFonts w:ascii="黑体" w:hAnsi="黑体" w:eastAsia="黑体"/>
                <w:kern w:val="0"/>
                <w:sz w:val="20"/>
                <w:szCs w:val="20"/>
              </w:rPr>
            </w:pPr>
            <w:r>
              <w:rPr>
                <w:rFonts w:ascii="黑体" w:hAnsi="黑体" w:eastAsia="黑体"/>
                <w:kern w:val="0"/>
                <w:sz w:val="20"/>
                <w:szCs w:val="20"/>
              </w:rPr>
              <w:t>结果</w:t>
            </w:r>
          </w:p>
          <w:p>
            <w:pPr>
              <w:widowControl/>
              <w:ind w:right="-170" w:rightChars="-81"/>
              <w:jc w:val="both"/>
              <w:rPr>
                <w:rFonts w:ascii="黑体" w:hAnsi="黑体" w:eastAsia="黑体"/>
              </w:rPr>
            </w:pPr>
            <w:r>
              <w:rPr>
                <w:rFonts w:ascii="黑体" w:hAnsi="黑体" w:eastAsia="黑体"/>
                <w:kern w:val="0"/>
                <w:sz w:val="20"/>
                <w:szCs w:val="20"/>
              </w:rPr>
              <w:t>维持</w:t>
            </w:r>
          </w:p>
        </w:tc>
        <w:tc>
          <w:tcPr>
            <w:tcW w:w="541"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right="-118" w:rightChars="-56"/>
              <w:jc w:val="both"/>
              <w:rPr>
                <w:rFonts w:ascii="黑体" w:hAnsi="黑体" w:eastAsia="黑体"/>
                <w:kern w:val="0"/>
                <w:sz w:val="20"/>
                <w:szCs w:val="20"/>
              </w:rPr>
            </w:pPr>
            <w:r>
              <w:rPr>
                <w:rFonts w:ascii="黑体" w:hAnsi="黑体" w:eastAsia="黑体"/>
                <w:kern w:val="0"/>
                <w:sz w:val="20"/>
                <w:szCs w:val="20"/>
              </w:rPr>
              <w:t>尚未</w:t>
            </w:r>
          </w:p>
          <w:p>
            <w:pPr>
              <w:widowControl/>
              <w:ind w:right="-118" w:rightChars="-56"/>
              <w:jc w:val="both"/>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both"/>
              <w:rPr>
                <w:rFonts w:ascii="黑体" w:hAnsi="黑体" w:eastAsia="黑体"/>
              </w:rPr>
            </w:pPr>
            <w:r>
              <w:rPr>
                <w:rFonts w:ascii="黑体" w:hAnsi="黑体" w:eastAsia="黑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6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41"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right="-136" w:rightChars="-65"/>
              <w:jc w:val="both"/>
              <w:rPr>
                <w:rFonts w:ascii="黑体" w:hAnsi="黑体" w:eastAsia="黑体"/>
                <w:kern w:val="0"/>
                <w:sz w:val="20"/>
                <w:szCs w:val="20"/>
              </w:rPr>
            </w:pPr>
            <w:r>
              <w:rPr>
                <w:rFonts w:ascii="黑体" w:hAnsi="黑体" w:eastAsia="黑体"/>
                <w:kern w:val="0"/>
                <w:sz w:val="20"/>
                <w:szCs w:val="20"/>
              </w:rPr>
              <w:t>其他</w:t>
            </w:r>
          </w:p>
          <w:p>
            <w:pPr>
              <w:widowControl/>
              <w:ind w:right="-136" w:rightChars="-65"/>
              <w:jc w:val="both"/>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right="-153" w:rightChars="-73"/>
              <w:jc w:val="both"/>
              <w:rPr>
                <w:rFonts w:ascii="黑体" w:hAnsi="黑体" w:eastAsia="黑体"/>
                <w:kern w:val="0"/>
                <w:sz w:val="20"/>
                <w:szCs w:val="20"/>
              </w:rPr>
            </w:pPr>
            <w:r>
              <w:rPr>
                <w:rFonts w:ascii="黑体" w:hAnsi="黑体" w:eastAsia="黑体"/>
                <w:kern w:val="0"/>
                <w:sz w:val="20"/>
                <w:szCs w:val="20"/>
              </w:rPr>
              <w:t>尚未</w:t>
            </w:r>
          </w:p>
          <w:p>
            <w:pPr>
              <w:widowControl/>
              <w:ind w:right="-153" w:rightChars="-73"/>
              <w:jc w:val="both"/>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right="-124" w:rightChars="-59"/>
              <w:jc w:val="both"/>
              <w:rPr>
                <w:rFonts w:ascii="黑体" w:hAnsi="黑体" w:eastAsia="黑体"/>
                <w:kern w:val="0"/>
                <w:sz w:val="20"/>
                <w:szCs w:val="20"/>
              </w:rPr>
            </w:pPr>
            <w:r>
              <w:rPr>
                <w:rFonts w:ascii="黑体" w:hAnsi="黑体" w:eastAsia="黑体"/>
                <w:kern w:val="0"/>
                <w:sz w:val="20"/>
                <w:szCs w:val="20"/>
              </w:rPr>
              <w:t>结果</w:t>
            </w:r>
          </w:p>
          <w:p>
            <w:pPr>
              <w:widowControl/>
              <w:ind w:right="-124" w:rightChars="-59"/>
              <w:jc w:val="both"/>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right="-134" w:rightChars="-64"/>
              <w:jc w:val="both"/>
              <w:rPr>
                <w:rFonts w:ascii="黑体" w:hAnsi="黑体" w:eastAsia="黑体"/>
                <w:kern w:val="0"/>
                <w:sz w:val="20"/>
                <w:szCs w:val="20"/>
              </w:rPr>
            </w:pPr>
            <w:r>
              <w:rPr>
                <w:rFonts w:ascii="黑体" w:hAnsi="黑体" w:eastAsia="黑体"/>
                <w:kern w:val="0"/>
                <w:sz w:val="20"/>
                <w:szCs w:val="20"/>
              </w:rPr>
              <w:t>其他</w:t>
            </w:r>
          </w:p>
          <w:p>
            <w:pPr>
              <w:widowControl/>
              <w:ind w:right="-134" w:rightChars="-64"/>
              <w:jc w:val="both"/>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6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541"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r>
    </w:tbl>
    <w:p>
      <w:pPr>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ind w:firstLine="640" w:firstLineChars="200"/>
        <w:rPr>
          <w:rFonts w:ascii="仿宋" w:hAnsi="仿宋" w:eastAsia="仿宋" w:cs="仿宋"/>
          <w:sz w:val="32"/>
          <w:szCs w:val="32"/>
        </w:rPr>
      </w:pPr>
      <w:r>
        <w:rPr>
          <w:rFonts w:hint="eastAsia" w:ascii="仿宋" w:hAnsi="仿宋" w:eastAsia="仿宋" w:cs="仿宋"/>
          <w:sz w:val="32"/>
          <w:szCs w:val="32"/>
        </w:rPr>
        <w:t>2021年，我局政府信息公开工作取得了一定成绩，但仍存在一些不足。一是对政府信息公开的重要性认识不足，没有从提升政府治理能力、建设法治政府的高度来把握，缺乏工作主动性。二是政务公开长效机制有待进一步完善，现有制度执行力度还有待加强。三是信息公开时效需进一步提高，个别涉及上报审批原因，信息更新不够及时。</w:t>
      </w:r>
    </w:p>
    <w:p>
      <w:pPr>
        <w:ind w:firstLine="640" w:firstLineChars="200"/>
        <w:rPr>
          <w:rFonts w:ascii="仿宋" w:hAnsi="仿宋" w:eastAsia="仿宋" w:cs="仿宋"/>
          <w:sz w:val="32"/>
          <w:szCs w:val="32"/>
        </w:rPr>
      </w:pPr>
      <w:r>
        <w:rPr>
          <w:rFonts w:hint="eastAsia" w:ascii="仿宋" w:hAnsi="仿宋" w:eastAsia="仿宋" w:cs="仿宋"/>
          <w:sz w:val="32"/>
          <w:szCs w:val="32"/>
        </w:rPr>
        <w:t>在下一步工作中，我局将进一步规范政府信息公开流程，更加注重需求导向，不断提高信息公开的“含金量”。一是进一步完善我局政务公开制度，促进信息公开工作标准化、规范化。同时组织人员开展业务培训，切实提高各部门人员信息公开工作水平和思想意识。二是建立完善政务公开工作长效机制。把政务公开工作纳入局年度考核的范畴，完善政务公开保密审查、更新维护和考核评估等工作制度，促进政务公开工作制度化发展。三是增强信息公开工作主动性。进一步拓展政府信息公开渠道，重点使用好报纸、网络等媒介，加大政府信息公开工作力度，及时、全面公开和更新政府信息，使群众知晓、支持并参与到人力资源和社会保障工作中来，进一步拓展全市人力资源和社会保障事业新局面。</w:t>
      </w:r>
    </w:p>
    <w:p>
      <w:pPr>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ascii="仿宋" w:hAnsi="仿宋" w:eastAsia="仿宋" w:cs="仿宋"/>
          <w:sz w:val="32"/>
          <w:szCs w:val="32"/>
        </w:rPr>
      </w:pPr>
      <w:r>
        <w:rPr>
          <w:rFonts w:hint="eastAsia" w:ascii="仿宋" w:hAnsi="仿宋" w:eastAsia="仿宋" w:cs="仿宋"/>
          <w:sz w:val="32"/>
          <w:szCs w:val="32"/>
        </w:rPr>
        <w:t>1.依据《政府信息公开信息处理费管理办法》，本年度未发生信息处理费收取的情况。</w:t>
      </w:r>
    </w:p>
    <w:p>
      <w:pPr>
        <w:ind w:firstLine="640" w:firstLineChars="200"/>
        <w:rPr>
          <w:rFonts w:ascii="仿宋" w:hAnsi="仿宋" w:eastAsia="仿宋" w:cs="仿宋"/>
          <w:sz w:val="32"/>
          <w:szCs w:val="32"/>
        </w:rPr>
      </w:pPr>
      <w:r>
        <w:rPr>
          <w:rFonts w:hint="eastAsia" w:ascii="仿宋" w:hAnsi="仿宋" w:eastAsia="仿宋" w:cs="仿宋"/>
          <w:sz w:val="32"/>
          <w:szCs w:val="32"/>
        </w:rPr>
        <w:t>2.本行政机关人大代表建议和政协提案办理结果公开情况：</w:t>
      </w:r>
    </w:p>
    <w:p>
      <w:pPr>
        <w:ind w:firstLine="640" w:firstLineChars="200"/>
        <w:rPr>
          <w:rFonts w:ascii="仿宋" w:hAnsi="仿宋" w:eastAsia="仿宋" w:cs="仿宋"/>
          <w:sz w:val="32"/>
          <w:szCs w:val="32"/>
        </w:rPr>
      </w:pPr>
      <w:r>
        <w:rPr>
          <w:rFonts w:hint="eastAsia" w:ascii="仿宋" w:hAnsi="仿宋" w:eastAsia="仿宋" w:cs="仿宋"/>
          <w:sz w:val="32"/>
          <w:szCs w:val="32"/>
        </w:rPr>
        <w:t>2021年，滕州市人力资源和社会保障局共承办滕州市市级人大建议1件、滕州市级政协提案11件。按照办理程序，所承办的代表建议和政协提案</w:t>
      </w:r>
      <w:r>
        <w:rPr>
          <w:rFonts w:hint="eastAsia" w:ascii="仿宋" w:hAnsi="仿宋" w:eastAsia="仿宋" w:cs="仿宋"/>
          <w:sz w:val="32"/>
          <w:szCs w:val="32"/>
          <w:lang w:val="en-US" w:eastAsia="zh-CN"/>
        </w:rPr>
        <w:t>全部</w:t>
      </w:r>
      <w:r>
        <w:rPr>
          <w:rFonts w:hint="eastAsia" w:ascii="仿宋" w:hAnsi="仿宋" w:eastAsia="仿宋" w:cs="仿宋"/>
          <w:sz w:val="32"/>
          <w:szCs w:val="32"/>
        </w:rPr>
        <w:t>面复完毕，面复结果均已在滕州市政府信息公开网公开发布。</w:t>
      </w:r>
    </w:p>
    <w:p>
      <w:pPr>
        <w:ind w:firstLine="640" w:firstLineChars="200"/>
        <w:jc w:val="right"/>
        <w:rPr>
          <w:rFonts w:ascii="仿宋" w:hAnsi="仿宋" w:eastAsia="仿宋" w:cs="仿宋"/>
          <w:sz w:val="32"/>
          <w:szCs w:val="32"/>
        </w:rPr>
      </w:pPr>
      <w:r>
        <w:rPr>
          <w:rFonts w:hint="eastAsia" w:ascii="仿宋" w:hAnsi="仿宋" w:eastAsia="仿宋" w:cs="仿宋"/>
          <w:sz w:val="32"/>
          <w:szCs w:val="32"/>
        </w:rPr>
        <w:t>滕州市人力资源和社会保障局</w:t>
      </w:r>
    </w:p>
    <w:p>
      <w:pPr>
        <w:ind w:firstLine="640" w:firstLineChars="200"/>
        <w:jc w:val="right"/>
        <w:rPr>
          <w:rFonts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73AAA"/>
    <w:multiLevelType w:val="singleLevel"/>
    <w:tmpl w:val="A9373A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WJiMGYzN2RhNDg0YmYzNjBjNjgxMGJlZWYyMTIifQ=="/>
  </w:docVars>
  <w:rsids>
    <w:rsidRoot w:val="04F67CED"/>
    <w:rsid w:val="0006151E"/>
    <w:rsid w:val="001146DB"/>
    <w:rsid w:val="00355416"/>
    <w:rsid w:val="008D313A"/>
    <w:rsid w:val="00ED4ABC"/>
    <w:rsid w:val="00FB2BA3"/>
    <w:rsid w:val="013A3F8C"/>
    <w:rsid w:val="018C519F"/>
    <w:rsid w:val="01C721D1"/>
    <w:rsid w:val="01F3521E"/>
    <w:rsid w:val="021A27AB"/>
    <w:rsid w:val="023A4BFB"/>
    <w:rsid w:val="02D23086"/>
    <w:rsid w:val="032B09E8"/>
    <w:rsid w:val="035B7C5F"/>
    <w:rsid w:val="03A32C74"/>
    <w:rsid w:val="04275653"/>
    <w:rsid w:val="048B5BE2"/>
    <w:rsid w:val="04F67CED"/>
    <w:rsid w:val="05C70E9C"/>
    <w:rsid w:val="063D115E"/>
    <w:rsid w:val="06BF51D2"/>
    <w:rsid w:val="07356C91"/>
    <w:rsid w:val="087150EF"/>
    <w:rsid w:val="08A54D99"/>
    <w:rsid w:val="09047D11"/>
    <w:rsid w:val="09907BA7"/>
    <w:rsid w:val="0A60366D"/>
    <w:rsid w:val="0AE0655C"/>
    <w:rsid w:val="0C601702"/>
    <w:rsid w:val="0D4C1C87"/>
    <w:rsid w:val="0E0D58BA"/>
    <w:rsid w:val="0E745939"/>
    <w:rsid w:val="0F046E28"/>
    <w:rsid w:val="0F087E2F"/>
    <w:rsid w:val="0FFA6FF1"/>
    <w:rsid w:val="10F44B0F"/>
    <w:rsid w:val="11823EC9"/>
    <w:rsid w:val="133A1634"/>
    <w:rsid w:val="13B62550"/>
    <w:rsid w:val="14B666DE"/>
    <w:rsid w:val="1557566D"/>
    <w:rsid w:val="15B66837"/>
    <w:rsid w:val="15FD4466"/>
    <w:rsid w:val="1626576B"/>
    <w:rsid w:val="16A06855"/>
    <w:rsid w:val="17AB7911"/>
    <w:rsid w:val="17C35773"/>
    <w:rsid w:val="19FA6B34"/>
    <w:rsid w:val="1A5F2FF9"/>
    <w:rsid w:val="1AE14356"/>
    <w:rsid w:val="1AF26BB7"/>
    <w:rsid w:val="1C297D63"/>
    <w:rsid w:val="1C397DC9"/>
    <w:rsid w:val="1EEC5078"/>
    <w:rsid w:val="1F106FB8"/>
    <w:rsid w:val="1F62533A"/>
    <w:rsid w:val="1FCF0C21"/>
    <w:rsid w:val="206051B5"/>
    <w:rsid w:val="21681B68"/>
    <w:rsid w:val="21BA300B"/>
    <w:rsid w:val="21D77277"/>
    <w:rsid w:val="226C12D2"/>
    <w:rsid w:val="249E5066"/>
    <w:rsid w:val="26C32B62"/>
    <w:rsid w:val="26D1527F"/>
    <w:rsid w:val="28E842D2"/>
    <w:rsid w:val="28FB408A"/>
    <w:rsid w:val="2BFF63EA"/>
    <w:rsid w:val="2CB52F4D"/>
    <w:rsid w:val="2D007EFF"/>
    <w:rsid w:val="2DE92EC1"/>
    <w:rsid w:val="2EFA558F"/>
    <w:rsid w:val="2F0B32F8"/>
    <w:rsid w:val="30766E97"/>
    <w:rsid w:val="30CC7E97"/>
    <w:rsid w:val="314564AC"/>
    <w:rsid w:val="31556F8C"/>
    <w:rsid w:val="318555E4"/>
    <w:rsid w:val="31C81974"/>
    <w:rsid w:val="32FC5B42"/>
    <w:rsid w:val="33661445"/>
    <w:rsid w:val="33D834CC"/>
    <w:rsid w:val="33EF4F96"/>
    <w:rsid w:val="34311DD7"/>
    <w:rsid w:val="356C7F43"/>
    <w:rsid w:val="36712C55"/>
    <w:rsid w:val="37265173"/>
    <w:rsid w:val="374303C4"/>
    <w:rsid w:val="379C3687"/>
    <w:rsid w:val="384B0848"/>
    <w:rsid w:val="38A50A20"/>
    <w:rsid w:val="38C16934"/>
    <w:rsid w:val="39002C48"/>
    <w:rsid w:val="3A227A5C"/>
    <w:rsid w:val="3A3C7DF7"/>
    <w:rsid w:val="3D22462E"/>
    <w:rsid w:val="3DF072E1"/>
    <w:rsid w:val="3DFF671E"/>
    <w:rsid w:val="3E32264F"/>
    <w:rsid w:val="3EFE4C27"/>
    <w:rsid w:val="3F1A21E1"/>
    <w:rsid w:val="3F4A1C1A"/>
    <w:rsid w:val="3FB377C0"/>
    <w:rsid w:val="3FFD4EDF"/>
    <w:rsid w:val="40644F5E"/>
    <w:rsid w:val="413D22F2"/>
    <w:rsid w:val="418D13E5"/>
    <w:rsid w:val="421901A8"/>
    <w:rsid w:val="43212C92"/>
    <w:rsid w:val="43335CC1"/>
    <w:rsid w:val="43B21B3C"/>
    <w:rsid w:val="43DD305D"/>
    <w:rsid w:val="45B95404"/>
    <w:rsid w:val="473E2065"/>
    <w:rsid w:val="4A69564B"/>
    <w:rsid w:val="4AE64EED"/>
    <w:rsid w:val="4B4A79AF"/>
    <w:rsid w:val="4BDE0179"/>
    <w:rsid w:val="4BE86A43"/>
    <w:rsid w:val="4C3063C3"/>
    <w:rsid w:val="4C5E6D05"/>
    <w:rsid w:val="4C6850EC"/>
    <w:rsid w:val="4D0470DF"/>
    <w:rsid w:val="4DC5090D"/>
    <w:rsid w:val="4E127DA7"/>
    <w:rsid w:val="4E8D742E"/>
    <w:rsid w:val="510C6D30"/>
    <w:rsid w:val="520E326B"/>
    <w:rsid w:val="524D13AE"/>
    <w:rsid w:val="52576018"/>
    <w:rsid w:val="526A01B2"/>
    <w:rsid w:val="537A4D81"/>
    <w:rsid w:val="53AE40CE"/>
    <w:rsid w:val="57A71560"/>
    <w:rsid w:val="583848AE"/>
    <w:rsid w:val="5875165E"/>
    <w:rsid w:val="58B20EEC"/>
    <w:rsid w:val="5919023C"/>
    <w:rsid w:val="59C77C8A"/>
    <w:rsid w:val="5A763A35"/>
    <w:rsid w:val="5A9D30EE"/>
    <w:rsid w:val="5AC950B6"/>
    <w:rsid w:val="5ADF7263"/>
    <w:rsid w:val="5BC87CF7"/>
    <w:rsid w:val="5C0D4457"/>
    <w:rsid w:val="5C7165E1"/>
    <w:rsid w:val="5CA22C3E"/>
    <w:rsid w:val="5D9C768D"/>
    <w:rsid w:val="5E4F2D9E"/>
    <w:rsid w:val="5E6301AB"/>
    <w:rsid w:val="5E806F6F"/>
    <w:rsid w:val="5F506981"/>
    <w:rsid w:val="60397415"/>
    <w:rsid w:val="60F05013"/>
    <w:rsid w:val="60F811C1"/>
    <w:rsid w:val="60F82E2D"/>
    <w:rsid w:val="61271964"/>
    <w:rsid w:val="620F4796"/>
    <w:rsid w:val="626369CC"/>
    <w:rsid w:val="627E55B4"/>
    <w:rsid w:val="62B114E5"/>
    <w:rsid w:val="62E9273B"/>
    <w:rsid w:val="65196259"/>
    <w:rsid w:val="65393A14"/>
    <w:rsid w:val="655430EF"/>
    <w:rsid w:val="66195F86"/>
    <w:rsid w:val="66277C26"/>
    <w:rsid w:val="66292CD3"/>
    <w:rsid w:val="662E4F41"/>
    <w:rsid w:val="66430FEE"/>
    <w:rsid w:val="66B051A7"/>
    <w:rsid w:val="66F0546D"/>
    <w:rsid w:val="674E7135"/>
    <w:rsid w:val="67B215EE"/>
    <w:rsid w:val="67EF3E96"/>
    <w:rsid w:val="68297D70"/>
    <w:rsid w:val="68376930"/>
    <w:rsid w:val="687C2595"/>
    <w:rsid w:val="688651C2"/>
    <w:rsid w:val="69894F6A"/>
    <w:rsid w:val="6B15282D"/>
    <w:rsid w:val="6B8F438D"/>
    <w:rsid w:val="6C7A3290"/>
    <w:rsid w:val="6D0A25E7"/>
    <w:rsid w:val="6D4A0A51"/>
    <w:rsid w:val="6DF27FD2"/>
    <w:rsid w:val="6F4B0F13"/>
    <w:rsid w:val="6FA75111"/>
    <w:rsid w:val="70930B83"/>
    <w:rsid w:val="70AD6B66"/>
    <w:rsid w:val="717B788E"/>
    <w:rsid w:val="71DA3698"/>
    <w:rsid w:val="73584555"/>
    <w:rsid w:val="743B3BCA"/>
    <w:rsid w:val="7463128C"/>
    <w:rsid w:val="747405C4"/>
    <w:rsid w:val="74CC0400"/>
    <w:rsid w:val="76685BD5"/>
    <w:rsid w:val="766A7ED1"/>
    <w:rsid w:val="768A0132"/>
    <w:rsid w:val="77251384"/>
    <w:rsid w:val="7725204A"/>
    <w:rsid w:val="77BC650A"/>
    <w:rsid w:val="77CB0E43"/>
    <w:rsid w:val="782B2DC7"/>
    <w:rsid w:val="782E5248"/>
    <w:rsid w:val="78306EF8"/>
    <w:rsid w:val="7879264D"/>
    <w:rsid w:val="78BF7D2B"/>
    <w:rsid w:val="79FB12E1"/>
    <w:rsid w:val="7A552C46"/>
    <w:rsid w:val="7B8C6B3B"/>
    <w:rsid w:val="7C1032C9"/>
    <w:rsid w:val="7CE64029"/>
    <w:rsid w:val="7D02665D"/>
    <w:rsid w:val="7DAA32A9"/>
    <w:rsid w:val="7E04635A"/>
    <w:rsid w:val="7E127E42"/>
    <w:rsid w:val="7F3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zh-CN" altLang="en-US"/>
              <a:t>主动公开政府信息情况</a:t>
            </a:r>
            <a:endParaRPr lang="zh-CN" altLang="en-US"/>
          </a:p>
        </c:rich>
      </c:tx>
      <c:layout>
        <c:manualLayout>
          <c:xMode val="edge"/>
          <c:yMode val="edge"/>
          <c:x val="0.621346750883203"/>
          <c:y val="0.783410138248848"/>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00894854586129743"/>
                  <c:y val="-0.007005253940455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35061666162299"/>
                  <c:y val="-0.08688776806125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04399701715138"/>
                  <c:y val="-0.032691185055458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4302759134973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298284862043251"/>
                  <c:y val="-0.007005253940455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98284862043252"/>
                  <c:y val="-0.02568593111500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23713646532438"/>
                  <c:y val="0.002335084646818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268456375838926"/>
                  <c:y val="0.014010507880910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372856077554064"/>
                  <c:y val="0.01634559252772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641312453392991"/>
                  <c:y val="-0.0070052539404553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Sheet1!$A$1:$A$10</c:f>
              <c:strCache>
                <c:ptCount val="10"/>
                <c:pt idx="0">
                  <c:v>通知公告</c:v>
                </c:pt>
                <c:pt idx="1">
                  <c:v>政策文件</c:v>
                </c:pt>
                <c:pt idx="2">
                  <c:v>规划计划</c:v>
                </c:pt>
                <c:pt idx="3">
                  <c:v>人事信息</c:v>
                </c:pt>
                <c:pt idx="4">
                  <c:v>财政信息</c:v>
                </c:pt>
                <c:pt idx="5">
                  <c:v>行政权力</c:v>
                </c:pt>
                <c:pt idx="6">
                  <c:v>建议提案</c:v>
                </c:pt>
                <c:pt idx="7">
                  <c:v>重点领域</c:v>
                </c:pt>
                <c:pt idx="8">
                  <c:v>组织管理</c:v>
                </c:pt>
                <c:pt idx="9">
                  <c:v>政务公开基本目录</c:v>
                </c:pt>
              </c:strCache>
            </c:strRef>
          </c:cat>
          <c:val>
            <c:numRef>
              <c:f>Sheet1!$B$1:$B$10</c:f>
              <c:numCache>
                <c:formatCode>General</c:formatCode>
                <c:ptCount val="10"/>
                <c:pt idx="0">
                  <c:v>5</c:v>
                </c:pt>
                <c:pt idx="1">
                  <c:v>4</c:v>
                </c:pt>
                <c:pt idx="2">
                  <c:v>1</c:v>
                </c:pt>
                <c:pt idx="3">
                  <c:v>5</c:v>
                </c:pt>
                <c:pt idx="4">
                  <c:v>10</c:v>
                </c:pt>
                <c:pt idx="5">
                  <c:v>2</c:v>
                </c:pt>
                <c:pt idx="6">
                  <c:v>14</c:v>
                </c:pt>
                <c:pt idx="7">
                  <c:v>65</c:v>
                </c:pt>
                <c:pt idx="8">
                  <c:v>12</c:v>
                </c:pt>
                <c:pt idx="9">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2780</Words>
  <Characters>2867</Characters>
  <Lines>23</Lines>
  <Paragraphs>6</Paragraphs>
  <TotalTime>0</TotalTime>
  <ScaleCrop>false</ScaleCrop>
  <LinksUpToDate>false</LinksUpToDate>
  <CharactersWithSpaces>2870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2021-05-19T08:45:00Z</dcterms:created>
  <dc:creator>甘波</dc:creator>
  <cp:lastModifiedBy>妮儿老爸</cp:lastModifiedBy>
  <dcterms:modified xsi:type="dcterms:W3CDTF">2023-12-20T08:30:32Z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DBD08E0B6E6F4DD28257E9E84D73CBE7_13</vt:lpwstr>
  </property>
</Properties>
</file>