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滕州市行政审批服务局</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20</w:t>
      </w:r>
      <w:r>
        <w:rPr>
          <w:rFonts w:hint="eastAsia" w:ascii="方正小标宋简体" w:hAnsi="宋体" w:eastAsia="方正小标宋简体" w:cs="宋体"/>
          <w:color w:val="000000"/>
          <w:kern w:val="0"/>
          <w:sz w:val="44"/>
          <w:szCs w:val="44"/>
          <w:lang w:val="en-US" w:eastAsia="zh-CN"/>
        </w:rPr>
        <w:t>21</w:t>
      </w:r>
      <w:r>
        <w:rPr>
          <w:rFonts w:hint="eastAsia" w:ascii="方正小标宋简体" w:hAnsi="宋体" w:eastAsia="方正小标宋简体" w:cs="宋体"/>
          <w:color w:val="000000"/>
          <w:kern w:val="0"/>
          <w:sz w:val="44"/>
          <w:szCs w:val="44"/>
        </w:rPr>
        <w:t>年政府信息公开年度报告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本报告依据《中华人民共和国政府信息公开条例》要求及2021年度滕州市行政审批服务局及所属事业单位政府信息和政务公开工作情况编制。本报告中所列数据的统计期限自2021年1月1日至2021年12月31日。</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市行政审批服务局高度重视信息公开工作，认真学习、贯彻、落实《中华人民共和国政府信息公开条例》(以下简称《条例》)规定和有关文件要求，结合工作实际，坚持公开为常态、不公开为例外，全面推进决策、执行、管理、服务、结果公开，以公开稳预期、强监督、促落实、优服务，不断加强公开力度，扩大公众参与，以公开促落实，以公开促规范，以公开促服务，助力保障和提升行政审批服务质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（一）政府信息主动公开情况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不同载体主动公开信息1195条，其中政府网站公开政府信息974条，微信、微博公众平台公开政府信息221条。涵盖机构设置、政策法规、通知公告、公文法规、规划计划信息、建议和提案办理结果、行政许可等内容，不断加强公开力度，扩大公众参与，以公开促落实，以公开促规范，以公开促服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（二）政府信息依申请公开情况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信息依申请公开渠道畅通，依法保障公民、法人和其他组织获取政府信息的权利。2021年，市行政审批服务局受理依申请公开13件次，全部按时限要求办结，其中非政府信息1件次，撤销3件次，补正通知1件次，予以公开5件次，部分公开答复0件次，不予公开0件次，无法提供3件次，不予处理0件次，转结下年度继续办理0件次。本年度无因政府信息公开申请提起行政复议、行政诉讼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（三）政府信息管理情况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形成“主要领导亲自抓、分管领导具体抓、机关处室合力抓、专人负责抓落实”的工作机制，依据局机构人员变化，动态调整滕州市行政审批服务局政务公开工作领导小组职责和组成人员。认真落实“决策、执行、管理、服务、结果公开”，将“五公开”纳入办文、办事和办会程序。动态扩展公开内容，结合群众关注的重点热点问题，定期对公开内容进行梳理。严格把关政府信息公开内容审查，市行政审批服务局2021年度无违反规定和失泄密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（四）政府信息平台建设情况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政务公开工作要点和《2020年山东省政务公开第三方评估指标体系》，加强网站内容建设，规范栏目设置，健全用户信息保护制度，强化信息搜索、办理服务功能，做好滕州市行政审批服务局网站、滕州市行政审批服务局微信公众号与滕州政务公开网联动推荐关系，做到多平台、多栏目、多渠道同步更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（五）监督保障情况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做好网络建设工作，严格按照信息发布流程开展工作，研究制定公开考核、评议、责任追究和监督检查办法，参加市级信息公开培训，推进和规范政府信息公开工作。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default" w:ascii="楷体" w:hAnsi="楷体" w:eastAsia="楷体" w:cs="楷体"/>
          <w:b/>
          <w:bCs/>
          <w:sz w:val="32"/>
          <w:szCs w:val="32"/>
          <w:lang w:val="en-US" w:eastAsia="zh-CN"/>
        </w:rPr>
        <w:t>（</w:t>
      </w:r>
      <w:r>
        <w:rPr>
          <w:rFonts w:hint="eastAsia" w:ascii="楷体" w:hAnsi="楷体" w:eastAsia="楷体" w:cs="楷体"/>
          <w:b/>
          <w:bCs/>
          <w:sz w:val="32"/>
          <w:szCs w:val="32"/>
          <w:lang w:val="en-US" w:eastAsia="zh-CN"/>
        </w:rPr>
        <w:t>六</w:t>
      </w:r>
      <w:r>
        <w:rPr>
          <w:rFonts w:hint="default" w:ascii="楷体" w:hAnsi="楷体" w:eastAsia="楷体" w:cs="楷体"/>
          <w:b/>
          <w:bCs/>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宋体"/>
          <w:color w:val="000000"/>
          <w:kern w:val="0"/>
          <w:sz w:val="32"/>
          <w:szCs w:val="32"/>
        </w:rPr>
      </w:pPr>
      <w:r>
        <w:rPr>
          <w:rFonts w:hint="default" w:ascii="仿宋_GB2312" w:hAnsi="仿宋_GB2312" w:eastAsia="仿宋_GB2312" w:cs="仿宋_GB2312"/>
          <w:sz w:val="32"/>
          <w:szCs w:val="32"/>
          <w:lang w:val="en-US" w:eastAsia="zh-CN"/>
        </w:rPr>
        <w:t>纳入滕州市部门绩效考核，未进行社会评议，未发生责任追究情况。</w:t>
      </w:r>
    </w:p>
    <w:p>
      <w:pPr>
        <w:keepNext w:val="0"/>
        <w:keepLines w:val="0"/>
        <w:pageBreakBefore w:val="0"/>
        <w:widowControl/>
        <w:numPr>
          <w:ilvl w:val="0"/>
          <w:numId w:val="1"/>
        </w:numPr>
        <w:kinsoku/>
        <w:wordWrap/>
        <w:overflowPunct/>
        <w:topLinePunct w:val="0"/>
        <w:autoSpaceDE/>
        <w:autoSpaceDN/>
        <w:bidi w:val="0"/>
        <w:adjustRightInd/>
        <w:snapToGrid/>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主动公开政府信息情况</w:t>
      </w:r>
    </w:p>
    <w:tbl>
      <w:tblPr>
        <w:tblStyle w:val="8"/>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 w:val="21"/>
                <w:szCs w:val="21"/>
                <w:lang w:val="en-US" w:eastAsia="zh-CN" w:bidi="ar-SA"/>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2</w:t>
            </w:r>
          </w:p>
        </w:tc>
        <w:tc>
          <w:tcPr>
            <w:tcW w:w="2206" w:type="dxa"/>
            <w:tcBorders>
              <w:top w:val="nil"/>
              <w:left w:val="nil"/>
              <w:bottom w:val="single" w:color="auto" w:sz="8" w:space="0"/>
              <w:right w:val="single" w:color="auto" w:sz="8" w:space="0"/>
            </w:tcBorders>
            <w:noWrap w:val="0"/>
            <w:vAlign w:val="center"/>
          </w:tcPr>
          <w:p>
            <w:pPr>
              <w:widowControl/>
              <w:jc w:val="left"/>
              <w:rPr>
                <w:rFonts w:hint="eastAsia" w:ascii="仿宋_GB2312" w:hAnsi="Calibri" w:eastAsia="仿宋_GB2312" w:cs="Calibri"/>
                <w:color w:val="000000"/>
                <w:kern w:val="0"/>
                <w:sz w:val="21"/>
                <w:szCs w:val="21"/>
                <w:lang w:val="en-US" w:eastAsia="zh-CN" w:bidi="ar-SA"/>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3</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40249</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pStyle w:val="2"/>
        <w:numPr>
          <w:ilvl w:val="0"/>
          <w:numId w:val="0"/>
        </w:numPr>
      </w:pPr>
    </w:p>
    <w:p>
      <w:pPr>
        <w:widowControl/>
        <w:jc w:val="left"/>
        <w:rPr>
          <w:rFonts w:ascii="宋体" w:hAnsi="宋体" w:eastAsia="宋体" w:cs="宋体"/>
          <w:color w:val="000000"/>
          <w:kern w:val="0"/>
          <w:sz w:val="20"/>
          <w:szCs w:val="20"/>
        </w:rPr>
      </w:pP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收到和处理政府信息公开申请情况</w:t>
      </w:r>
    </w:p>
    <w:tbl>
      <w:tblPr>
        <w:tblStyle w:val="8"/>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12</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bookmarkStart w:id="10" w:name="_GoBack"/>
            <w:bookmarkEnd w:id="10"/>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p>
        </w:tc>
      </w:tr>
    </w:tbl>
    <w:p>
      <w:pPr>
        <w:pStyle w:val="2"/>
        <w:numPr>
          <w:ilvl w:val="0"/>
          <w:numId w:val="0"/>
        </w:numPr>
        <w:ind w:leftChars="200"/>
        <w:jc w:val="center"/>
      </w:pPr>
    </w:p>
    <w:p>
      <w:pPr>
        <w:keepNext w:val="0"/>
        <w:keepLines w:val="0"/>
        <w:pageBreakBefore w:val="0"/>
        <w:widowControl/>
        <w:numPr>
          <w:ilvl w:val="0"/>
          <w:numId w:val="1"/>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因政府信息公开工作被申请行政复议</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提起行政诉讼情况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1</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default"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 xml:space="preserve">  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r>
    </w:tbl>
    <w:p>
      <w:pPr>
        <w:widowControl/>
        <w:jc w:val="left"/>
        <w:rPr>
          <w:rFonts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widowControl/>
        <w:ind w:firstLine="640" w:firstLineChars="200"/>
        <w:jc w:val="left"/>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针对滕州政务网个别栏目信息长时间未更新的问题，做到信息同步更新。下一步，将开展定期自查工作，及时完善缺失或更新不及时的信息，同时，进一步加大对局属事业单位信息工作的监督指导力度，定期抽查，协助整改，确保信息公开工作公开主动、表述准确、发布及时、查询方便。</w:t>
      </w:r>
    </w:p>
    <w:p>
      <w:pPr>
        <w:widowControl/>
        <w:ind w:firstLine="640" w:firstLineChars="200"/>
        <w:jc w:val="left"/>
      </w:pPr>
      <w:r>
        <w:rPr>
          <w:rFonts w:hint="eastAsia" w:ascii="黑体" w:hAnsi="黑体" w:eastAsia="黑体" w:cs="宋体"/>
          <w:color w:val="000000"/>
          <w:kern w:val="0"/>
          <w:sz w:val="32"/>
          <w:szCs w:val="32"/>
          <w:lang w:val="en-US" w:eastAsia="zh-CN"/>
        </w:rPr>
        <w:t>六、</w:t>
      </w:r>
      <w:r>
        <w:rPr>
          <w:rFonts w:hint="eastAsia" w:ascii="黑体" w:hAnsi="黑体" w:eastAsia="黑体" w:cs="宋体"/>
          <w:color w:val="000000"/>
          <w:kern w:val="0"/>
          <w:sz w:val="32"/>
          <w:szCs w:val="32"/>
        </w:rPr>
        <w:t>其他需要报告的事项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）人大代表建议和政协委员提案办理结果公开情况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行政审批服务局高度重视代表建议政协提案办理工作，严格落实市委市政府关于建议提案办理的有关要求，坚持办理答复必须做到合法合规合理合情。2021年共办理人大代表建议2件；政协委员提案3件，其中枣庄政协提案0件，滕州政协提案3件，主办5件，5件办理结果均主动公开。</w:t>
      </w:r>
    </w:p>
    <w:p>
      <w:pPr>
        <w:widowControl/>
        <w:ind w:firstLine="640" w:firstLineChars="200"/>
        <w:jc w:val="left"/>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本报告的电子版可在“滕州市政府信息公开网”（http://xxgk.tengzhou.gov.cn/）和“滕州市行政审批服务局”（http://www.tengzhou.gov.cn/zzq/zfbm/xzspfwj/）网站查询和下载。如对本报告有任何疑问，请与滕州市行政审批服务局联系（地址：滕州市北辛中路，滕州市政务服务中心，邮编：277599，电话：0632-5081887，传真：0632-5081887，电子邮箱：zwfwzx309@163.com。</w:t>
      </w:r>
    </w:p>
    <w:p>
      <w:pPr>
        <w:widowControl/>
        <w:ind w:firstLine="640" w:firstLineChars="200"/>
        <w:jc w:val="left"/>
        <w:rPr>
          <w:rFonts w:hint="eastAsia" w:ascii="仿宋_GB2312" w:hAnsi="黑体" w:eastAsia="仿宋_GB2312" w:cs="宋体"/>
          <w:color w:val="000000"/>
          <w:kern w:val="0"/>
          <w:sz w:val="32"/>
          <w:szCs w:val="32"/>
        </w:rPr>
      </w:pPr>
    </w:p>
    <w:p>
      <w:pPr>
        <w:widowControl/>
        <w:ind w:firstLine="640" w:firstLineChars="200"/>
        <w:jc w:val="right"/>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滕州市行政审批服务局</w:t>
      </w:r>
    </w:p>
    <w:p>
      <w:pPr>
        <w:widowControl/>
        <w:wordWrap w:val="0"/>
        <w:ind w:firstLine="640" w:firstLineChars="200"/>
        <w:jc w:val="right"/>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 xml:space="preserve">2022年1月10 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1"/>
                              <w:szCs w:val="28"/>
                              <w:lang w:eastAsia="zh-CN"/>
                            </w:rPr>
                          </w:pPr>
                          <w:r>
                            <w:rPr>
                              <w:rFonts w:hint="eastAsia"/>
                              <w:sz w:val="21"/>
                              <w:szCs w:val="28"/>
                              <w:lang w:eastAsia="zh-CN"/>
                            </w:rPr>
                            <w:fldChar w:fldCharType="begin"/>
                          </w:r>
                          <w:r>
                            <w:rPr>
                              <w:rFonts w:hint="eastAsia"/>
                              <w:sz w:val="21"/>
                              <w:szCs w:val="28"/>
                              <w:lang w:eastAsia="zh-CN"/>
                            </w:rPr>
                            <w:instrText xml:space="preserve"> PAGE  \* MERGEFORMAT </w:instrText>
                          </w:r>
                          <w:r>
                            <w:rPr>
                              <w:rFonts w:hint="eastAsia"/>
                              <w:sz w:val="21"/>
                              <w:szCs w:val="28"/>
                              <w:lang w:eastAsia="zh-CN"/>
                            </w:rPr>
                            <w:fldChar w:fldCharType="separate"/>
                          </w:r>
                          <w:r>
                            <w:rPr>
                              <w:rFonts w:hint="eastAsia"/>
                              <w:sz w:val="21"/>
                              <w:szCs w:val="28"/>
                              <w:lang w:eastAsia="zh-CN"/>
                            </w:rPr>
                            <w:t>1</w:t>
                          </w:r>
                          <w:r>
                            <w:rPr>
                              <w:rFonts w:hint="eastAsia"/>
                              <w:sz w:val="21"/>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sz w:val="21"/>
                        <w:szCs w:val="28"/>
                        <w:lang w:eastAsia="zh-CN"/>
                      </w:rPr>
                    </w:pPr>
                    <w:r>
                      <w:rPr>
                        <w:rFonts w:hint="eastAsia"/>
                        <w:sz w:val="21"/>
                        <w:szCs w:val="28"/>
                        <w:lang w:eastAsia="zh-CN"/>
                      </w:rPr>
                      <w:fldChar w:fldCharType="begin"/>
                    </w:r>
                    <w:r>
                      <w:rPr>
                        <w:rFonts w:hint="eastAsia"/>
                        <w:sz w:val="21"/>
                        <w:szCs w:val="28"/>
                        <w:lang w:eastAsia="zh-CN"/>
                      </w:rPr>
                      <w:instrText xml:space="preserve"> PAGE  \* MERGEFORMAT </w:instrText>
                    </w:r>
                    <w:r>
                      <w:rPr>
                        <w:rFonts w:hint="eastAsia"/>
                        <w:sz w:val="21"/>
                        <w:szCs w:val="28"/>
                        <w:lang w:eastAsia="zh-CN"/>
                      </w:rPr>
                      <w:fldChar w:fldCharType="separate"/>
                    </w:r>
                    <w:r>
                      <w:rPr>
                        <w:rFonts w:hint="eastAsia"/>
                        <w:sz w:val="21"/>
                        <w:szCs w:val="28"/>
                        <w:lang w:eastAsia="zh-CN"/>
                      </w:rPr>
                      <w:t>1</w:t>
                    </w:r>
                    <w:r>
                      <w:rPr>
                        <w:rFonts w:hint="eastAsia"/>
                        <w:sz w:val="21"/>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EC2FB"/>
    <w:multiLevelType w:val="singleLevel"/>
    <w:tmpl w:val="843EC2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FA7206"/>
    <w:rsid w:val="00034EB6"/>
    <w:rsid w:val="01E728A6"/>
    <w:rsid w:val="020409C2"/>
    <w:rsid w:val="04381E22"/>
    <w:rsid w:val="05703695"/>
    <w:rsid w:val="05E66E4D"/>
    <w:rsid w:val="0E8D3722"/>
    <w:rsid w:val="0EA91CAA"/>
    <w:rsid w:val="12FC66FC"/>
    <w:rsid w:val="17FD07E0"/>
    <w:rsid w:val="19FA7206"/>
    <w:rsid w:val="1BBD52AF"/>
    <w:rsid w:val="1BD47D1C"/>
    <w:rsid w:val="1F3442DE"/>
    <w:rsid w:val="22203283"/>
    <w:rsid w:val="27473D11"/>
    <w:rsid w:val="2B624AF9"/>
    <w:rsid w:val="36A55B64"/>
    <w:rsid w:val="3F122578"/>
    <w:rsid w:val="48594CDF"/>
    <w:rsid w:val="497F5C4F"/>
    <w:rsid w:val="4C02698C"/>
    <w:rsid w:val="4C604A47"/>
    <w:rsid w:val="4CBF2408"/>
    <w:rsid w:val="4E7A2C2E"/>
    <w:rsid w:val="51BB10ED"/>
    <w:rsid w:val="54353DA3"/>
    <w:rsid w:val="551E25CC"/>
    <w:rsid w:val="55757A59"/>
    <w:rsid w:val="5AA8538D"/>
    <w:rsid w:val="622D5B8C"/>
    <w:rsid w:val="661F1BD3"/>
    <w:rsid w:val="6CA976D1"/>
    <w:rsid w:val="71020A84"/>
    <w:rsid w:val="710F5E6F"/>
    <w:rsid w:val="728E1843"/>
    <w:rsid w:val="7A2D2D26"/>
    <w:rsid w:val="7B890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0"/>
    <w:pPr>
      <w:keepNext/>
      <w:keepLines/>
      <w:spacing w:beforeLines="0" w:beforeAutospacing="0" w:afterLines="0" w:afterAutospacing="0" w:line="600" w:lineRule="exact"/>
      <w:ind w:firstLine="0" w:firstLineChars="0"/>
      <w:jc w:val="center"/>
      <w:outlineLvl w:val="0"/>
    </w:pPr>
    <w:rPr>
      <w:rFonts w:ascii="Times New Roman" w:hAnsi="Times New Roman" w:eastAsia="方正小标宋简体"/>
      <w:kern w:val="44"/>
      <w:sz w:val="44"/>
    </w:rPr>
  </w:style>
  <w:style w:type="paragraph" w:styleId="4">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sz w:val="32"/>
      <w:szCs w:val="22"/>
    </w:rPr>
  </w:style>
  <w:style w:type="paragraph" w:styleId="5">
    <w:name w:val="heading 3"/>
    <w:basedOn w:val="1"/>
    <w:next w:val="1"/>
    <w:semiHidden/>
    <w:unhideWhenUsed/>
    <w:qFormat/>
    <w:uiPriority w:val="0"/>
    <w:pPr>
      <w:keepNext/>
      <w:keepLines/>
      <w:spacing w:beforeLines="0" w:beforeAutospacing="0" w:afterLines="0" w:afterAutospacing="0" w:line="240" w:lineRule="auto"/>
      <w:outlineLvl w:val="2"/>
    </w:pPr>
    <w:rPr>
      <w:rFonts w:eastAsia="楷体"/>
      <w:b/>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1 Char"/>
    <w:link w:val="3"/>
    <w:qFormat/>
    <w:uiPriority w:val="0"/>
    <w:rPr>
      <w:rFonts w:ascii="Times New Roman" w:hAnsi="Times New Roman"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2021-01-19T02:43:00Z</dcterms:created>
  <dc:creator>小米Setariaitalica</dc:creator>
  <cp:lastModifiedBy>萧别离</cp:lastModifiedBy>
  <dcterms:modified xsi:type="dcterms:W3CDTF">2022-01-27T06:58:15Z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E690685AA0C54022BD836FEA33D4AAA2</vt:lpwstr>
  </property>
</Properties>
</file>