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-6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-6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-6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羊庄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-6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镇2021年度政府信息公开工作年度报告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按照《国务院办公厅政府信息与政务公开办公室关于印发＜中华人民共和国政府信息公开工作年度报告格式＞的通知》（国办公开办函〔2021〕30 号）、山东省人民政府办公厅、枣庄市人民政府办公室《关于做好2021年政府信息公开工作年度报告编制和发布工作的通知》等文件要求，结合我镇实际特编制2021年度羊庄镇政府信息公开年度报告并向社会公布。本年报由包括主动公开、依申请公开、政府信息管理、平台建设、监督保障等方面五个部分组成。年报中所列数据的统计期限自2021年1月1日起至2021年12月31日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  1、主动公开情况。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羊庄镇政府信息公开主要采用网络形式发布。2021年全年通过羊庄镇网站发布信息312条；通过微信公众号推送图文信息733条；通过新浪微博推送图文信息57条；通过信息公开网站主动公开政府信息数31条，其中，通知公告5条，政策文件6条，规划计划3条，组织管理12条，公开基本目录2条，基本信息3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hanging="540" w:hanging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997575" cy="3598545"/>
            <wp:effectExtent l="0" t="0" r="3175" b="1905"/>
            <wp:docPr id="1" name="图片 1" descr="111111111111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.jp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359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2、政府信息依申请公开情况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2021年，我镇共办理0条依申请公开政府信息事项。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638" w:leftChars="304" w:firstLine="0" w:firstLineChars="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3、政府信息管理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2021年我镇根据领导分工对政府信息公开工作领导小组进行了调整，具体工作主要由镇党政办公室、宣传信息室负责日常政务信息公开工作。全镇各相关部门健全工作机构，落实专人进行资料收集、整理和上报工作，为政府信息公开工作提供了良好的组织保障。建立规范的公开体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及时公开镇政府信息，力争做到数量提高、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填报规范、内容全面。重点公开政策文件、规划计划、组织管理和政府信息年度报告等，认真总结政务公开工作经验，及时报送经验材料。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638" w:leftChars="304" w:firstLine="0" w:firstLineChars="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firstLine="640" w:firstLineChars="20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4、政府信息公开平台建设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按照滕州市政府信息平台建设工作的要求，我镇开设了政务公开专区，公开政府信息查阅范围、方式和流程。以政府门户网站为第一平台，完善了镇信息公开栏，通过微信公众号及时收集社情民意，及时回答并解决公众关心的热点、难点、焦点问题，增强了公众对政府的信任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638" w:leftChars="304" w:firstLine="0" w:firstLineChars="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  <w:t>5、监督保障。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立规范的问责体系健全制度，落实责任，羊庄镇结合自身实际，按全省、市政府信息公开工作要求，进一步细化政府信息公开相关制度和工作措施。建立健全政府信息上报制度、政府信息审核制度、政府信息公开保密审查制度。落实保密审查责任，规范审查程序。纳入滕州市镇街政务公开工作考核，未进行社会评议，未发生责任追究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42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114"/>
        <w:gridCol w:w="2114"/>
        <w:gridCol w:w="2114"/>
        <w:gridCol w:w="21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ascii="黑体" w:hAnsi="宋体" w:eastAsia="黑体" w:cs="黑体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ascii="仿宋_GB2312" w:eastAsia="仿宋_GB2312" w:cs="仿宋_GB2312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/>
              </w:rPr>
              <w:t>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18"/>
        <w:gridCol w:w="2022"/>
        <w:gridCol w:w="674"/>
        <w:gridCol w:w="700"/>
        <w:gridCol w:w="700"/>
        <w:gridCol w:w="815"/>
        <w:gridCol w:w="828"/>
        <w:gridCol w:w="674"/>
        <w:gridCol w:w="6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</w:t>
            </w: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3"/>
        <w:gridCol w:w="563"/>
        <w:gridCol w:w="563"/>
        <w:gridCol w:w="625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 0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2021年度羊庄镇政府信息公开工作与公众的需求还存在差距，公开内容的及时性、全面性、便利性等需要在今后工作中改进。为此， 2022年政府信息公开工作我们将采取以下措施积极改进：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1、进一步健全政府信息公开工作机制。不断规范政府信息主动公开工作机制、政府信息公开申请的受理机制和政府信息发布、保密、审查制度等。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、继续积极做好政府信息主动公开工作。坚持把主动公开作为、常态工作，落实政府信息公开载体，进一步规范信息制作、发布流程。同时，继续按要求做好政府信息公开申请的答复和相关电话咨询，满足政府信息公开申请人的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2021年度未收取政府信息公开信息处理费。2021年度市羊庄镇未办理人大建议和政协提案。2021年度市羊庄镇建设便民服务中心政务公开体验区、西石湾村政务公开体验区开展政府开放日活动。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  如对本报告有任何疑问，请与镇办公室联系。（地址：山东省滕州市羊庄镇政府，联系电话：0632-2917120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滕州市羊庄镇人民政府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B79AF"/>
    <w:multiLevelType w:val="singleLevel"/>
    <w:tmpl w:val="FF3B79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5408C"/>
    <w:rsid w:val="7CC569DA"/>
    <w:rsid w:val="CFAF86EB"/>
    <w:rsid w:val="EEF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2336</Words>
  <Characters>2419</Characters>
  <Lines>0</Lines>
  <Paragraphs>0</Paragraphs>
  <TotalTime>9</TotalTime>
  <ScaleCrop>false</ScaleCrop>
  <LinksUpToDate>false</LinksUpToDate>
  <CharactersWithSpaces>2468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zhangxx</cp:lastModifiedBy>
  <dcterms:modified xsi:type="dcterms:W3CDTF">2022-01-21T16:31:09Z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C10E1C0FDF96444CA80F3BCBDE9B255A</vt:lpwstr>
  </property>
</Properties>
</file>