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7576D" w:rsidRDefault="00A523A1" w:rsidP="0021613B">
      <w:pPr>
        <w:spacing w:line="220" w:lineRule="atLeas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A523A1">
        <w:rPr>
          <w:rFonts w:ascii="方正小标宋简体" w:eastAsia="方正小标宋简体" w:hint="eastAsia"/>
          <w:w w:val="95"/>
          <w:sz w:val="44"/>
          <w:szCs w:val="44"/>
        </w:rPr>
        <w:t>滕州</w:t>
      </w:r>
      <w:r w:rsidRPr="00A523A1">
        <w:rPr>
          <w:rFonts w:ascii="方正小标宋简体" w:eastAsia="方正小标宋简体" w:hint="eastAsia"/>
          <w:w w:val="90"/>
          <w:sz w:val="44"/>
          <w:szCs w:val="44"/>
        </w:rPr>
        <w:t>市民政局2021年政府信息公开工作年度报告</w:t>
      </w:r>
    </w:p>
    <w:p w:rsidR="0021613B" w:rsidRDefault="0021613B" w:rsidP="0021613B">
      <w:pPr>
        <w:spacing w:line="220" w:lineRule="atLeast"/>
        <w:rPr>
          <w:rFonts w:ascii="方正小标宋简体" w:eastAsia="方正小标宋简体"/>
          <w:sz w:val="44"/>
          <w:szCs w:val="44"/>
        </w:rPr>
      </w:pPr>
    </w:p>
    <w:p w:rsidR="00F26804" w:rsidRPr="00A7576D" w:rsidRDefault="00B77EEE" w:rsidP="00041415">
      <w:pPr>
        <w:adjustRightInd/>
        <w:snapToGrid/>
        <w:spacing w:after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根据《中华人民共和国政府信息公开条例》《山东省政府信息公开办法》和省政府办公厅、枣庄市政府办公室、滕州市政府办公室通知要求，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结合滕州市民政局2021年度信息公开工作实际，编制本报告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并向社会公布。本报告中所列数据的统计期限自2021年1月1日起至2021年12月31日止。</w:t>
      </w:r>
      <w:r w:rsidR="00F26804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 </w:t>
      </w:r>
      <w:r w:rsidR="00F26804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 </w:t>
      </w:r>
      <w:r w:rsidR="00F26804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 </w:t>
      </w:r>
    </w:p>
    <w:p w:rsidR="00F26804" w:rsidRPr="008E48BB" w:rsidRDefault="00F26804" w:rsidP="00041415">
      <w:pPr>
        <w:adjustRightInd/>
        <w:snapToGrid/>
        <w:spacing w:after="0" w:line="6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1D78D6">
        <w:rPr>
          <w:rFonts w:ascii="黑体" w:eastAsia="黑体" w:hAnsi="Arial" w:cs="Arial" w:hint="eastAsia"/>
          <w:color w:val="000000"/>
          <w:sz w:val="32"/>
          <w:szCs w:val="32"/>
        </w:rPr>
        <w:t> </w:t>
      </w:r>
      <w:r w:rsidRPr="001D78D6">
        <w:rPr>
          <w:rFonts w:ascii="黑体" w:eastAsia="黑体" w:hAnsi="Arial" w:cs="Arial" w:hint="eastAsia"/>
          <w:color w:val="000000"/>
          <w:sz w:val="32"/>
          <w:szCs w:val="32"/>
        </w:rPr>
        <w:t> </w:t>
      </w:r>
      <w:r w:rsidRPr="001D78D6">
        <w:rPr>
          <w:rFonts w:ascii="黑体" w:eastAsia="黑体" w:hAnsi="Arial" w:cs="Arial" w:hint="eastAsia"/>
          <w:color w:val="000000"/>
          <w:sz w:val="32"/>
          <w:szCs w:val="32"/>
        </w:rPr>
        <w:t> </w:t>
      </w:r>
      <w:r w:rsidRPr="001D78D6">
        <w:rPr>
          <w:rFonts w:ascii="黑体" w:eastAsia="黑体" w:hAnsi="Arial" w:cs="Arial" w:hint="eastAsia"/>
          <w:color w:val="000000"/>
          <w:sz w:val="32"/>
          <w:szCs w:val="32"/>
        </w:rPr>
        <w:t>一、总体情况</w:t>
      </w:r>
      <w:r w:rsidRPr="001D78D6">
        <w:rPr>
          <w:rFonts w:ascii="宋体" w:eastAsia="宋体" w:hAnsi="宋体" w:cs="Arial" w:hint="eastAsia"/>
          <w:color w:val="000000"/>
          <w:sz w:val="29"/>
          <w:szCs w:val="29"/>
        </w:rPr>
        <w:br/>
      </w:r>
      <w:r w:rsidRPr="001D78D6">
        <w:rPr>
          <w:rFonts w:ascii="宋体" w:eastAsia="宋体" w:hAnsi="宋体" w:cs="Arial" w:hint="eastAsia"/>
          <w:color w:val="000000"/>
          <w:sz w:val="29"/>
          <w:szCs w:val="29"/>
        </w:rPr>
        <w:t> </w:t>
      </w:r>
      <w:r w:rsidRPr="001D78D6">
        <w:rPr>
          <w:rFonts w:ascii="宋体" w:eastAsia="宋体" w:hAnsi="宋体" w:cs="Arial" w:hint="eastAsia"/>
          <w:color w:val="000000"/>
          <w:sz w:val="29"/>
          <w:szCs w:val="29"/>
        </w:rPr>
        <w:t> </w:t>
      </w:r>
      <w:r w:rsidRPr="001D78D6">
        <w:rPr>
          <w:rFonts w:ascii="宋体" w:eastAsia="宋体" w:hAnsi="宋体" w:cs="Arial" w:hint="eastAsia"/>
          <w:color w:val="000000"/>
          <w:sz w:val="29"/>
          <w:szCs w:val="29"/>
        </w:rPr>
        <w:t> 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2021年，我局高度重视政府信息公开工作，认真学习《中华人民共和国政府信息公开条例》和省、市政府信息公开工作会议精神，</w:t>
      </w:r>
      <w:r w:rsidR="00B77EEE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紧扣本单位的工作实际，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完善信息公开组织机构建设，遵循公开、公平、便民的原则，</w:t>
      </w:r>
      <w:r w:rsidR="00B77EEE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加强信息公开平台、门户网站、政务新媒体信息公开力度，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规范政府信息公开程序，</w:t>
      </w:r>
      <w:r w:rsidR="00B77EEE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不断提升政府信息公开工作力度和实效，政府信息公开水平实现新的突破，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切实保障群众的知情权、参与权和监督权。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br/>
      </w:r>
      <w:r w:rsidR="00BF665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BF6657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（一）政府信息主动公开情况</w:t>
      </w:r>
      <w:r w:rsidRPr="00BF6657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br/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　　市民政局始终坚持“以公开为常态、不公开为例外”的原则，从聚焦中心工作加强信息公开、聚焦</w:t>
      </w:r>
      <w:r w:rsidR="00C60A4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巩固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脱贫攻坚</w:t>
      </w:r>
      <w:r w:rsidR="00C60A4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成果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兜底工作加强政策解读回应等方面，持续深化民政领域政府信息公开，通过市政府信息公开专栏、局门户网站、微信公众号等多种渠道，主动做好政府信息主动公开工作。</w:t>
      </w:r>
      <w:r w:rsidR="008E48BB" w:rsidRPr="008E48B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及时公开社会救助、社会福利、养老服务领域信息。根据《中华人民共和国政</w:t>
      </w:r>
      <w:r w:rsidR="008E48BB" w:rsidRPr="008E48B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府信息公开条例》第二十条第（十一）款要求，结合滕州市实际，及时公开发布社会救助、养老服务、社会福利等方面的经办流程、政策制度、补贴发放等，细化公开内容，让公众看得懂。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截止2021年12月31日，主动公开政府信息</w:t>
      </w:r>
      <w:r w:rsidR="000C50C8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172</w:t>
      </w:r>
      <w:r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条。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其中</w:t>
      </w:r>
      <w:r w:rsidR="00F36243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通知公告12条，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部门</w:t>
      </w:r>
      <w:r w:rsidR="00A92EC3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文件7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条，</w:t>
      </w:r>
      <w:r w:rsidR="00F36243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规划计划1条，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财政信息6条，</w:t>
      </w:r>
      <w:r w:rsidR="00F36243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证明事项目录清单1条，人大建议政协提案公开办理结果公开及建议提案办理总体情况6条，重点领域125条，组织管理13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条，</w:t>
      </w:r>
      <w:r w:rsidR="00F36243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主动公开基本目录1条</w:t>
      </w:r>
      <w:r w:rsidR="00AF7298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。此外，利用网站、政务微博、微信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等新媒体，及时发布政务信息（含工作动态）</w:t>
      </w:r>
      <w:r w:rsidR="00AF7298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550</w:t>
      </w:r>
      <w:r w:rsidR="00405366" w:rsidRPr="00A7576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余条。</w:t>
      </w:r>
    </w:p>
    <w:p w:rsidR="00C414BD" w:rsidRDefault="00C414BD" w:rsidP="00C414BD">
      <w:pPr>
        <w:pStyle w:val="a4"/>
        <w:shd w:val="clear" w:color="auto" w:fill="FFFFFF"/>
        <w:spacing w:before="0" w:beforeAutospacing="0" w:after="0" w:afterAutospacing="0"/>
        <w:rPr>
          <w:rFonts w:ascii="楷体" w:eastAsia="楷体" w:hAnsi="楷体" w:cstheme="minorBidi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theme="minorBid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638800" cy="4676775"/>
            <wp:effectExtent l="19050" t="0" r="0" b="0"/>
            <wp:docPr id="2" name="图片 1" descr="C:\Users\Administrator\Desktop\NeoImage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oImage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DD" w:rsidRPr="00BF6657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" w:eastAsia="楷体" w:hAnsi="楷体" w:cstheme="minorBidi"/>
          <w:color w:val="000000"/>
          <w:sz w:val="32"/>
          <w:szCs w:val="32"/>
          <w:shd w:val="clear" w:color="auto" w:fill="FFFFFF"/>
        </w:rPr>
      </w:pPr>
      <w:r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（二）政府信息依申请公开情况</w:t>
      </w:r>
    </w:p>
    <w:p w:rsidR="00AF48DD" w:rsidRPr="00A7576D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lastRenderedPageBreak/>
        <w:t>2021年市民政局受理依申请公开共6件，全部按时限要求办结，其中予以公开6件，部分公开0件，不予公开0件，自愿撤销政务公开申请2件，非政府信息公开4件，不予处理0件，转结下年度继续办理0件。</w:t>
      </w:r>
      <w:r w:rsidR="006763F7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本年度无因政府信息公开申请提起行政复议、行政诉讼情况。</w:t>
      </w:r>
    </w:p>
    <w:p w:rsidR="00AF48DD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楷体" w:eastAsia="楷体" w:hAnsi="楷体" w:cstheme="minorBidi"/>
          <w:color w:val="000000"/>
          <w:sz w:val="32"/>
          <w:szCs w:val="32"/>
          <w:shd w:val="clear" w:color="auto" w:fill="FFFFFF"/>
        </w:rPr>
      </w:pPr>
      <w:r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（三）政府信息</w:t>
      </w:r>
      <w:r w:rsidR="00912426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管理情况</w:t>
      </w:r>
    </w:p>
    <w:p w:rsidR="00230F74" w:rsidRDefault="00230F74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立了政务公开领导小组，局主要领导为主要负责人，分管领导为分管负责人。各科室依据科室职能，积极主动收集、提报各自业务范围内应公开的政务信息，宣传调研中心扎实做好信息上传维护工作，明确专人负责本单位政务公开网站信息的更新与维护。</w:t>
      </w:r>
    </w:p>
    <w:p w:rsidR="00AF48DD" w:rsidRPr="00BF6657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楷体" w:eastAsia="楷体" w:hAnsi="楷体" w:cstheme="minorBidi"/>
          <w:color w:val="000000"/>
          <w:sz w:val="32"/>
          <w:szCs w:val="32"/>
          <w:shd w:val="clear" w:color="auto" w:fill="FFFFFF"/>
        </w:rPr>
      </w:pPr>
      <w:r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（四）政府信息公开平台建设</w:t>
      </w:r>
    </w:p>
    <w:p w:rsidR="00AF48DD" w:rsidRPr="00A7576D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进一步提升信息平台规范化建设，建立完善信息审核制度，加强对网站信息的审核把关，</w:t>
      </w:r>
      <w:r w:rsidR="000C50C8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安排人员负责公开信息的编辑、审核与发布，确保信息上传及时、避免出现空白栏目，扎实做好信息上传维护工作。</w:t>
      </w:r>
    </w:p>
    <w:p w:rsidR="00AF48DD" w:rsidRPr="00BF6657" w:rsidRDefault="00AF48DD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rPr>
          <w:rFonts w:ascii="楷体" w:eastAsia="楷体" w:hAnsi="楷体" w:cstheme="minorBidi"/>
          <w:color w:val="000000"/>
          <w:sz w:val="32"/>
          <w:szCs w:val="32"/>
          <w:shd w:val="clear" w:color="auto" w:fill="FFFFFF"/>
        </w:rPr>
      </w:pPr>
      <w:r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（五）政府信息公开监督</w:t>
      </w:r>
      <w:r w:rsidR="000C50C8"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保障</w:t>
      </w:r>
      <w:r w:rsidRPr="00BF6657">
        <w:rPr>
          <w:rFonts w:ascii="楷体" w:eastAsia="楷体" w:hAnsi="楷体" w:cstheme="minorBidi" w:hint="eastAsia"/>
          <w:color w:val="000000"/>
          <w:sz w:val="32"/>
          <w:szCs w:val="32"/>
          <w:shd w:val="clear" w:color="auto" w:fill="FFFFFF"/>
        </w:rPr>
        <w:t>情况</w:t>
      </w:r>
    </w:p>
    <w:p w:rsidR="00380964" w:rsidRPr="00A7576D" w:rsidRDefault="00A523A1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积极参加市级信息公开培训，推进和规范政府信息公开工作，做好信息公开和宣传经费保障工作，严格按照信息发布流程开展工作。</w:t>
      </w:r>
      <w:r w:rsidR="00514E94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滕州市民政局对政府信息公开进行严格的保密审查，实行局主要领导总负责、分管领导组织协调、责任科室和专门审查人员具体实施，层层增强保密责任，遵循“未经保密审查的信息不得公开、未经解密并准予公开的信息不得公开、</w:t>
      </w:r>
      <w:r w:rsidR="00514E94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lastRenderedPageBreak/>
        <w:t>公开与保密界限不清的信息不得公开”的原则，既保证政府信息及时有效公开，又确保受国家法律保护的秘密信息安全。对信息公开保密审查工作，2021年，滕州市</w:t>
      </w:r>
      <w:r w:rsidR="00724173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民政局</w:t>
      </w:r>
      <w:r w:rsidR="00514E94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在政府信息公开工作中未出现失密、泄密情况。</w:t>
      </w:r>
      <w:r w:rsidRPr="00A523A1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纳入滕州市部门绩效考核，未进行社会评议，未发生责任追究情况。</w:t>
      </w:r>
    </w:p>
    <w:p w:rsidR="00380964" w:rsidRPr="00C60A46" w:rsidRDefault="00405366" w:rsidP="00C60A46">
      <w:pPr>
        <w:ind w:firstLineChars="200" w:firstLine="640"/>
        <w:rPr>
          <w:rFonts w:ascii="黑体" w:eastAsia="黑体"/>
          <w:sz w:val="32"/>
          <w:szCs w:val="32"/>
        </w:rPr>
      </w:pPr>
      <w:r w:rsidRPr="00C60A46">
        <w:rPr>
          <w:rFonts w:ascii="黑体" w:eastAsia="黑体" w:hint="eastAsia"/>
          <w:sz w:val="32"/>
          <w:szCs w:val="32"/>
        </w:rPr>
        <w:t>二、</w:t>
      </w:r>
      <w:r w:rsidR="004A4594">
        <w:rPr>
          <w:rFonts w:ascii="黑体" w:eastAsia="黑体" w:hint="eastAsia"/>
          <w:sz w:val="32"/>
          <w:szCs w:val="32"/>
        </w:rPr>
        <w:t>2021年度滕州市民政局</w:t>
      </w:r>
      <w:r w:rsidR="00380964" w:rsidRPr="00C60A46">
        <w:rPr>
          <w:rFonts w:ascii="黑体" w:eastAsia="黑体" w:hint="eastAsia"/>
          <w:sz w:val="32"/>
          <w:szCs w:val="32"/>
        </w:rPr>
        <w:t>主动公开政府信息情况</w:t>
      </w:r>
    </w:p>
    <w:tbl>
      <w:tblPr>
        <w:tblW w:w="8824" w:type="dxa"/>
        <w:tblLayout w:type="fixed"/>
        <w:tblLook w:val="0000"/>
      </w:tblPr>
      <w:tblGrid>
        <w:gridCol w:w="2206"/>
        <w:gridCol w:w="2206"/>
        <w:gridCol w:w="2206"/>
        <w:gridCol w:w="2206"/>
      </w:tblGrid>
      <w:tr w:rsidR="00380964" w:rsidTr="004C1F9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第二十条第（一）项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现行有效件数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　</w:t>
            </w:r>
            <w:r w:rsidR="00C45096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C45096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Cs w:val="21"/>
              </w:rPr>
              <w:t xml:space="preserve">　</w:t>
            </w:r>
            <w:r w:rsidR="00C45096">
              <w:rPr>
                <w:rFonts w:ascii="仿宋_GB2312" w:eastAsia="仿宋_GB2312" w:hAnsi="Calibri" w:cs="Calibri" w:hint="eastAsia"/>
                <w:color w:val="000000"/>
                <w:szCs w:val="21"/>
              </w:rPr>
              <w:t>0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　</w:t>
            </w:r>
            <w:r w:rsidR="00C45096">
              <w:rPr>
                <w:rFonts w:ascii="仿宋_GB2312" w:eastAsia="仿宋_GB2312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C45096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Cs w:val="21"/>
              </w:rPr>
              <w:t xml:space="preserve">　</w:t>
            </w:r>
            <w:r w:rsidR="00C45096">
              <w:rPr>
                <w:rFonts w:ascii="仿宋_GB2312" w:eastAsia="仿宋_GB2312" w:hAnsi="Calibri" w:cs="Calibri" w:hint="eastAsia"/>
                <w:color w:val="000000"/>
                <w:szCs w:val="21"/>
              </w:rPr>
              <w:t>6</w:t>
            </w:r>
          </w:p>
        </w:tc>
      </w:tr>
      <w:tr w:rsidR="00380964" w:rsidTr="004C1F9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第二十条第（五）项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本年处理决定数量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Cs w:val="21"/>
              </w:rPr>
              <w:t xml:space="preserve">　</w:t>
            </w:r>
            <w:r w:rsidR="00AC5891">
              <w:rPr>
                <w:rFonts w:ascii="仿宋_GB2312" w:eastAsia="仿宋_GB2312" w:hAnsi="Calibri" w:cs="Calibri" w:hint="eastAsia"/>
                <w:color w:val="000000"/>
                <w:szCs w:val="21"/>
              </w:rPr>
              <w:t>0</w:t>
            </w:r>
          </w:p>
        </w:tc>
      </w:tr>
      <w:tr w:rsidR="00380964" w:rsidTr="004C1F9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第二十条第（六）项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本年处理决定数量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AC5891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AC5891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</w:tr>
      <w:tr w:rsidR="00380964" w:rsidTr="004C1F9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第二十条第（八）项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本年收费金额（单位：万元）</w:t>
            </w:r>
          </w:p>
        </w:tc>
      </w:tr>
      <w:tr w:rsidR="00380964" w:rsidTr="004C1F9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0964" w:rsidRDefault="00380964" w:rsidP="004C1F97">
            <w:pPr>
              <w:rPr>
                <w:rFonts w:ascii="仿宋_GB2312" w:eastAsia="仿宋_GB2312" w:hAnsi="Calibri" w:cs="Calibri"/>
                <w:color w:val="00000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Cs w:val="21"/>
              </w:rPr>
              <w:t xml:space="preserve">　</w:t>
            </w:r>
            <w:r w:rsidR="00AC5891">
              <w:rPr>
                <w:rFonts w:ascii="仿宋_GB2312" w:eastAsia="仿宋_GB2312" w:hAnsi="Calibri" w:cs="Calibri" w:hint="eastAsia"/>
                <w:color w:val="000000"/>
                <w:szCs w:val="21"/>
              </w:rPr>
              <w:t>0</w:t>
            </w:r>
          </w:p>
        </w:tc>
      </w:tr>
    </w:tbl>
    <w:p w:rsidR="00380964" w:rsidRDefault="00380964" w:rsidP="00380964">
      <w:pPr>
        <w:jc w:val="center"/>
        <w:rPr>
          <w:rFonts w:ascii="仿宋_GB2312" w:eastAsia="仿宋_GB2312"/>
          <w:sz w:val="32"/>
          <w:szCs w:val="32"/>
        </w:rPr>
      </w:pPr>
    </w:p>
    <w:p w:rsidR="00380964" w:rsidRDefault="00380964" w:rsidP="00380964">
      <w:pPr>
        <w:ind w:firstLineChars="200" w:firstLine="640"/>
        <w:rPr>
          <w:rFonts w:ascii="仿宋_GB2312" w:eastAsia="仿宋_GB2312"/>
          <w:sz w:val="32"/>
          <w:szCs w:val="32"/>
        </w:rPr>
        <w:sectPr w:rsidR="00380964">
          <w:pgSz w:w="11906" w:h="16838"/>
          <w:pgMar w:top="1440" w:right="1474" w:bottom="1440" w:left="1588" w:header="851" w:footer="992" w:gutter="0"/>
          <w:cols w:space="720"/>
          <w:docGrid w:type="lines" w:linePitch="312"/>
        </w:sectPr>
      </w:pPr>
    </w:p>
    <w:p w:rsidR="00380964" w:rsidRDefault="00380964" w:rsidP="00380964">
      <w:pPr>
        <w:jc w:val="center"/>
        <w:rPr>
          <w:rFonts w:ascii="方正小标宋简体" w:eastAsia="方正小标宋简体"/>
          <w:sz w:val="44"/>
          <w:szCs w:val="44"/>
        </w:rPr>
      </w:pPr>
    </w:p>
    <w:p w:rsidR="00380964" w:rsidRPr="00A41101" w:rsidRDefault="004A4594" w:rsidP="00A4110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="00380964" w:rsidRPr="004A4594">
        <w:rPr>
          <w:rFonts w:ascii="黑体" w:eastAsia="黑体" w:hint="eastAsia"/>
          <w:sz w:val="32"/>
          <w:szCs w:val="32"/>
        </w:rPr>
        <w:t>收到和处理政府信息公开申请情况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:rsidR="00380964" w:rsidTr="004C1F97">
        <w:trPr>
          <w:trHeight w:val="413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楷体_GB2312" w:eastAsia="楷体_GB2312" w:hAnsi="黑体"/>
                <w:szCs w:val="21"/>
              </w:rPr>
            </w:pPr>
            <w:r>
              <w:rPr>
                <w:rFonts w:ascii="楷体_GB2312" w:eastAsia="楷体_GB2312" w:hAnsi="黑体" w:hint="eastAsia"/>
                <w:szCs w:val="21"/>
              </w:rPr>
              <w:t>（本列数据的勾稽关系为：第一项加第二项之和，</w:t>
            </w:r>
          </w:p>
          <w:p w:rsidR="00380964" w:rsidRDefault="00380964" w:rsidP="004C1F97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申请人情况</w:t>
            </w:r>
          </w:p>
        </w:tc>
      </w:tr>
      <w:tr w:rsidR="00380964" w:rsidTr="004C1F97">
        <w:trPr>
          <w:trHeight w:val="425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总计</w:t>
            </w:r>
          </w:p>
        </w:tc>
      </w:tr>
      <w:tr w:rsidR="00380964" w:rsidTr="004C1F97">
        <w:trPr>
          <w:trHeight w:val="322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380964" w:rsidP="00380964">
            <w:pPr>
              <w:spacing w:line="320" w:lineRule="exact"/>
              <w:ind w:leftChars="-51" w:left="-111" w:rightChars="-51" w:right="-112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商业企业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380964" w:rsidP="00380964">
            <w:pPr>
              <w:spacing w:line="320" w:lineRule="exact"/>
              <w:ind w:leftChars="-51" w:left="-112" w:rightChars="-51" w:right="-112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科研机构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380964" w:rsidRDefault="00380964" w:rsidP="00380964">
            <w:pPr>
              <w:spacing w:line="320" w:lineRule="exact"/>
              <w:ind w:leftChars="-51" w:left="-112" w:rightChars="-51" w:right="-112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社会公益组织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380964" w:rsidRDefault="00380964" w:rsidP="00380964">
            <w:pPr>
              <w:spacing w:line="320" w:lineRule="exact"/>
              <w:ind w:leftChars="-51" w:left="-111" w:rightChars="-51" w:right="-112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法律服务机构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380964" w:rsidP="00380964">
            <w:pPr>
              <w:spacing w:line="360" w:lineRule="exact"/>
              <w:ind w:leftChars="-30" w:left="-66" w:rightChars="-64" w:right="-14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</w:t>
            </w:r>
          </w:p>
        </w:tc>
        <w:tc>
          <w:tcPr>
            <w:tcW w:w="851" w:type="dxa"/>
            <w:vMerge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380964" w:rsidTr="004C1F9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380964" w:rsidRDefault="00380964" w:rsidP="004C1F9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380964" w:rsidRDefault="00AC5891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380964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380964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380964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380964" w:rsidRDefault="00AC5891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</w:tr>
      <w:tr w:rsidR="00A7576D" w:rsidTr="004C1F9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（一）予以公开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szCs w:val="21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576D" w:rsidRDefault="00A7576D" w:rsidP="00380964">
            <w:pPr>
              <w:spacing w:line="200" w:lineRule="exact"/>
              <w:ind w:leftChars="-51" w:left="-11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1.属于国家秘密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3.危及“三安全一稳定”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5.属于三类内部事务信息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7.属于行政执法案卷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576D" w:rsidRDefault="00A7576D" w:rsidP="00380964">
            <w:pPr>
              <w:spacing w:line="200" w:lineRule="exact"/>
              <w:ind w:leftChars="-51" w:left="-11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1.本机关不掌握相关政府信息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380964">
            <w:pPr>
              <w:spacing w:line="200" w:lineRule="exact"/>
              <w:ind w:leftChars="-51" w:left="-112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380964">
            <w:pPr>
              <w:spacing w:line="200" w:lineRule="exact"/>
              <w:ind w:leftChars="-51" w:left="-112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576D" w:rsidRDefault="00A7576D" w:rsidP="00380964">
            <w:pPr>
              <w:spacing w:line="200" w:lineRule="exact"/>
              <w:ind w:leftChars="-51" w:left="-11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2.重复申请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3.要求提供公开出版物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trHeight w:hRule="exact" w:val="397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4.无正当理由大量反复申请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3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5.要求行政机关确认或重新</w:t>
            </w:r>
          </w:p>
          <w:p w:rsidR="00A7576D" w:rsidRDefault="00A7576D" w:rsidP="00380964">
            <w:pPr>
              <w:spacing w:line="300" w:lineRule="exact"/>
              <w:ind w:firstLineChars="100" w:firstLine="2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出具已获取信息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（六）其他处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理</w:t>
            </w:r>
          </w:p>
        </w:tc>
        <w:tc>
          <w:tcPr>
            <w:tcW w:w="2976" w:type="dxa"/>
            <w:vAlign w:val="center"/>
          </w:tcPr>
          <w:p w:rsidR="00A7576D" w:rsidRDefault="00A7576D" w:rsidP="004C1F97">
            <w:pPr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lastRenderedPageBreak/>
              <w:t>1.申请人无正当理由逾期不补</w:t>
            </w:r>
            <w:r>
              <w:rPr>
                <w:rFonts w:ascii="仿宋_GB2312" w:eastAsia="仿宋_GB2312" w:hAnsi="楷体" w:hint="eastAsia"/>
              </w:rPr>
              <w:lastRenderedPageBreak/>
              <w:t>正、行政机关不再处理其政府信息公开申请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lastRenderedPageBreak/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3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7576D" w:rsidRDefault="00A7576D" w:rsidP="004C1F97">
            <w:pPr>
              <w:spacing w:line="3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3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7576D" w:rsidRDefault="00A7576D" w:rsidP="004C1F97">
            <w:pPr>
              <w:spacing w:line="3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</w:tr>
      <w:tr w:rsidR="00A7576D" w:rsidTr="004C1F9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（七）总计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A7576D" w:rsidRDefault="00A7576D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6</w:t>
            </w:r>
          </w:p>
        </w:tc>
      </w:tr>
      <w:tr w:rsidR="00BF6657" w:rsidTr="004C1F97"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BF6657" w:rsidRDefault="00BF6657" w:rsidP="004C1F97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四、结转下年度继续办理</w:t>
            </w:r>
          </w:p>
        </w:tc>
        <w:tc>
          <w:tcPr>
            <w:tcW w:w="829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BF6657" w:rsidRDefault="00BF6657" w:rsidP="004C1F97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4A4594" w:rsidRPr="004A4594" w:rsidRDefault="004A4594" w:rsidP="00041415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Pr="004A4594">
        <w:rPr>
          <w:rFonts w:ascii="黑体" w:eastAsia="黑体" w:hint="eastAsia"/>
          <w:sz w:val="32"/>
          <w:szCs w:val="32"/>
        </w:rPr>
        <w:t>政府信息公开行政复议、提起行政诉讼情况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A4594" w:rsidTr="00786A04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行政诉讼</w:t>
            </w:r>
          </w:p>
        </w:tc>
      </w:tr>
      <w:tr w:rsidR="004A4594" w:rsidTr="00786A04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71" w:left="-156" w:rightChars="-81" w:right="-178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</w:t>
            </w:r>
          </w:p>
          <w:p w:rsidR="004A4594" w:rsidRDefault="004A4594" w:rsidP="00786A04">
            <w:pPr>
              <w:ind w:leftChars="-71" w:left="-156" w:rightChars="-81" w:right="-1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21" w:left="-45" w:rightChars="-63" w:right="-139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39" w:left="-86" w:rightChars="-46" w:right="-10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56" w:left="-123" w:rightChars="-56" w:right="-123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尚未</w:t>
            </w:r>
          </w:p>
          <w:p w:rsidR="004A4594" w:rsidRDefault="004A4594" w:rsidP="00786A04">
            <w:pPr>
              <w:ind w:leftChars="-56" w:left="-123" w:rightChars="-56" w:right="-12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line="32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总</w:t>
            </w:r>
          </w:p>
          <w:p w:rsidR="004A4594" w:rsidRDefault="004A4594" w:rsidP="00786A04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bookmarkStart w:id="9" w:name="_Hlk67039688"/>
            <w:r>
              <w:rPr>
                <w:rFonts w:ascii="黑体" w:eastAsia="黑体" w:hAnsi="黑体"/>
                <w:sz w:val="20"/>
                <w:szCs w:val="20"/>
              </w:rPr>
              <w:t>复议后起诉</w:t>
            </w:r>
            <w:bookmarkEnd w:id="9"/>
          </w:p>
        </w:tc>
      </w:tr>
      <w:tr w:rsidR="004A4594" w:rsidTr="00786A04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50" w:left="-110" w:rightChars="-60" w:right="-13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41" w:left="-90" w:rightChars="-42" w:right="-9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60" w:left="-132" w:rightChars="-65" w:right="-143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其他</w:t>
            </w:r>
          </w:p>
          <w:p w:rsidR="004A4594" w:rsidRDefault="004A4594" w:rsidP="00786A04">
            <w:pPr>
              <w:ind w:leftChars="-60" w:left="-132" w:rightChars="-65" w:right="-14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78" w:left="-172" w:rightChars="-73" w:right="-161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尚未</w:t>
            </w:r>
          </w:p>
          <w:p w:rsidR="004A4594" w:rsidRDefault="004A4594" w:rsidP="00786A04">
            <w:pPr>
              <w:ind w:leftChars="-78" w:left="-172" w:rightChars="-73" w:right="-16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47" w:left="-103" w:rightChars="-37" w:right="-8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65" w:left="-143" w:rightChars="-59" w:right="-13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</w:t>
            </w:r>
          </w:p>
          <w:p w:rsidR="004A4594" w:rsidRDefault="004A4594" w:rsidP="00786A04">
            <w:pPr>
              <w:ind w:leftChars="-65" w:left="-143" w:rightChars="-59" w:right="-13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83" w:left="-182" w:rightChars="-64" w:right="-141" w:hanging="1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其他</w:t>
            </w:r>
          </w:p>
          <w:p w:rsidR="004A4594" w:rsidRDefault="004A4594" w:rsidP="00786A04">
            <w:pPr>
              <w:ind w:leftChars="-83" w:left="-182" w:rightChars="-64" w:right="-141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ind w:leftChars="-33" w:left="-71" w:rightChars="-50" w:right="-110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总计</w:t>
            </w:r>
          </w:p>
        </w:tc>
      </w:tr>
      <w:tr w:rsidR="004A4594" w:rsidTr="00786A0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594" w:rsidRDefault="004A4594" w:rsidP="00786A04">
            <w:pPr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A41101" w:rsidRDefault="00A41101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color w:val="000000"/>
        </w:rPr>
      </w:pPr>
      <w:r>
        <w:rPr>
          <w:rFonts w:ascii="黑体" w:eastAsia="黑体" w:hint="eastAsia"/>
          <w:color w:val="333333"/>
          <w:sz w:val="32"/>
          <w:szCs w:val="32"/>
        </w:rPr>
        <w:t>五、存在的主要问题及改进情况</w:t>
      </w:r>
    </w:p>
    <w:p w:rsidR="00A41101" w:rsidRPr="005A35AC" w:rsidRDefault="00A41101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我局在政府信息公开工作虽然取得了一定成效，但与社会公众的需求还存在一些差距，主要表现在：</w:t>
      </w:r>
      <w:r w:rsidRPr="00C450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政务公开长效机制有待进一步完善，现有制度执行力度还有待加强；</w:t>
      </w:r>
      <w:r w:rsidR="00E67C3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对信息公开重要性的认识有待提高</w:t>
      </w:r>
      <w:r w:rsidR="00EF66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EF6696" w:rsidRPr="00C450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滕州市民政局将重点从以下方面加强政府信息公开工作。一是进一步健全和完善政府信息公开制度，探索信息公开新形式，规范公开内容，提高公开质量，不断提高政府信息公开水平。二是提高思想认识，加强对《政府信息公开条例》和省、市有关文件的学习，增强工作的主动性和责任意识，准确把握政策要求，提高对政府信息公开工作的认识，努力做好政府信息公开工作。</w:t>
      </w:r>
    </w:p>
    <w:p w:rsidR="00A41101" w:rsidRDefault="00A41101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color w:val="000000"/>
        </w:rPr>
      </w:pPr>
      <w:r>
        <w:rPr>
          <w:rFonts w:ascii="黑体" w:eastAsia="黑体" w:hint="eastAsia"/>
          <w:color w:val="333333"/>
          <w:sz w:val="32"/>
          <w:szCs w:val="32"/>
        </w:rPr>
        <w:lastRenderedPageBreak/>
        <w:t>六、其他需要报告的事项</w:t>
      </w:r>
    </w:p>
    <w:p w:rsidR="00912426" w:rsidRDefault="005A35AC" w:rsidP="00041415">
      <w:pPr>
        <w:pStyle w:val="a4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hAnsi="Tahoma" w:cstheme="minorBidi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1.</w:t>
      </w:r>
      <w:r w:rsidR="00912426" w:rsidRPr="00A7576D"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2021年滕州市民政局未收取任何政府信息公开费用。</w:t>
      </w:r>
    </w:p>
    <w:p w:rsidR="005A35AC" w:rsidRDefault="005A35AC" w:rsidP="00041415">
      <w:pPr>
        <w:pStyle w:val="a4"/>
        <w:spacing w:before="0" w:beforeAutospacing="0" w:after="0" w:afterAutospacing="0"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ahoma" w:cstheme="minorBidi" w:hint="eastAsia"/>
          <w:color w:val="000000"/>
          <w:sz w:val="32"/>
          <w:szCs w:val="32"/>
          <w:shd w:val="clear" w:color="auto" w:fill="FFFFFF"/>
        </w:rPr>
        <w:t>2.</w:t>
      </w:r>
      <w:r w:rsidRPr="005A35A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本行政机关人大代表建议和政协提案办理结果公开情况：</w:t>
      </w:r>
    </w:p>
    <w:p w:rsidR="005A35AC" w:rsidRDefault="005A35AC" w:rsidP="00041415">
      <w:pPr>
        <w:pStyle w:val="a4"/>
        <w:spacing w:before="0" w:beforeAutospacing="0" w:after="0" w:afterAutospacing="0" w:line="600" w:lineRule="exact"/>
        <w:ind w:firstLine="645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2021年，滕州市民政局收到政协提案3件，</w:t>
      </w:r>
      <w:r w:rsidR="00DB58B8">
        <w:rPr>
          <w:rFonts w:ascii="仿宋_GB2312" w:eastAsia="仿宋_GB2312" w:hAnsi="Arial" w:cs="Arial" w:hint="eastAsia"/>
          <w:color w:val="000000"/>
          <w:sz w:val="32"/>
          <w:szCs w:val="32"/>
        </w:rPr>
        <w:t>人大议案2件，都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已办理完毕，逐一答复了代表本人，并将提案办理情况进行了公开。</w:t>
      </w:r>
    </w:p>
    <w:p w:rsidR="0021613B" w:rsidRPr="00F26804" w:rsidRDefault="0021613B" w:rsidP="00041415">
      <w:pPr>
        <w:spacing w:line="600" w:lineRule="exact"/>
        <w:rPr>
          <w:rFonts w:ascii="方正小标宋简体" w:eastAsia="方正小标宋简体"/>
          <w:color w:val="FF0000"/>
          <w:sz w:val="44"/>
          <w:szCs w:val="44"/>
        </w:rPr>
      </w:pPr>
    </w:p>
    <w:sectPr w:rsidR="0021613B" w:rsidRPr="00F268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C3" w:rsidRDefault="001E75C3" w:rsidP="008E48BB">
      <w:pPr>
        <w:spacing w:after="0"/>
      </w:pPr>
      <w:r>
        <w:separator/>
      </w:r>
    </w:p>
  </w:endnote>
  <w:endnote w:type="continuationSeparator" w:id="0">
    <w:p w:rsidR="001E75C3" w:rsidRDefault="001E75C3" w:rsidP="008E48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C3" w:rsidRDefault="001E75C3" w:rsidP="008E48BB">
      <w:pPr>
        <w:spacing w:after="0"/>
      </w:pPr>
      <w:r>
        <w:separator/>
      </w:r>
    </w:p>
  </w:footnote>
  <w:footnote w:type="continuationSeparator" w:id="0">
    <w:p w:rsidR="001E75C3" w:rsidRDefault="001E75C3" w:rsidP="008E48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415"/>
    <w:rsid w:val="00053093"/>
    <w:rsid w:val="000C50C8"/>
    <w:rsid w:val="000C6BA1"/>
    <w:rsid w:val="00105EA2"/>
    <w:rsid w:val="0012345D"/>
    <w:rsid w:val="001E75C3"/>
    <w:rsid w:val="0021613B"/>
    <w:rsid w:val="00230F74"/>
    <w:rsid w:val="002453B2"/>
    <w:rsid w:val="00323B43"/>
    <w:rsid w:val="00380964"/>
    <w:rsid w:val="003D37D8"/>
    <w:rsid w:val="00405366"/>
    <w:rsid w:val="00426133"/>
    <w:rsid w:val="004358AB"/>
    <w:rsid w:val="004A4594"/>
    <w:rsid w:val="00514E94"/>
    <w:rsid w:val="0053628E"/>
    <w:rsid w:val="00576E81"/>
    <w:rsid w:val="005A35AC"/>
    <w:rsid w:val="005E3687"/>
    <w:rsid w:val="00646C50"/>
    <w:rsid w:val="006667A4"/>
    <w:rsid w:val="006763F7"/>
    <w:rsid w:val="006876C4"/>
    <w:rsid w:val="006E649F"/>
    <w:rsid w:val="00724173"/>
    <w:rsid w:val="00800297"/>
    <w:rsid w:val="008453D9"/>
    <w:rsid w:val="008B7726"/>
    <w:rsid w:val="008E48BB"/>
    <w:rsid w:val="00912426"/>
    <w:rsid w:val="00951DBE"/>
    <w:rsid w:val="00997038"/>
    <w:rsid w:val="00A030E4"/>
    <w:rsid w:val="00A41101"/>
    <w:rsid w:val="00A523A1"/>
    <w:rsid w:val="00A7576D"/>
    <w:rsid w:val="00A92EC3"/>
    <w:rsid w:val="00AC5891"/>
    <w:rsid w:val="00AF48DD"/>
    <w:rsid w:val="00AF7298"/>
    <w:rsid w:val="00B03D99"/>
    <w:rsid w:val="00B77EEE"/>
    <w:rsid w:val="00BF6657"/>
    <w:rsid w:val="00C414BD"/>
    <w:rsid w:val="00C45096"/>
    <w:rsid w:val="00C60A46"/>
    <w:rsid w:val="00D31D50"/>
    <w:rsid w:val="00DB58B8"/>
    <w:rsid w:val="00E13853"/>
    <w:rsid w:val="00E67C30"/>
    <w:rsid w:val="00EF6696"/>
    <w:rsid w:val="00F26804"/>
    <w:rsid w:val="00F3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8D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8DD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AF48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8E48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E48B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E48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E48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2022-01-20T03:12:00Z</dcterms:modified>
</cp:coreProperties>
</file>