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滕州市工业和信息化局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2021年政府信息公开年度报告</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华人民共和国政府信息公开条例》规定和省政府办公厅、枣庄市政府办公室、滕州市政府办公室通知要求，特编制滕州市工业和信息化局2021年政府信息公开年度报告并向社会公布。本年度报告中所列数据的统计期限自2021年1月1日起至12月31日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滕州市工业和信息化局严格按照《条例》要求，在市委、市政府的正确领导下，多措并举，全面深入推进政府信息公开，不断完善公开制度、深化公开内容、丰富公开形式，提高了政府工作透明度，为构建运行透明、高效廉洁的政府提供了有力保障。截至2021年12月31日，市工信局政府信息公开工作运行正常，相关工作持续稳步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i w:val="0"/>
          <w:iCs w:val="0"/>
          <w:sz w:val="32"/>
          <w:szCs w:val="32"/>
          <w:lang w:val="en-US" w:eastAsia="zh-CN"/>
        </w:rPr>
      </w:pPr>
      <w:r>
        <w:rPr>
          <w:rFonts w:hint="eastAsia" w:ascii="楷体_GB2312" w:hAnsi="楷体_GB2312" w:eastAsia="楷体_GB2312" w:cs="楷体_GB2312"/>
          <w:b/>
          <w:bCs/>
          <w:i w:val="0"/>
          <w:iCs w:val="0"/>
          <w:sz w:val="32"/>
          <w:szCs w:val="32"/>
          <w:lang w:val="en-US" w:eastAsia="zh-CN"/>
        </w:rPr>
        <w:t>（一）主动公开方面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本部门坚持依法公开、客观公正、内外有别、注重实效、方便监督原则，积极主动地开展政府信息公开工作。全年共主动公开政府信息476条。其中，通过局官方网站公开信息295条，通过信息公开网站公开信息68条，通过局微信公众号公开信息113条。</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val="en-US" w:eastAsia="zh-CN"/>
        </w:rPr>
      </w:pPr>
      <w:r>
        <w:drawing>
          <wp:inline distT="0" distB="0" distL="114300" distR="114300">
            <wp:extent cx="4572000" cy="2743200"/>
            <wp:effectExtent l="4445" t="4445" r="14605" b="1460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2021年滕州市工业和信息化局主动公开政府信息情况分布图（局官方网站）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_GB2312" w:hAnsi="仿宋_GB2312" w:eastAsia="仿宋_GB2312" w:cs="仿宋_GB2312"/>
          <w:b/>
          <w:bCs/>
          <w:sz w:val="24"/>
          <w:szCs w:val="24"/>
          <w:lang w:val="en-US" w:eastAsia="zh-CN"/>
        </w:rPr>
      </w:pPr>
      <w:r>
        <w:drawing>
          <wp:inline distT="0" distB="0" distL="114300" distR="114300">
            <wp:extent cx="5539740" cy="3513455"/>
            <wp:effectExtent l="0" t="0" r="3810" b="10795"/>
            <wp:docPr id="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
                    <pic:cNvPicPr>
                      <a:picLocks noChangeAspect="1"/>
                    </pic:cNvPicPr>
                  </pic:nvPicPr>
                  <pic:blipFill>
                    <a:blip r:embed="rId6"/>
                    <a:stretch>
                      <a:fillRect/>
                    </a:stretch>
                  </pic:blipFill>
                  <pic:spPr>
                    <a:xfrm>
                      <a:off x="0" y="0"/>
                      <a:ext cx="5539740" cy="351345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仿宋_GB2312" w:hAnsi="仿宋_GB2312" w:eastAsia="仿宋_GB2312" w:cs="仿宋_GB2312"/>
          <w:b/>
          <w:bCs/>
          <w:sz w:val="24"/>
          <w:szCs w:val="24"/>
          <w:lang w:val="en-US" w:eastAsia="zh-CN"/>
        </w:rPr>
      </w:pPr>
      <w:r>
        <w:rPr>
          <w:rFonts w:hint="eastAsia" w:ascii="仿宋_GB2312" w:hAnsi="仿宋_GB2312" w:eastAsia="仿宋_GB2312" w:cs="仿宋_GB2312"/>
          <w:b/>
          <w:bCs/>
          <w:sz w:val="24"/>
          <w:szCs w:val="24"/>
          <w:lang w:val="en-US" w:eastAsia="zh-CN"/>
        </w:rPr>
        <w:t>2020年“滕州工信”官方公众号发布的信息情况（部分）</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（二）依申请公开方面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2021年，我局未受理政府信息公开依申请事项。全年未发生针对本部门有关政府信息公开事务的行政复议案及行政诉讼案。</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（三）政府信息管理方面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提高部门信息公开规范化水平，市工信局不断完善细化政府信息公开的工作及服务制度，编制了《滕州市工业和信息化局信息公开指南》、《政府信息依申请公开办理流程图》，实现用制度规范行为、按制度办事、靠制度管人。严格执行“谁公开、谁审查、谁负责”、“先审查、后公开”、“一事一审”等保密审查规定，对拟公开的政府信息，由承办单位提出具体意见，经信息公开操作人员审查后，报信息公开负责领导审批，从源头上落实了保密审查，确保了涉密信息不公开，使政府信息公开工作进一步朝规范化、制度化方向发展，逐步形成长效管理机制。</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（四）平台建设方面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因地制宜、科学高效、方便易行的原则，不断创新公开方式，丰富公开载体，着力打造内容齐全、功能完善、运行稳定的政府信息公开平台。按照《条例》要求，指定专人负责及时更新相关内容，不断完善滕州市政府信息公开网、局门户网站公开内容。运行了“滕州工信”微信公众号，拥有粉丝481名，明确专人负责维护，帮助群众及企业了解滕州工业和信息化发展最新动态，解读和宣传各级扶企惠企政策，聚力打造服务企业新高地和信息共享大平台，助力滕州现代化强市建设。</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（五）监督保障方面</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建立健全了局长为组长、分管副局长为副组长、各科室主要负责人为成员的政务信息公开工作领导小组，形成了主要领导亲自抓，分管领导具体抓，各科室各负其职的工作机制。政务信息公开领导小组办公室实行统一归口管理，承担政务公开和政府信息公开日常工作，确保政务公开工作有序开展。</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（六）其他</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仿宋_GB2312" w:hAnsi="仿宋_GB2312" w:eastAsia="仿宋_GB2312" w:cs="仿宋_GB2312"/>
          <w:sz w:val="32"/>
          <w:szCs w:val="32"/>
          <w:lang w:val="en-US" w:eastAsia="zh-CN"/>
        </w:rPr>
        <w:t>部门政务信息公开已纳入滕州市部门绩效考核；未进行社会评议，未发生责任追究情况。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二、主动公开政府信息情况</w:t>
      </w:r>
    </w:p>
    <w:tbl>
      <w:tblPr>
        <w:tblStyle w:val="5"/>
        <w:tblW w:w="8708" w:type="dxa"/>
        <w:jc w:val="center"/>
        <w:shd w:val="clear" w:color="auto" w:fill="FFFFFF" w:themeFill="background1"/>
        <w:tblLayout w:type="fixed"/>
        <w:tblCellMar>
          <w:top w:w="0" w:type="dxa"/>
          <w:left w:w="0" w:type="dxa"/>
          <w:bottom w:w="0" w:type="dxa"/>
          <w:right w:w="0" w:type="dxa"/>
        </w:tblCellMar>
      </w:tblPr>
      <w:tblGrid>
        <w:gridCol w:w="3073"/>
        <w:gridCol w:w="2009"/>
        <w:gridCol w:w="1785"/>
        <w:gridCol w:w="1841"/>
      </w:tblGrid>
      <w:tr>
        <w:tblPrEx>
          <w:shd w:val="clear" w:color="auto" w:fill="FFFFFF" w:themeFill="background1"/>
          <w:tblCellMar>
            <w:top w:w="0" w:type="dxa"/>
            <w:left w:w="0" w:type="dxa"/>
            <w:bottom w:w="0" w:type="dxa"/>
            <w:right w:w="0" w:type="dxa"/>
          </w:tblCellMar>
        </w:tblPrEx>
        <w:trPr>
          <w:trHeight w:val="399" w:hRule="atLeast"/>
          <w:jc w:val="center"/>
        </w:trPr>
        <w:tc>
          <w:tcPr>
            <w:tcW w:w="8708" w:type="dxa"/>
            <w:gridSpan w:val="4"/>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第二十条第（一）项</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信息内容</w:t>
            </w:r>
          </w:p>
        </w:tc>
        <w:tc>
          <w:tcPr>
            <w:tcW w:w="2009"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本年制发件数</w:t>
            </w:r>
          </w:p>
        </w:tc>
        <w:tc>
          <w:tcPr>
            <w:tcW w:w="178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本年废止件数</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现行有效件数</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规章</w:t>
            </w:r>
          </w:p>
        </w:tc>
        <w:tc>
          <w:tcPr>
            <w:tcW w:w="20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178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1</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行政</w:t>
            </w:r>
            <w:r>
              <w:rPr>
                <w:rFonts w:hint="eastAsia" w:ascii="仿宋_GB2312" w:hAnsi="仿宋_GB2312" w:eastAsia="仿宋_GB2312" w:cs="仿宋_GB2312"/>
                <w:color w:val="auto"/>
                <w:kern w:val="0"/>
                <w:sz w:val="24"/>
                <w:szCs w:val="24"/>
              </w:rPr>
              <w:t>规范性文件</w:t>
            </w:r>
          </w:p>
        </w:tc>
        <w:tc>
          <w:tcPr>
            <w:tcW w:w="2009"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178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c>
          <w:tcPr>
            <w:tcW w:w="1841"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shd w:val="clear" w:color="auto" w:fill="FFFFFF" w:themeFill="background1"/>
          <w:tblCellMar>
            <w:top w:w="0" w:type="dxa"/>
            <w:left w:w="0" w:type="dxa"/>
            <w:bottom w:w="0" w:type="dxa"/>
            <w:right w:w="0" w:type="dxa"/>
          </w:tblCellMar>
        </w:tblPrEx>
        <w:trPr>
          <w:trHeight w:val="399"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第二十条第（五）项</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本年</w:t>
            </w:r>
            <w:r>
              <w:rPr>
                <w:rFonts w:hint="eastAsia" w:ascii="仿宋_GB2312" w:hAnsi="仿宋_GB2312" w:eastAsia="仿宋_GB2312" w:cs="仿宋_GB2312"/>
                <w:color w:val="auto"/>
                <w:kern w:val="0"/>
                <w:sz w:val="24"/>
                <w:szCs w:val="24"/>
              </w:rPr>
              <w:t>处理决定数量</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行政许可</w:t>
            </w:r>
          </w:p>
        </w:tc>
        <w:tc>
          <w:tcPr>
            <w:tcW w:w="563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shd w:val="clear" w:color="auto" w:fill="FFFFFF" w:themeFill="background1"/>
          <w:tblCellMar>
            <w:top w:w="0" w:type="dxa"/>
            <w:left w:w="0" w:type="dxa"/>
            <w:bottom w:w="0" w:type="dxa"/>
            <w:right w:w="0" w:type="dxa"/>
          </w:tblCellMar>
        </w:tblPrEx>
        <w:trPr>
          <w:trHeight w:val="399"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第二十条第（六）项</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信息内容</w:t>
            </w:r>
          </w:p>
        </w:tc>
        <w:tc>
          <w:tcPr>
            <w:tcW w:w="5635" w:type="dxa"/>
            <w:gridSpan w:val="3"/>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lang w:val="en-US" w:eastAsia="zh-CN"/>
              </w:rPr>
              <w:t>本年</w:t>
            </w:r>
            <w:r>
              <w:rPr>
                <w:rFonts w:hint="eastAsia" w:ascii="仿宋_GB2312" w:hAnsi="仿宋_GB2312" w:eastAsia="仿宋_GB2312" w:cs="仿宋_GB2312"/>
                <w:color w:val="auto"/>
                <w:kern w:val="0"/>
                <w:sz w:val="24"/>
                <w:szCs w:val="24"/>
              </w:rPr>
              <w:t>处理决定数量</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行政处罚</w:t>
            </w:r>
          </w:p>
        </w:tc>
        <w:tc>
          <w:tcPr>
            <w:tcW w:w="563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行政强制</w:t>
            </w:r>
          </w:p>
        </w:tc>
        <w:tc>
          <w:tcPr>
            <w:tcW w:w="5635" w:type="dxa"/>
            <w:gridSpan w:val="3"/>
            <w:tcBorders>
              <w:top w:val="nil"/>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r>
        <w:tblPrEx>
          <w:shd w:val="clear" w:color="auto" w:fill="FFFFFF" w:themeFill="background1"/>
          <w:tblCellMar>
            <w:top w:w="0" w:type="dxa"/>
            <w:left w:w="0" w:type="dxa"/>
            <w:bottom w:w="0" w:type="dxa"/>
            <w:right w:w="0" w:type="dxa"/>
          </w:tblCellMar>
        </w:tblPrEx>
        <w:trPr>
          <w:trHeight w:val="399" w:hRule="atLeast"/>
          <w:jc w:val="center"/>
        </w:trPr>
        <w:tc>
          <w:tcPr>
            <w:tcW w:w="8708" w:type="dxa"/>
            <w:gridSpan w:val="4"/>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第二十条第（八）项</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信息内容</w:t>
            </w:r>
          </w:p>
        </w:tc>
        <w:tc>
          <w:tcPr>
            <w:tcW w:w="5635"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本年收费金额（单位：万元）</w:t>
            </w:r>
          </w:p>
        </w:tc>
      </w:tr>
      <w:tr>
        <w:tblPrEx>
          <w:shd w:val="clear" w:color="auto" w:fill="FFFFFF" w:themeFill="background1"/>
          <w:tblCellMar>
            <w:top w:w="0" w:type="dxa"/>
            <w:left w:w="0" w:type="dxa"/>
            <w:bottom w:w="0" w:type="dxa"/>
            <w:right w:w="0" w:type="dxa"/>
          </w:tblCellMar>
        </w:tblPrEx>
        <w:trPr>
          <w:trHeight w:val="399" w:hRule="atLeast"/>
          <w:jc w:val="center"/>
        </w:trPr>
        <w:tc>
          <w:tcPr>
            <w:tcW w:w="3073"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left"/>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行政事业性收费</w:t>
            </w:r>
          </w:p>
        </w:tc>
        <w:tc>
          <w:tcPr>
            <w:tcW w:w="5635" w:type="dxa"/>
            <w:gridSpan w:val="3"/>
            <w:tcBorders>
              <w:top w:val="nil"/>
              <w:left w:val="nil"/>
              <w:bottom w:val="single" w:color="auto" w:sz="8" w:space="0"/>
              <w:right w:val="single" w:color="000000" w:sz="8" w:space="0"/>
            </w:tcBorders>
            <w:shd w:val="clear" w:color="auto" w:fill="auto"/>
            <w:tcMar>
              <w:left w:w="108" w:type="dxa"/>
              <w:right w:w="108" w:type="dxa"/>
            </w:tcMar>
            <w:vAlign w:val="center"/>
          </w:tcPr>
          <w:p>
            <w:pPr>
              <w:widowControl/>
              <w:jc w:val="center"/>
              <w:rPr>
                <w:rFonts w:hint="eastAsia" w:ascii="仿宋_GB2312" w:hAnsi="仿宋_GB2312" w:eastAsia="仿宋_GB2312" w:cs="仿宋_GB2312"/>
                <w:color w:val="auto"/>
                <w:kern w:val="0"/>
                <w:sz w:val="24"/>
                <w:szCs w:val="24"/>
                <w:lang w:val="en-US" w:eastAsia="zh-CN"/>
              </w:rPr>
            </w:pPr>
            <w:r>
              <w:rPr>
                <w:rFonts w:hint="eastAsia" w:ascii="仿宋_GB2312" w:hAnsi="仿宋_GB2312" w:eastAsia="仿宋_GB2312" w:cs="仿宋_GB2312"/>
                <w:color w:val="auto"/>
                <w:kern w:val="0"/>
                <w:sz w:val="24"/>
                <w:szCs w:val="24"/>
                <w:lang w:val="en-US" w:eastAsia="zh-CN"/>
              </w:rPr>
              <w:t>0</w:t>
            </w:r>
          </w:p>
        </w:tc>
      </w:tr>
    </w:tbl>
    <w:p>
      <w:pPr>
        <w:numPr>
          <w:ilvl w:val="0"/>
          <w:numId w:val="0"/>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5"/>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13" w:hRule="atLeast"/>
          <w:jc w:val="center"/>
        </w:trPr>
        <w:tc>
          <w:tcPr>
            <w:tcW w:w="5093" w:type="dxa"/>
            <w:gridSpan w:val="3"/>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楷体_GB2312" w:hAnsi="黑体" w:eastAsia="楷体_GB2312"/>
                <w:kern w:val="0"/>
                <w:sz w:val="21"/>
                <w:szCs w:val="21"/>
              </w:rPr>
            </w:pPr>
            <w:r>
              <w:rPr>
                <w:rFonts w:hint="eastAsia" w:ascii="楷体_GB2312" w:hAnsi="黑体" w:eastAsia="楷体_GB2312"/>
                <w:kern w:val="0"/>
                <w:sz w:val="21"/>
                <w:szCs w:val="21"/>
              </w:rPr>
              <w:t>（本列数据的勾稽关系为：第一项加第二项之和，</w:t>
            </w:r>
          </w:p>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仿宋_GB2312" w:hAnsi="Times New Roman" w:eastAsia="仿宋_GB2312"/>
                <w:sz w:val="21"/>
                <w:szCs w:val="21"/>
              </w:rPr>
            </w:pPr>
            <w:r>
              <w:rPr>
                <w:rFonts w:hint="eastAsia" w:ascii="楷体_GB2312" w:hAnsi="黑体" w:eastAsia="楷体_GB2312"/>
                <w:kern w:val="0"/>
                <w:sz w:val="21"/>
                <w:szCs w:val="21"/>
              </w:rPr>
              <w:t>等于第三项加第四项之和）</w:t>
            </w:r>
          </w:p>
        </w:tc>
        <w:tc>
          <w:tcPr>
            <w:tcW w:w="4820" w:type="dxa"/>
            <w:gridSpan w:val="7"/>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sz w:val="21"/>
                <w:szCs w:val="21"/>
              </w:rPr>
            </w:pPr>
            <w:r>
              <w:rPr>
                <w:rFonts w:hint="eastAsia" w:ascii="黑体" w:hAnsi="黑体" w:eastAsia="黑体"/>
                <w:kern w:val="0"/>
                <w:sz w:val="21"/>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25" w:hRule="atLeast"/>
          <w:jc w:val="center"/>
        </w:trPr>
        <w:tc>
          <w:tcPr>
            <w:tcW w:w="5093"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sz w:val="21"/>
                <w:szCs w:val="21"/>
              </w:rPr>
            </w:pPr>
          </w:p>
        </w:tc>
        <w:tc>
          <w:tcPr>
            <w:tcW w:w="829"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sz w:val="21"/>
                <w:szCs w:val="21"/>
              </w:rPr>
            </w:pPr>
            <w:r>
              <w:rPr>
                <w:rFonts w:hint="eastAsia" w:ascii="黑体" w:hAnsi="黑体" w:eastAsia="黑体"/>
                <w:kern w:val="0"/>
                <w:sz w:val="21"/>
                <w:szCs w:val="21"/>
              </w:rPr>
              <w:t>自然人</w:t>
            </w:r>
          </w:p>
        </w:tc>
        <w:tc>
          <w:tcPr>
            <w:tcW w:w="3140" w:type="dxa"/>
            <w:gridSpan w:val="5"/>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sz w:val="21"/>
                <w:szCs w:val="21"/>
              </w:rPr>
            </w:pPr>
            <w:r>
              <w:rPr>
                <w:rFonts w:hint="eastAsia" w:ascii="黑体" w:hAnsi="黑体" w:eastAsia="黑体"/>
                <w:kern w:val="0"/>
                <w:sz w:val="21"/>
                <w:szCs w:val="21"/>
              </w:rPr>
              <w:t>法人或其他组织</w:t>
            </w:r>
          </w:p>
        </w:tc>
        <w:tc>
          <w:tcPr>
            <w:tcW w:w="85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ascii="黑体" w:hAnsi="黑体" w:eastAsia="黑体"/>
                <w:sz w:val="21"/>
                <w:szCs w:val="21"/>
              </w:rPr>
            </w:pPr>
            <w:r>
              <w:rPr>
                <w:rFonts w:hint="eastAsia" w:ascii="黑体" w:hAnsi="黑体" w:eastAsia="黑体"/>
                <w:kern w:val="0"/>
                <w:sz w:val="21"/>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22" w:hRule="atLeast"/>
          <w:jc w:val="center"/>
        </w:trPr>
        <w:tc>
          <w:tcPr>
            <w:tcW w:w="5093" w:type="dxa"/>
            <w:gridSpan w:val="3"/>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sz w:val="21"/>
                <w:szCs w:val="21"/>
              </w:rPr>
            </w:pPr>
          </w:p>
        </w:tc>
        <w:tc>
          <w:tcPr>
            <w:tcW w:w="829"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黑体" w:hAnsi="黑体" w:eastAsia="黑体"/>
                <w:sz w:val="21"/>
                <w:szCs w:val="21"/>
              </w:rPr>
            </w:pP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sz w:val="21"/>
                <w:szCs w:val="21"/>
              </w:rPr>
            </w:pPr>
            <w:r>
              <w:rPr>
                <w:rFonts w:hint="eastAsia" w:ascii="黑体" w:hAnsi="黑体" w:eastAsia="黑体"/>
                <w:kern w:val="0"/>
                <w:sz w:val="21"/>
                <w:szCs w:val="21"/>
              </w:rPr>
              <w:t>商业企业</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sz w:val="21"/>
                <w:szCs w:val="21"/>
              </w:rPr>
            </w:pPr>
            <w:r>
              <w:rPr>
                <w:rFonts w:hint="eastAsia" w:ascii="黑体" w:hAnsi="黑体" w:eastAsia="黑体"/>
                <w:kern w:val="0"/>
                <w:sz w:val="21"/>
                <w:szCs w:val="21"/>
              </w:rPr>
              <w:t>科研机构</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right="-107" w:rightChars="-51"/>
              <w:jc w:val="center"/>
              <w:textAlignment w:val="auto"/>
              <w:rPr>
                <w:rFonts w:ascii="黑体" w:hAnsi="黑体" w:eastAsia="黑体"/>
                <w:sz w:val="21"/>
                <w:szCs w:val="21"/>
              </w:rPr>
            </w:pPr>
            <w:r>
              <w:rPr>
                <w:rFonts w:hint="eastAsia" w:ascii="黑体" w:hAnsi="黑体" w:eastAsia="黑体"/>
                <w:kern w:val="0"/>
                <w:sz w:val="21"/>
                <w:szCs w:val="21"/>
              </w:rPr>
              <w:t>社会公益组织</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6" w:leftChars="-51" w:right="-107" w:rightChars="-51" w:hanging="1"/>
              <w:jc w:val="center"/>
              <w:textAlignment w:val="auto"/>
              <w:rPr>
                <w:rFonts w:ascii="黑体" w:hAnsi="黑体" w:eastAsia="黑体"/>
                <w:sz w:val="21"/>
                <w:szCs w:val="21"/>
              </w:rPr>
            </w:pPr>
            <w:r>
              <w:rPr>
                <w:rFonts w:hint="eastAsia" w:ascii="黑体" w:hAnsi="黑体" w:eastAsia="黑体"/>
                <w:kern w:val="0"/>
                <w:sz w:val="21"/>
                <w:szCs w:val="21"/>
              </w:rPr>
              <w:t>法律服务机构</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63" w:leftChars="-30" w:right="-134" w:rightChars="-64"/>
              <w:jc w:val="center"/>
              <w:textAlignment w:val="auto"/>
              <w:rPr>
                <w:rFonts w:ascii="黑体" w:hAnsi="黑体" w:eastAsia="黑体"/>
                <w:sz w:val="21"/>
                <w:szCs w:val="21"/>
              </w:rPr>
            </w:pPr>
            <w:r>
              <w:rPr>
                <w:rFonts w:hint="eastAsia" w:ascii="黑体" w:hAnsi="黑体" w:eastAsia="黑体"/>
                <w:kern w:val="0"/>
                <w:sz w:val="21"/>
                <w:szCs w:val="21"/>
              </w:rPr>
              <w:t>其他</w:t>
            </w:r>
          </w:p>
        </w:tc>
        <w:tc>
          <w:tcPr>
            <w:tcW w:w="85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ascii="仿宋_GB2312" w:hAnsi="Times New Roman" w:eastAsia="仿宋_GB2312"/>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107"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sz w:val="21"/>
                <w:szCs w:val="21"/>
              </w:rPr>
            </w:pPr>
            <w:r>
              <w:rPr>
                <w:rFonts w:hint="eastAsia" w:ascii="黑体" w:hAnsi="黑体" w:eastAsia="黑体"/>
                <w:kern w:val="0"/>
                <w:sz w:val="21"/>
                <w:szCs w:val="21"/>
              </w:rPr>
              <w:t>一、</w:t>
            </w:r>
            <w:bookmarkStart w:id="0" w:name="_Hlk66973412"/>
            <w:r>
              <w:rPr>
                <w:rFonts w:hint="eastAsia" w:ascii="黑体" w:hAnsi="黑体" w:eastAsia="黑体"/>
                <w:kern w:val="0"/>
                <w:sz w:val="21"/>
                <w:szCs w:val="21"/>
              </w:rPr>
              <w:t>本年新收政府信息公开申请数量</w:t>
            </w:r>
            <w:bookmarkEnd w:id="0"/>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20" w:hRule="atLeas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sz w:val="21"/>
                <w:szCs w:val="21"/>
              </w:rPr>
            </w:pPr>
            <w:r>
              <w:rPr>
                <w:rFonts w:hint="eastAsia" w:ascii="黑体" w:hAnsi="黑体" w:eastAsia="黑体"/>
                <w:kern w:val="0"/>
                <w:sz w:val="21"/>
                <w:szCs w:val="21"/>
              </w:rPr>
              <w:t>二、上年结转政府信息公开申请数量</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sz w:val="21"/>
                <w:szCs w:val="21"/>
              </w:rPr>
            </w:pPr>
            <w:r>
              <w:rPr>
                <w:rFonts w:hint="eastAsia" w:ascii="黑体" w:hAnsi="黑体" w:eastAsia="黑体"/>
                <w:kern w:val="0"/>
                <w:sz w:val="21"/>
                <w:szCs w:val="21"/>
              </w:rPr>
              <w:t>三、本年度办理结果</w:t>
            </w: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sz w:val="21"/>
                <w:szCs w:val="21"/>
              </w:rPr>
            </w:pPr>
            <w:r>
              <w:rPr>
                <w:rFonts w:hint="eastAsia" w:ascii="黑体" w:hAnsi="黑体" w:eastAsia="黑体"/>
                <w:kern w:val="0"/>
                <w:sz w:val="21"/>
                <w:szCs w:val="21"/>
              </w:rPr>
              <w:t>（一）予以公开</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sz w:val="21"/>
                <w:szCs w:val="21"/>
              </w:rPr>
            </w:pPr>
            <w:r>
              <w:rPr>
                <w:rFonts w:hint="eastAsia" w:ascii="黑体" w:hAnsi="黑体" w:eastAsia="黑体"/>
                <w:kern w:val="0"/>
                <w:sz w:val="21"/>
                <w:szCs w:val="21"/>
              </w:rPr>
              <w:t>（二）部分公开（</w:t>
            </w:r>
            <w:bookmarkStart w:id="1" w:name="_Hlk66973981"/>
            <w:r>
              <w:rPr>
                <w:rFonts w:hint="eastAsia" w:ascii="黑体" w:hAnsi="黑体" w:eastAsia="黑体"/>
                <w:kern w:val="0"/>
                <w:sz w:val="21"/>
                <w:szCs w:val="21"/>
              </w:rPr>
              <w:t>区分处理的，只计这一情形，不计其他情形</w:t>
            </w:r>
            <w:bookmarkEnd w:id="1"/>
            <w:r>
              <w:rPr>
                <w:rFonts w:hint="eastAsia" w:ascii="黑体" w:hAnsi="黑体" w:eastAsia="黑体"/>
                <w:kern w:val="0"/>
                <w:sz w:val="21"/>
                <w:szCs w:val="21"/>
              </w:rPr>
              <w:t>）</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sz w:val="21"/>
                <w:szCs w:val="21"/>
                <w:lang w:val="en-US" w:eastAsia="zh-CN"/>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sz w:val="21"/>
                <w:szCs w:val="21"/>
              </w:rPr>
            </w:pPr>
            <w:r>
              <w:rPr>
                <w:rFonts w:hint="eastAsia" w:ascii="黑体" w:hAnsi="黑体" w:eastAsia="黑体"/>
                <w:kern w:val="0"/>
                <w:sz w:val="21"/>
                <w:szCs w:val="21"/>
              </w:rPr>
              <w:t>（三）不予公开</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1.属于国家秘密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2.</w:t>
            </w:r>
            <w:bookmarkStart w:id="2" w:name="_Hlk66974104"/>
            <w:r>
              <w:rPr>
                <w:rFonts w:hint="eastAsia" w:ascii="仿宋_GB2312" w:hAnsi="黑体" w:eastAsia="仿宋_GB2312"/>
                <w:kern w:val="0"/>
                <w:sz w:val="21"/>
                <w:szCs w:val="21"/>
              </w:rPr>
              <w:t>其他法律行政法规禁止公开</w:t>
            </w:r>
            <w:bookmarkEnd w:id="2"/>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3.危及“三安全一稳定”</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4.</w:t>
            </w:r>
            <w:bookmarkStart w:id="3" w:name="_Hlk66974290"/>
            <w:r>
              <w:rPr>
                <w:rFonts w:hint="eastAsia" w:ascii="仿宋_GB2312" w:hAnsi="黑体" w:eastAsia="仿宋_GB2312"/>
                <w:kern w:val="0"/>
                <w:sz w:val="21"/>
                <w:szCs w:val="21"/>
              </w:rPr>
              <w:t>保护第三方合法权益</w:t>
            </w:r>
            <w:bookmarkEnd w:id="3"/>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5.属于三类内部事务信息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6.</w:t>
            </w:r>
            <w:bookmarkStart w:id="4" w:name="_Hlk66974555"/>
            <w:r>
              <w:rPr>
                <w:rFonts w:hint="eastAsia" w:ascii="仿宋_GB2312" w:hAnsi="黑体" w:eastAsia="仿宋_GB2312"/>
                <w:kern w:val="0"/>
                <w:sz w:val="21"/>
                <w:szCs w:val="21"/>
              </w:rPr>
              <w:t>属于四类过程性信息</w:t>
            </w:r>
            <w:bookmarkEnd w:id="4"/>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7.属于行政执法案卷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8.</w:t>
            </w:r>
            <w:bookmarkStart w:id="5" w:name="_Hlk66975211"/>
            <w:r>
              <w:rPr>
                <w:rFonts w:hint="eastAsia" w:ascii="仿宋_GB2312" w:hAnsi="黑体" w:eastAsia="仿宋_GB2312"/>
                <w:kern w:val="0"/>
                <w:sz w:val="21"/>
                <w:szCs w:val="21"/>
              </w:rPr>
              <w:t>属于行政查询事项</w:t>
            </w:r>
            <w:bookmarkEnd w:id="5"/>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sz w:val="21"/>
                <w:szCs w:val="21"/>
              </w:rPr>
            </w:pPr>
            <w:r>
              <w:rPr>
                <w:rFonts w:hint="eastAsia" w:ascii="黑体" w:hAnsi="黑体" w:eastAsia="黑体"/>
                <w:kern w:val="0"/>
                <w:sz w:val="21"/>
                <w:szCs w:val="21"/>
              </w:rPr>
              <w:t>（四）无法提供</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1.本机关不掌握相关政府信息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2.</w:t>
            </w:r>
            <w:bookmarkStart w:id="6" w:name="_Hlk66975392"/>
            <w:r>
              <w:rPr>
                <w:rFonts w:hint="eastAsia" w:ascii="仿宋_GB2312" w:hAnsi="黑体" w:eastAsia="仿宋_GB2312"/>
                <w:kern w:val="0"/>
                <w:sz w:val="21"/>
                <w:szCs w:val="21"/>
              </w:rPr>
              <w:t>没有现成信息需要另行制作</w:t>
            </w:r>
            <w:bookmarkEnd w:id="6"/>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ind w:left="-107" w:leftChars="-51"/>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3.</w:t>
            </w:r>
            <w:bookmarkStart w:id="7" w:name="_Hlk66975466"/>
            <w:r>
              <w:rPr>
                <w:rFonts w:hint="eastAsia" w:ascii="仿宋_GB2312" w:hAnsi="黑体" w:eastAsia="仿宋_GB2312"/>
                <w:kern w:val="0"/>
                <w:sz w:val="21"/>
                <w:szCs w:val="21"/>
              </w:rPr>
              <w:t>补正后申请内容仍不明确</w:t>
            </w:r>
            <w:bookmarkEnd w:id="7"/>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107" w:leftChars="-51"/>
              <w:textAlignment w:val="auto"/>
              <w:rPr>
                <w:rFonts w:ascii="黑体" w:hAnsi="黑体" w:eastAsia="黑体"/>
                <w:sz w:val="21"/>
                <w:szCs w:val="21"/>
              </w:rPr>
            </w:pPr>
            <w:r>
              <w:rPr>
                <w:rFonts w:hint="eastAsia" w:ascii="黑体" w:hAnsi="黑体" w:eastAsia="黑体"/>
                <w:kern w:val="0"/>
                <w:sz w:val="21"/>
                <w:szCs w:val="21"/>
              </w:rPr>
              <w:t>（五）不予处理</w:t>
            </w: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1.</w:t>
            </w:r>
            <w:bookmarkStart w:id="8" w:name="_Hlk66975537"/>
            <w:r>
              <w:rPr>
                <w:rFonts w:hint="eastAsia" w:ascii="仿宋_GB2312" w:hAnsi="黑体" w:eastAsia="仿宋_GB2312"/>
                <w:kern w:val="0"/>
                <w:sz w:val="21"/>
                <w:szCs w:val="21"/>
              </w:rPr>
              <w:t>信访举报投诉类申请</w:t>
            </w:r>
            <w:bookmarkEnd w:id="8"/>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2.重复申请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454"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sz w:val="21"/>
                <w:szCs w:val="21"/>
              </w:rPr>
            </w:pPr>
            <w:r>
              <w:rPr>
                <w:rFonts w:hint="eastAsia" w:ascii="仿宋_GB2312" w:hAnsi="黑体" w:eastAsia="仿宋_GB2312"/>
                <w:kern w:val="0"/>
                <w:sz w:val="21"/>
                <w:szCs w:val="21"/>
              </w:rPr>
              <w:t>3.要求提供公开出版物</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trHeight w:val="397" w:hRule="exac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sz w:val="21"/>
                <w:szCs w:val="21"/>
              </w:rPr>
            </w:pPr>
            <w:r>
              <w:rPr>
                <w:rFonts w:hint="eastAsia" w:ascii="仿宋_GB2312" w:hAnsi="黑体" w:eastAsia="仿宋_GB2312"/>
                <w:kern w:val="0"/>
                <w:sz w:val="21"/>
                <w:szCs w:val="21"/>
              </w:rPr>
              <w:t>4.无正当理由大量反复申请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2976"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黑体" w:eastAsia="仿宋_GB2312"/>
                <w:kern w:val="0"/>
                <w:sz w:val="21"/>
                <w:szCs w:val="21"/>
              </w:rPr>
              <w:t>5.要求行政机关确认或重新</w:t>
            </w:r>
          </w:p>
          <w:p>
            <w:pPr>
              <w:keepNext w:val="0"/>
              <w:keepLines w:val="0"/>
              <w:pageBreakBefore w:val="0"/>
              <w:widowControl/>
              <w:kinsoku/>
              <w:wordWrap/>
              <w:overflowPunct/>
              <w:topLinePunct w:val="0"/>
              <w:autoSpaceDE/>
              <w:autoSpaceDN/>
              <w:bidi w:val="0"/>
              <w:adjustRightInd/>
              <w:snapToGrid/>
              <w:spacing w:line="240" w:lineRule="auto"/>
              <w:ind w:firstLine="210" w:firstLineChars="100"/>
              <w:textAlignment w:val="auto"/>
              <w:rPr>
                <w:rFonts w:ascii="仿宋_GB2312" w:hAnsi="黑体" w:eastAsia="仿宋_GB2312"/>
                <w:sz w:val="21"/>
                <w:szCs w:val="21"/>
              </w:rPr>
            </w:pPr>
            <w:r>
              <w:rPr>
                <w:rFonts w:hint="eastAsia" w:ascii="仿宋_GB2312" w:hAnsi="黑体" w:eastAsia="仿宋_GB2312"/>
                <w:kern w:val="0"/>
                <w:sz w:val="21"/>
                <w:szCs w:val="21"/>
              </w:rPr>
              <w:t>出具已获取信息</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restart"/>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kern w:val="0"/>
                <w:sz w:val="21"/>
                <w:szCs w:val="21"/>
              </w:rPr>
            </w:pPr>
            <w:r>
              <w:rPr>
                <w:rFonts w:hint="eastAsia" w:ascii="黑体" w:hAnsi="黑体" w:eastAsia="黑体"/>
                <w:kern w:val="0"/>
                <w:sz w:val="21"/>
                <w:szCs w:val="21"/>
              </w:rPr>
              <w:t>（六）其他处理</w:t>
            </w: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楷体" w:eastAsia="仿宋_GB2312"/>
                <w:sz w:val="21"/>
                <w:szCs w:val="21"/>
              </w:rPr>
            </w:pPr>
            <w:r>
              <w:rPr>
                <w:rFonts w:hint="eastAsia" w:ascii="仿宋_GB2312" w:hAnsi="楷体" w:eastAsia="仿宋_GB2312"/>
                <w:sz w:val="21"/>
                <w:szCs w:val="21"/>
              </w:rPr>
              <w:t>1.申请人无正当理由逾期不补正、行政机关不再处理其政府信息公开申请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kern w:val="0"/>
                <w:sz w:val="21"/>
                <w:szCs w:val="21"/>
              </w:rPr>
            </w:pP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楷体" w:eastAsia="仿宋_GB2312"/>
                <w:sz w:val="21"/>
                <w:szCs w:val="21"/>
              </w:rPr>
              <w:t>2.申请人逾期未按收费通知要求缴纳费用、行政机关不再处理其政府信息公开申请</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1701" w:type="dxa"/>
            <w:vMerge w:val="continue"/>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kern w:val="0"/>
                <w:sz w:val="21"/>
                <w:szCs w:val="21"/>
              </w:rPr>
            </w:pPr>
          </w:p>
        </w:tc>
        <w:tc>
          <w:tcPr>
            <w:tcW w:w="2976" w:type="dxa"/>
            <w:noWrap w:val="0"/>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仿宋_GB2312" w:hAnsi="黑体" w:eastAsia="仿宋_GB2312"/>
                <w:kern w:val="0"/>
                <w:sz w:val="21"/>
                <w:szCs w:val="21"/>
              </w:rPr>
            </w:pPr>
            <w:r>
              <w:rPr>
                <w:rFonts w:hint="eastAsia" w:ascii="仿宋_GB2312" w:hAnsi="楷体" w:eastAsia="仿宋_GB2312"/>
                <w:sz w:val="21"/>
                <w:szCs w:val="21"/>
              </w:rPr>
              <w:t>3.其他</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416" w:type="dxa"/>
            <w:vMerge w:val="continue"/>
            <w:noWrap w:val="0"/>
            <w:tcMar>
              <w:left w:w="108" w:type="dxa"/>
              <w:right w:w="108" w:type="dxa"/>
            </w:tcMar>
            <w:vAlign w:val="center"/>
          </w:tcPr>
          <w:p>
            <w:pPr>
              <w:keepNext w:val="0"/>
              <w:keepLines w:val="0"/>
              <w:pageBreakBefore w:val="0"/>
              <w:kinsoku/>
              <w:wordWrap/>
              <w:overflowPunct/>
              <w:topLinePunct w:val="0"/>
              <w:autoSpaceDE/>
              <w:autoSpaceDN/>
              <w:bidi w:val="0"/>
              <w:adjustRightInd/>
              <w:snapToGrid/>
              <w:spacing w:line="240" w:lineRule="auto"/>
              <w:textAlignment w:val="auto"/>
              <w:rPr>
                <w:rFonts w:ascii="黑体" w:hAnsi="黑体" w:eastAsia="黑体"/>
                <w:sz w:val="21"/>
                <w:szCs w:val="21"/>
              </w:rPr>
            </w:pPr>
          </w:p>
        </w:tc>
        <w:tc>
          <w:tcPr>
            <w:tcW w:w="4677" w:type="dxa"/>
            <w:gridSpan w:val="2"/>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kern w:val="0"/>
                <w:sz w:val="21"/>
                <w:szCs w:val="21"/>
              </w:rPr>
            </w:pPr>
            <w:r>
              <w:rPr>
                <w:rFonts w:hint="eastAsia" w:ascii="黑体" w:hAnsi="黑体" w:eastAsia="黑体"/>
                <w:kern w:val="0"/>
                <w:sz w:val="21"/>
                <w:szCs w:val="21"/>
              </w:rPr>
              <w:t>（七）总计</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cantSplit/>
          <w:jc w:val="center"/>
        </w:trPr>
        <w:tc>
          <w:tcPr>
            <w:tcW w:w="5093" w:type="dxa"/>
            <w:gridSpan w:val="3"/>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textAlignment w:val="auto"/>
              <w:rPr>
                <w:rFonts w:ascii="黑体" w:hAnsi="黑体" w:eastAsia="黑体"/>
                <w:kern w:val="0"/>
                <w:sz w:val="21"/>
                <w:szCs w:val="21"/>
              </w:rPr>
            </w:pPr>
            <w:r>
              <w:rPr>
                <w:rFonts w:hint="eastAsia" w:ascii="黑体" w:hAnsi="黑体" w:eastAsia="黑体"/>
                <w:kern w:val="0"/>
                <w:sz w:val="21"/>
                <w:szCs w:val="21"/>
              </w:rPr>
              <w:t>四、结转下年度继续办理</w:t>
            </w:r>
          </w:p>
        </w:tc>
        <w:tc>
          <w:tcPr>
            <w:tcW w:w="829"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3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708"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567"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c>
          <w:tcPr>
            <w:tcW w:w="851" w:type="dxa"/>
            <w:noWrap w:val="0"/>
            <w:tcMar>
              <w:left w:w="108"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Times New Roman" w:eastAsia="仿宋_GB2312" w:cs="Times New Roman"/>
                <w:kern w:val="2"/>
                <w:sz w:val="21"/>
                <w:szCs w:val="21"/>
                <w:lang w:val="en-US" w:eastAsia="zh-CN" w:bidi="ar-SA"/>
              </w:rPr>
            </w:pPr>
            <w:r>
              <w:rPr>
                <w:rFonts w:hint="eastAsia" w:ascii="仿宋_GB2312" w:eastAsia="仿宋_GB2312"/>
                <w:sz w:val="21"/>
                <w:szCs w:val="21"/>
                <w:lang w:val="en-US" w:eastAsia="zh-CN"/>
              </w:rPr>
              <w:t>0</w:t>
            </w:r>
          </w:p>
        </w:tc>
      </w:tr>
    </w:tbl>
    <w:p>
      <w:pPr>
        <w:numPr>
          <w:ilvl w:val="0"/>
          <w:numId w:val="0"/>
        </w:numPr>
        <w:ind w:leftChars="0"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四、政府信息公开行政复议、行政诉讼情况</w:t>
      </w:r>
    </w:p>
    <w:tbl>
      <w:tblPr>
        <w:tblStyle w:val="5"/>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49" w:leftChars="-71" w:right="-170" w:rightChars="-81"/>
              <w:jc w:val="center"/>
            </w:pPr>
            <w:r>
              <w:rPr>
                <w:rFonts w:hint="eastAsia" w:ascii="宋体" w:hAnsi="宋体" w:eastAsia="宋体" w:cs="宋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18" w:leftChars="-56" w:right="-118" w:rightChars="-56"/>
              <w:jc w:val="center"/>
            </w:pPr>
            <w:r>
              <w:rPr>
                <w:rFonts w:hint="eastAsia" w:ascii="宋体" w:hAnsi="宋体" w:eastAsia="宋体" w:cs="宋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hint="eastAsia" w:ascii="宋体" w:hAnsi="宋体" w:eastAsia="宋体" w:cs="宋体"/>
                <w:kern w:val="0"/>
                <w:sz w:val="20"/>
                <w:szCs w:val="20"/>
              </w:rPr>
            </w:pPr>
            <w:r>
              <w:rPr>
                <w:rFonts w:hint="eastAsia" w:ascii="宋体" w:hAnsi="宋体" w:eastAsia="宋体" w:cs="宋体"/>
                <w:kern w:val="0"/>
                <w:sz w:val="20"/>
                <w:szCs w:val="20"/>
              </w:rPr>
              <w:t>总</w:t>
            </w:r>
          </w:p>
          <w:p>
            <w:pPr>
              <w:widowControl/>
              <w:spacing w:line="320" w:lineRule="exact"/>
              <w:jc w:val="center"/>
            </w:pPr>
            <w:r>
              <w:rPr>
                <w:rFonts w:hint="eastAsia" w:ascii="宋体" w:hAnsi="宋体" w:eastAsia="宋体" w:cs="宋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宋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hint="eastAsia" w:ascii="宋体" w:hAnsi="宋体" w:eastAsia="宋体" w:cs="宋体"/>
                <w:kern w:val="0"/>
                <w:sz w:val="20"/>
                <w:szCs w:val="20"/>
              </w:rPr>
            </w:pPr>
            <w:r>
              <w:rPr>
                <w:rFonts w:hint="eastAsia" w:ascii="宋体" w:hAnsi="宋体" w:eastAsia="宋体" w:cs="宋体"/>
                <w:kern w:val="0"/>
                <w:sz w:val="20"/>
                <w:szCs w:val="20"/>
              </w:rPr>
              <w:t>其他</w:t>
            </w:r>
          </w:p>
          <w:p>
            <w:pPr>
              <w:widowControl/>
              <w:ind w:left="-126" w:leftChars="-60" w:right="-136" w:rightChars="-65"/>
              <w:jc w:val="center"/>
            </w:pPr>
            <w:r>
              <w:rPr>
                <w:rFonts w:hint="eastAsia" w:ascii="宋体" w:hAnsi="宋体" w:eastAsia="宋体" w:cs="宋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hint="eastAsia" w:ascii="宋体" w:hAnsi="宋体" w:eastAsia="宋体" w:cs="宋体"/>
                <w:kern w:val="0"/>
                <w:sz w:val="20"/>
                <w:szCs w:val="20"/>
              </w:rPr>
            </w:pPr>
            <w:r>
              <w:rPr>
                <w:rFonts w:hint="eastAsia" w:ascii="宋体" w:hAnsi="宋体" w:eastAsia="宋体" w:cs="宋体"/>
                <w:kern w:val="0"/>
                <w:sz w:val="20"/>
                <w:szCs w:val="20"/>
              </w:rPr>
              <w:t>尚未</w:t>
            </w:r>
          </w:p>
          <w:p>
            <w:pPr>
              <w:widowControl/>
              <w:ind w:left="-164" w:leftChars="-78" w:right="-153" w:rightChars="-73"/>
              <w:jc w:val="center"/>
            </w:pPr>
            <w:r>
              <w:rPr>
                <w:rFonts w:hint="eastAsia" w:ascii="宋体" w:hAnsi="宋体" w:eastAsia="宋体" w:cs="宋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hint="eastAsia" w:ascii="宋体" w:hAnsi="宋体" w:eastAsia="宋体" w:cs="宋体"/>
                <w:kern w:val="0"/>
                <w:sz w:val="20"/>
                <w:szCs w:val="20"/>
              </w:rPr>
            </w:pPr>
            <w:r>
              <w:rPr>
                <w:rFonts w:hint="eastAsia" w:ascii="宋体" w:hAnsi="宋体" w:eastAsia="宋体" w:cs="宋体"/>
                <w:kern w:val="0"/>
                <w:sz w:val="20"/>
                <w:szCs w:val="20"/>
              </w:rPr>
              <w:t>结果</w:t>
            </w:r>
          </w:p>
          <w:p>
            <w:pPr>
              <w:widowControl/>
              <w:ind w:left="-136" w:leftChars="-65" w:right="-124" w:rightChars="-59"/>
              <w:jc w:val="center"/>
            </w:pPr>
            <w:r>
              <w:rPr>
                <w:rFonts w:hint="eastAsia" w:ascii="宋体" w:hAnsi="宋体" w:eastAsia="宋体" w:cs="宋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其他</w:t>
            </w:r>
          </w:p>
          <w:p>
            <w:pPr>
              <w:widowControl/>
              <w:ind w:left="-173" w:leftChars="-83" w:right="-134" w:rightChars="-64" w:hanging="1"/>
              <w:jc w:val="center"/>
            </w:pPr>
            <w:r>
              <w:rPr>
                <w:rFonts w:hint="eastAsia" w:ascii="宋体" w:hAnsi="宋体" w:eastAsia="宋体" w:cs="宋体"/>
                <w:color w:val="000000"/>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eastAsia="宋体" w:cs="宋体"/>
                <w:color w:val="000000"/>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2" w:hRule="atLeast"/>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（一）存在问题</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both"/>
        <w:textAlignment w:val="auto"/>
        <w:rPr>
          <w:rFonts w:hint="eastAsia" w:ascii="仿宋_GB2312" w:hAnsi="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宣传工作力度有待加强，社会公众对我局的职能和作用认识还不够深，依申请公开政府信息的意识还不够强;</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公开质量还不够高，存有公开不及时、不规范、不全面等问题；</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政府信息公开的深度、广度有待进一步延伸，公开信息需进一步充实。</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jc w:val="left"/>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（二）整改措施</w:t>
      </w:r>
    </w:p>
    <w:p>
      <w:pPr>
        <w:keepNext w:val="0"/>
        <w:keepLines w:val="0"/>
        <w:pageBreakBefore w:val="0"/>
        <w:widowControl w:val="0"/>
        <w:numPr>
          <w:ilvl w:val="0"/>
          <w:numId w:val="0"/>
        </w:numPr>
        <w:kinsoku/>
        <w:wordWrap/>
        <w:overflowPunct/>
        <w:topLinePunct w:val="0"/>
        <w:autoSpaceDE/>
        <w:autoSpaceDN/>
        <w:bidi w:val="0"/>
        <w:spacing w:line="56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下一步，我局将有针对性地改进信息公开工作的薄弱环节，进一步提高政府信息公开工作的质量和水平。</w:t>
      </w:r>
      <w:r>
        <w:rPr>
          <w:rFonts w:hint="eastAsia" w:ascii="仿宋_GB2312" w:hAnsi="仿宋_GB2312" w:eastAsia="仿宋_GB2312" w:cs="仿宋_GB2312"/>
          <w:b/>
          <w:bCs/>
          <w:sz w:val="32"/>
          <w:szCs w:val="32"/>
          <w:lang w:val="en-US" w:eastAsia="zh-CN"/>
        </w:rPr>
        <w:t>一是加强领导，提高思想认识。</w:t>
      </w:r>
      <w:r>
        <w:rPr>
          <w:rFonts w:hint="eastAsia" w:ascii="仿宋_GB2312" w:hAnsi="仿宋_GB2312" w:eastAsia="仿宋_GB2312" w:cs="仿宋_GB2312"/>
          <w:sz w:val="32"/>
          <w:szCs w:val="32"/>
          <w:lang w:val="en-US" w:eastAsia="zh-CN"/>
        </w:rPr>
        <w:t>明确任务</w:t>
      </w:r>
      <w:bookmarkStart w:id="9" w:name="_GoBack"/>
      <w:bookmarkEnd w:id="9"/>
      <w:r>
        <w:rPr>
          <w:rFonts w:hint="eastAsia" w:ascii="仿宋_GB2312" w:hAnsi="仿宋_GB2312" w:eastAsia="仿宋_GB2312" w:cs="仿宋_GB2312"/>
          <w:sz w:val="32"/>
          <w:szCs w:val="32"/>
          <w:lang w:val="en-US" w:eastAsia="zh-CN"/>
        </w:rPr>
        <w:t>，加强责任落实，始终把信息公开作为一项重要工作来抓。不断完善信息公开工作领导组织，加强工作力量，切实做到领导到位、人员明确、制度完备，有序推进我局政府信息公开工作的开展。</w:t>
      </w:r>
      <w:r>
        <w:rPr>
          <w:rFonts w:hint="eastAsia" w:ascii="仿宋_GB2312" w:hAnsi="仿宋_GB2312" w:eastAsia="仿宋_GB2312" w:cs="仿宋_GB2312"/>
          <w:b/>
          <w:bCs/>
          <w:sz w:val="32"/>
          <w:szCs w:val="32"/>
          <w:lang w:val="en-US" w:eastAsia="zh-CN"/>
        </w:rPr>
        <w:t>二是明确责任，完善保密制度。</w:t>
      </w:r>
      <w:r>
        <w:rPr>
          <w:rFonts w:hint="eastAsia" w:ascii="仿宋_GB2312" w:hAnsi="仿宋_GB2312" w:eastAsia="仿宋_GB2312" w:cs="仿宋_GB2312"/>
          <w:sz w:val="32"/>
          <w:szCs w:val="32"/>
          <w:lang w:val="en-US" w:eastAsia="zh-CN"/>
        </w:rPr>
        <w:t>按照“公开为原则，不公开为例外”的总体要求，遵循“谁公开谁审查、谁审查谁负责”和“先审查后公开”的原则，在信息形成和公文制作程序中增设保密性审查意见，以确定信息是否公开以及以何种方式公开。</w:t>
      </w:r>
      <w:r>
        <w:rPr>
          <w:rFonts w:hint="eastAsia" w:ascii="仿宋_GB2312" w:hAnsi="仿宋_GB2312" w:eastAsia="仿宋_GB2312" w:cs="仿宋_GB2312"/>
          <w:b/>
          <w:bCs/>
          <w:sz w:val="32"/>
          <w:szCs w:val="32"/>
          <w:lang w:val="en-US" w:eastAsia="zh-CN"/>
        </w:rPr>
        <w:t>三是突出重点，扩大公开内容。</w:t>
      </w:r>
      <w:r>
        <w:rPr>
          <w:rFonts w:hint="eastAsia" w:ascii="仿宋_GB2312" w:hAnsi="仿宋_GB2312" w:eastAsia="仿宋_GB2312" w:cs="仿宋_GB2312"/>
          <w:sz w:val="32"/>
          <w:szCs w:val="32"/>
          <w:lang w:val="en-US" w:eastAsia="zh-CN"/>
        </w:rPr>
        <w:t>根据上级要求和工作需要，进一步梳理我局依法行使行政职权所掌握的政府信息，明确专人对新上线的滕州政务公开网涉及我局的政府信息公开目录进行补充完善、定期维护，确保信息公开不断档，不延时，同时实现公开信息的全电子化，不断提高政府工作透明度。</w:t>
      </w:r>
    </w:p>
    <w:p>
      <w:pPr>
        <w:keepNext w:val="0"/>
        <w:keepLines w:val="0"/>
        <w:pageBreakBefore w:val="0"/>
        <w:widowControl w:val="0"/>
        <w:numPr>
          <w:ilvl w:val="0"/>
          <w:numId w:val="0"/>
        </w:numPr>
        <w:kinsoku/>
        <w:wordWrap/>
        <w:overflowPunct/>
        <w:topLinePunct w:val="0"/>
        <w:autoSpaceDE/>
        <w:autoSpaceDN/>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六、其他需要报告的事项</w:t>
      </w: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本报告的电子版可在“中国滕州网”（www.tengzhou.gov.cn）网站查询和下载。如对本报告有任何疑问，请与滕州市工业和信息化局综合法规科联系。 （地址：山东省滕州市北辛中路政务中心0529房间，联系电话：0632—5502160，电子邮箱：tzjxjzhk@163.com。)</w:t>
      </w:r>
    </w:p>
    <w:p>
      <w:pPr>
        <w:keepNext w:val="0"/>
        <w:keepLines w:val="0"/>
        <w:pageBreakBefore w:val="0"/>
        <w:widowControl w:val="0"/>
        <w:numPr>
          <w:ilvl w:val="0"/>
          <w:numId w:val="0"/>
        </w:numPr>
        <w:kinsoku/>
        <w:wordWrap/>
        <w:overflowPunct/>
        <w:topLinePunct w:val="0"/>
        <w:autoSpaceDE/>
        <w:autoSpaceDN/>
        <w:bidi w:val="0"/>
        <w:spacing w:line="560" w:lineRule="exact"/>
        <w:textAlignment w:val="auto"/>
        <w:rPr>
          <w:rFonts w:hint="default" w:ascii="黑体" w:hAnsi="黑体" w:eastAsia="黑体" w:cs="黑体"/>
          <w:sz w:val="32"/>
          <w:szCs w:val="32"/>
          <w:lang w:val="en-US" w:eastAsia="zh-CN"/>
        </w:rPr>
      </w:pPr>
    </w:p>
    <w:sectPr>
      <w:footerReference r:id="rId3" w:type="default"/>
      <w:pgSz w:w="11906" w:h="16838"/>
      <w:pgMar w:top="1587" w:right="1587" w:bottom="1587" w:left="1587"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E70C8"/>
    <w:rsid w:val="00250C62"/>
    <w:rsid w:val="003A4958"/>
    <w:rsid w:val="0041240C"/>
    <w:rsid w:val="005A0851"/>
    <w:rsid w:val="005C3815"/>
    <w:rsid w:val="007A47FB"/>
    <w:rsid w:val="00897F13"/>
    <w:rsid w:val="008C46C9"/>
    <w:rsid w:val="009A393D"/>
    <w:rsid w:val="00BF3BC1"/>
    <w:rsid w:val="00E84793"/>
    <w:rsid w:val="00F57415"/>
    <w:rsid w:val="00F85065"/>
    <w:rsid w:val="012220D6"/>
    <w:rsid w:val="01590183"/>
    <w:rsid w:val="01AC71D8"/>
    <w:rsid w:val="01B16AE5"/>
    <w:rsid w:val="01DE1306"/>
    <w:rsid w:val="020D38BE"/>
    <w:rsid w:val="02110647"/>
    <w:rsid w:val="02153FF2"/>
    <w:rsid w:val="023602AB"/>
    <w:rsid w:val="0240572C"/>
    <w:rsid w:val="024A4F81"/>
    <w:rsid w:val="02774921"/>
    <w:rsid w:val="028352BE"/>
    <w:rsid w:val="02896753"/>
    <w:rsid w:val="028B637E"/>
    <w:rsid w:val="02A141A1"/>
    <w:rsid w:val="02C47341"/>
    <w:rsid w:val="02F26455"/>
    <w:rsid w:val="030948DA"/>
    <w:rsid w:val="03185B08"/>
    <w:rsid w:val="03263E8F"/>
    <w:rsid w:val="03495109"/>
    <w:rsid w:val="035E07EC"/>
    <w:rsid w:val="037B34B1"/>
    <w:rsid w:val="0386497F"/>
    <w:rsid w:val="03D5479D"/>
    <w:rsid w:val="03E24C00"/>
    <w:rsid w:val="03E9352C"/>
    <w:rsid w:val="03FE30C3"/>
    <w:rsid w:val="03FF0CB0"/>
    <w:rsid w:val="04071168"/>
    <w:rsid w:val="042637A6"/>
    <w:rsid w:val="042B6A22"/>
    <w:rsid w:val="04386D93"/>
    <w:rsid w:val="044376A0"/>
    <w:rsid w:val="04775B40"/>
    <w:rsid w:val="048A119B"/>
    <w:rsid w:val="048A1959"/>
    <w:rsid w:val="052B3CB0"/>
    <w:rsid w:val="05395C1A"/>
    <w:rsid w:val="055F73CD"/>
    <w:rsid w:val="05847AFD"/>
    <w:rsid w:val="0586106D"/>
    <w:rsid w:val="059E76F4"/>
    <w:rsid w:val="05A94161"/>
    <w:rsid w:val="05B71484"/>
    <w:rsid w:val="05D333C0"/>
    <w:rsid w:val="05DA23D9"/>
    <w:rsid w:val="05EE4421"/>
    <w:rsid w:val="0602262B"/>
    <w:rsid w:val="064868B1"/>
    <w:rsid w:val="0664496A"/>
    <w:rsid w:val="06A26C77"/>
    <w:rsid w:val="06D03530"/>
    <w:rsid w:val="07084042"/>
    <w:rsid w:val="07101CCC"/>
    <w:rsid w:val="07254F25"/>
    <w:rsid w:val="07AA445F"/>
    <w:rsid w:val="07C67DBF"/>
    <w:rsid w:val="07D147FA"/>
    <w:rsid w:val="07E826F8"/>
    <w:rsid w:val="08075497"/>
    <w:rsid w:val="080922EE"/>
    <w:rsid w:val="08147F42"/>
    <w:rsid w:val="082E1F80"/>
    <w:rsid w:val="08855752"/>
    <w:rsid w:val="088A1D10"/>
    <w:rsid w:val="08A2577E"/>
    <w:rsid w:val="08AA38B0"/>
    <w:rsid w:val="08BC4D0F"/>
    <w:rsid w:val="08CB3A49"/>
    <w:rsid w:val="090A0A59"/>
    <w:rsid w:val="09215937"/>
    <w:rsid w:val="096C2B02"/>
    <w:rsid w:val="098216B0"/>
    <w:rsid w:val="098832C0"/>
    <w:rsid w:val="09A9563D"/>
    <w:rsid w:val="09C275F0"/>
    <w:rsid w:val="0A0D2D3D"/>
    <w:rsid w:val="0A1C444E"/>
    <w:rsid w:val="0A2A5B7A"/>
    <w:rsid w:val="0A86473D"/>
    <w:rsid w:val="0A9A184C"/>
    <w:rsid w:val="0AAD68DA"/>
    <w:rsid w:val="0AD4738C"/>
    <w:rsid w:val="0AE32AAB"/>
    <w:rsid w:val="0AEF68DD"/>
    <w:rsid w:val="0AFE3117"/>
    <w:rsid w:val="0B000ED0"/>
    <w:rsid w:val="0B157F97"/>
    <w:rsid w:val="0B447BE9"/>
    <w:rsid w:val="0B7B55AC"/>
    <w:rsid w:val="0B9D46BA"/>
    <w:rsid w:val="0BF96A24"/>
    <w:rsid w:val="0BFB370F"/>
    <w:rsid w:val="0C110ED9"/>
    <w:rsid w:val="0C610AF0"/>
    <w:rsid w:val="0C7933D3"/>
    <w:rsid w:val="0C9D3DBE"/>
    <w:rsid w:val="0CF75EBA"/>
    <w:rsid w:val="0D080F9A"/>
    <w:rsid w:val="0D085837"/>
    <w:rsid w:val="0D0B3146"/>
    <w:rsid w:val="0D160E68"/>
    <w:rsid w:val="0D17011C"/>
    <w:rsid w:val="0D290B83"/>
    <w:rsid w:val="0D5D612D"/>
    <w:rsid w:val="0D632272"/>
    <w:rsid w:val="0D861C56"/>
    <w:rsid w:val="0D881F28"/>
    <w:rsid w:val="0D980472"/>
    <w:rsid w:val="0D9C390E"/>
    <w:rsid w:val="0DA64191"/>
    <w:rsid w:val="0DE00985"/>
    <w:rsid w:val="0E154253"/>
    <w:rsid w:val="0E2B0686"/>
    <w:rsid w:val="0E3026DE"/>
    <w:rsid w:val="0E3B5B00"/>
    <w:rsid w:val="0E8B1931"/>
    <w:rsid w:val="0EB96532"/>
    <w:rsid w:val="0EE21DC7"/>
    <w:rsid w:val="0EF12594"/>
    <w:rsid w:val="0F07192F"/>
    <w:rsid w:val="0F1370E5"/>
    <w:rsid w:val="0F146F74"/>
    <w:rsid w:val="0F1D13BA"/>
    <w:rsid w:val="0F3724FD"/>
    <w:rsid w:val="0F7A235F"/>
    <w:rsid w:val="0F7A73AD"/>
    <w:rsid w:val="0FBF4784"/>
    <w:rsid w:val="0FEF141B"/>
    <w:rsid w:val="10203F79"/>
    <w:rsid w:val="10380D30"/>
    <w:rsid w:val="105E6ABB"/>
    <w:rsid w:val="10785B3A"/>
    <w:rsid w:val="107930F3"/>
    <w:rsid w:val="1086597A"/>
    <w:rsid w:val="10DE09E3"/>
    <w:rsid w:val="110E38BD"/>
    <w:rsid w:val="11185744"/>
    <w:rsid w:val="114A1168"/>
    <w:rsid w:val="116E73AF"/>
    <w:rsid w:val="11EA5DB6"/>
    <w:rsid w:val="120C1090"/>
    <w:rsid w:val="120C3E2A"/>
    <w:rsid w:val="121E2BBF"/>
    <w:rsid w:val="12365B42"/>
    <w:rsid w:val="12CB08F9"/>
    <w:rsid w:val="12D06AC0"/>
    <w:rsid w:val="133B6EBC"/>
    <w:rsid w:val="133E5BD3"/>
    <w:rsid w:val="138D3B2B"/>
    <w:rsid w:val="138D56CE"/>
    <w:rsid w:val="1394230B"/>
    <w:rsid w:val="139E7E9A"/>
    <w:rsid w:val="13B2172D"/>
    <w:rsid w:val="13B22417"/>
    <w:rsid w:val="14323643"/>
    <w:rsid w:val="145C7B4A"/>
    <w:rsid w:val="146B7C83"/>
    <w:rsid w:val="147914D1"/>
    <w:rsid w:val="147A094F"/>
    <w:rsid w:val="14A12008"/>
    <w:rsid w:val="14DD38FC"/>
    <w:rsid w:val="1511549D"/>
    <w:rsid w:val="155D017B"/>
    <w:rsid w:val="157A1A5E"/>
    <w:rsid w:val="15990927"/>
    <w:rsid w:val="15CF70A7"/>
    <w:rsid w:val="15D76625"/>
    <w:rsid w:val="166876AA"/>
    <w:rsid w:val="167F7990"/>
    <w:rsid w:val="169139B2"/>
    <w:rsid w:val="16A84B8B"/>
    <w:rsid w:val="16DA625A"/>
    <w:rsid w:val="16E82B8A"/>
    <w:rsid w:val="16EA772B"/>
    <w:rsid w:val="17120AFC"/>
    <w:rsid w:val="17271ABC"/>
    <w:rsid w:val="172B5B70"/>
    <w:rsid w:val="172E3386"/>
    <w:rsid w:val="17386F45"/>
    <w:rsid w:val="179A4544"/>
    <w:rsid w:val="17C55CDF"/>
    <w:rsid w:val="17DD0887"/>
    <w:rsid w:val="17F32BEA"/>
    <w:rsid w:val="181546FA"/>
    <w:rsid w:val="183C1286"/>
    <w:rsid w:val="185968D8"/>
    <w:rsid w:val="187D7884"/>
    <w:rsid w:val="18F913F1"/>
    <w:rsid w:val="19777D96"/>
    <w:rsid w:val="197C44E3"/>
    <w:rsid w:val="199E5185"/>
    <w:rsid w:val="199F4F80"/>
    <w:rsid w:val="19B4282A"/>
    <w:rsid w:val="19F90DDB"/>
    <w:rsid w:val="1A28107F"/>
    <w:rsid w:val="1A2A5782"/>
    <w:rsid w:val="1A581F7C"/>
    <w:rsid w:val="1A9826FA"/>
    <w:rsid w:val="1A9A5A1D"/>
    <w:rsid w:val="1ACE076C"/>
    <w:rsid w:val="1AD72A93"/>
    <w:rsid w:val="1AE33018"/>
    <w:rsid w:val="1B094972"/>
    <w:rsid w:val="1B41313F"/>
    <w:rsid w:val="1B533226"/>
    <w:rsid w:val="1B5D46F8"/>
    <w:rsid w:val="1BAA064B"/>
    <w:rsid w:val="1BE0615D"/>
    <w:rsid w:val="1C1E504F"/>
    <w:rsid w:val="1C3B1311"/>
    <w:rsid w:val="1C66531A"/>
    <w:rsid w:val="1C8C655D"/>
    <w:rsid w:val="1C9A7EA8"/>
    <w:rsid w:val="1CAB0535"/>
    <w:rsid w:val="1CBE6920"/>
    <w:rsid w:val="1D7100FB"/>
    <w:rsid w:val="1D743E4A"/>
    <w:rsid w:val="1D7C2003"/>
    <w:rsid w:val="1DCD4799"/>
    <w:rsid w:val="1DDC503E"/>
    <w:rsid w:val="1E110842"/>
    <w:rsid w:val="1E223C4F"/>
    <w:rsid w:val="1E266B28"/>
    <w:rsid w:val="1E406D2E"/>
    <w:rsid w:val="1E414759"/>
    <w:rsid w:val="1E7970B5"/>
    <w:rsid w:val="1EA77A90"/>
    <w:rsid w:val="1EAA0367"/>
    <w:rsid w:val="1F125B7B"/>
    <w:rsid w:val="1F365F44"/>
    <w:rsid w:val="1F63313D"/>
    <w:rsid w:val="1F77395C"/>
    <w:rsid w:val="1F773F77"/>
    <w:rsid w:val="1F8371B5"/>
    <w:rsid w:val="1F895A9E"/>
    <w:rsid w:val="1F8B6259"/>
    <w:rsid w:val="1F961471"/>
    <w:rsid w:val="1F9F35E8"/>
    <w:rsid w:val="1FBE601E"/>
    <w:rsid w:val="1FD05956"/>
    <w:rsid w:val="201678B4"/>
    <w:rsid w:val="202B6AFE"/>
    <w:rsid w:val="2053644A"/>
    <w:rsid w:val="2054762B"/>
    <w:rsid w:val="20657745"/>
    <w:rsid w:val="20691F07"/>
    <w:rsid w:val="207D040B"/>
    <w:rsid w:val="20AA4B82"/>
    <w:rsid w:val="20E21B53"/>
    <w:rsid w:val="21134A44"/>
    <w:rsid w:val="212C1595"/>
    <w:rsid w:val="214568B5"/>
    <w:rsid w:val="214B499F"/>
    <w:rsid w:val="214D7CA7"/>
    <w:rsid w:val="216412FC"/>
    <w:rsid w:val="21760362"/>
    <w:rsid w:val="21806D9C"/>
    <w:rsid w:val="21A21D38"/>
    <w:rsid w:val="21D04E79"/>
    <w:rsid w:val="220150F1"/>
    <w:rsid w:val="220918DA"/>
    <w:rsid w:val="22606570"/>
    <w:rsid w:val="228E5D0B"/>
    <w:rsid w:val="22952FC8"/>
    <w:rsid w:val="22CC771B"/>
    <w:rsid w:val="22DD7097"/>
    <w:rsid w:val="22E40E9F"/>
    <w:rsid w:val="23485F41"/>
    <w:rsid w:val="234D6683"/>
    <w:rsid w:val="23552A42"/>
    <w:rsid w:val="2389751D"/>
    <w:rsid w:val="23B81E09"/>
    <w:rsid w:val="23DC7B36"/>
    <w:rsid w:val="23DD568F"/>
    <w:rsid w:val="23EF23D5"/>
    <w:rsid w:val="244D74C4"/>
    <w:rsid w:val="2453769B"/>
    <w:rsid w:val="2454359A"/>
    <w:rsid w:val="247540E4"/>
    <w:rsid w:val="24AC7DDD"/>
    <w:rsid w:val="24CF09AE"/>
    <w:rsid w:val="24DD0D42"/>
    <w:rsid w:val="24EF0453"/>
    <w:rsid w:val="253E1A8B"/>
    <w:rsid w:val="2565497D"/>
    <w:rsid w:val="25805CDC"/>
    <w:rsid w:val="25957E1F"/>
    <w:rsid w:val="25BA0867"/>
    <w:rsid w:val="25C72963"/>
    <w:rsid w:val="25FF4F9E"/>
    <w:rsid w:val="2618204E"/>
    <w:rsid w:val="26206943"/>
    <w:rsid w:val="2649660D"/>
    <w:rsid w:val="26575178"/>
    <w:rsid w:val="265B14D8"/>
    <w:rsid w:val="26AE6153"/>
    <w:rsid w:val="26DA1B41"/>
    <w:rsid w:val="26DE3AAA"/>
    <w:rsid w:val="272A5B3D"/>
    <w:rsid w:val="273861E0"/>
    <w:rsid w:val="27434BF4"/>
    <w:rsid w:val="27487565"/>
    <w:rsid w:val="2758010B"/>
    <w:rsid w:val="277B6FAB"/>
    <w:rsid w:val="27DD2561"/>
    <w:rsid w:val="27E73A5C"/>
    <w:rsid w:val="280E68B6"/>
    <w:rsid w:val="281C1889"/>
    <w:rsid w:val="28296010"/>
    <w:rsid w:val="283E4922"/>
    <w:rsid w:val="284C343C"/>
    <w:rsid w:val="288555BB"/>
    <w:rsid w:val="289C6381"/>
    <w:rsid w:val="290A37EF"/>
    <w:rsid w:val="296805CB"/>
    <w:rsid w:val="297C5BA9"/>
    <w:rsid w:val="29B9408B"/>
    <w:rsid w:val="2A5C1CB9"/>
    <w:rsid w:val="2A8C7D91"/>
    <w:rsid w:val="2AAD77D9"/>
    <w:rsid w:val="2AC92443"/>
    <w:rsid w:val="2AF44939"/>
    <w:rsid w:val="2B1469A7"/>
    <w:rsid w:val="2B183219"/>
    <w:rsid w:val="2B1A0A5A"/>
    <w:rsid w:val="2B27466D"/>
    <w:rsid w:val="2B2E4FED"/>
    <w:rsid w:val="2B5E7F38"/>
    <w:rsid w:val="2B6E6F51"/>
    <w:rsid w:val="2B70108B"/>
    <w:rsid w:val="2B862747"/>
    <w:rsid w:val="2B8756D9"/>
    <w:rsid w:val="2BBB62DA"/>
    <w:rsid w:val="2BDA17AE"/>
    <w:rsid w:val="2C0A4899"/>
    <w:rsid w:val="2C1B48D8"/>
    <w:rsid w:val="2C1C4039"/>
    <w:rsid w:val="2C1F1B9D"/>
    <w:rsid w:val="2C3A12BF"/>
    <w:rsid w:val="2C604845"/>
    <w:rsid w:val="2C6B1563"/>
    <w:rsid w:val="2C6E6798"/>
    <w:rsid w:val="2C9C1F2E"/>
    <w:rsid w:val="2CC244FB"/>
    <w:rsid w:val="2CD172ED"/>
    <w:rsid w:val="2D28140D"/>
    <w:rsid w:val="2D3B2104"/>
    <w:rsid w:val="2D584E29"/>
    <w:rsid w:val="2D845184"/>
    <w:rsid w:val="2D873FDD"/>
    <w:rsid w:val="2D9519B4"/>
    <w:rsid w:val="2D9F2347"/>
    <w:rsid w:val="2DC25B0B"/>
    <w:rsid w:val="2DF712AB"/>
    <w:rsid w:val="2E360B26"/>
    <w:rsid w:val="2E447307"/>
    <w:rsid w:val="2E476D1A"/>
    <w:rsid w:val="2E786DB1"/>
    <w:rsid w:val="2EB14FF6"/>
    <w:rsid w:val="2F1134C6"/>
    <w:rsid w:val="2F1833BA"/>
    <w:rsid w:val="2F18581F"/>
    <w:rsid w:val="2F213900"/>
    <w:rsid w:val="2F2544D9"/>
    <w:rsid w:val="2F2D1B10"/>
    <w:rsid w:val="2F2D5FB0"/>
    <w:rsid w:val="2F7D2924"/>
    <w:rsid w:val="2F7F6D0E"/>
    <w:rsid w:val="2F943560"/>
    <w:rsid w:val="2FA4578C"/>
    <w:rsid w:val="2FE21661"/>
    <w:rsid w:val="2FE3289F"/>
    <w:rsid w:val="30030E55"/>
    <w:rsid w:val="30132023"/>
    <w:rsid w:val="302A6A53"/>
    <w:rsid w:val="304F2E47"/>
    <w:rsid w:val="305E45E9"/>
    <w:rsid w:val="308D446A"/>
    <w:rsid w:val="30941B44"/>
    <w:rsid w:val="30C522CA"/>
    <w:rsid w:val="30D9572F"/>
    <w:rsid w:val="30E423AD"/>
    <w:rsid w:val="31020A30"/>
    <w:rsid w:val="31027517"/>
    <w:rsid w:val="315C7971"/>
    <w:rsid w:val="318A53F1"/>
    <w:rsid w:val="31A255B7"/>
    <w:rsid w:val="31A650C4"/>
    <w:rsid w:val="31BD263B"/>
    <w:rsid w:val="31D37915"/>
    <w:rsid w:val="320130EE"/>
    <w:rsid w:val="320D7B01"/>
    <w:rsid w:val="32144547"/>
    <w:rsid w:val="32381305"/>
    <w:rsid w:val="32590761"/>
    <w:rsid w:val="327418AF"/>
    <w:rsid w:val="329E2875"/>
    <w:rsid w:val="32D51CD0"/>
    <w:rsid w:val="32D76577"/>
    <w:rsid w:val="32E63C67"/>
    <w:rsid w:val="32ED1B3E"/>
    <w:rsid w:val="33257EBC"/>
    <w:rsid w:val="335B06FE"/>
    <w:rsid w:val="336173A4"/>
    <w:rsid w:val="336A0D50"/>
    <w:rsid w:val="33A07688"/>
    <w:rsid w:val="33CA17D8"/>
    <w:rsid w:val="33DA62E2"/>
    <w:rsid w:val="33FE7ED3"/>
    <w:rsid w:val="34252CB8"/>
    <w:rsid w:val="34453617"/>
    <w:rsid w:val="346963B4"/>
    <w:rsid w:val="34A71726"/>
    <w:rsid w:val="34A83D21"/>
    <w:rsid w:val="34AF728B"/>
    <w:rsid w:val="34C820B5"/>
    <w:rsid w:val="34D31A22"/>
    <w:rsid w:val="34E836B9"/>
    <w:rsid w:val="35064739"/>
    <w:rsid w:val="352B6E13"/>
    <w:rsid w:val="355337DE"/>
    <w:rsid w:val="359047D6"/>
    <w:rsid w:val="35CD73FF"/>
    <w:rsid w:val="35DC1328"/>
    <w:rsid w:val="35EB79D0"/>
    <w:rsid w:val="35F46E9C"/>
    <w:rsid w:val="35FC435D"/>
    <w:rsid w:val="36874242"/>
    <w:rsid w:val="369C511A"/>
    <w:rsid w:val="36CE1351"/>
    <w:rsid w:val="36DA4278"/>
    <w:rsid w:val="36E86467"/>
    <w:rsid w:val="371C7C63"/>
    <w:rsid w:val="37410E18"/>
    <w:rsid w:val="375A5A99"/>
    <w:rsid w:val="377577C4"/>
    <w:rsid w:val="377B06D1"/>
    <w:rsid w:val="378D5326"/>
    <w:rsid w:val="378D5AEA"/>
    <w:rsid w:val="37B3381C"/>
    <w:rsid w:val="37D1748D"/>
    <w:rsid w:val="37ED2FC5"/>
    <w:rsid w:val="38067A1C"/>
    <w:rsid w:val="381C444E"/>
    <w:rsid w:val="38304163"/>
    <w:rsid w:val="384206F6"/>
    <w:rsid w:val="38895D2F"/>
    <w:rsid w:val="38961D13"/>
    <w:rsid w:val="38BA5874"/>
    <w:rsid w:val="38FC7D4F"/>
    <w:rsid w:val="3900691C"/>
    <w:rsid w:val="393F4C3A"/>
    <w:rsid w:val="39757761"/>
    <w:rsid w:val="397977F2"/>
    <w:rsid w:val="39AB2A2F"/>
    <w:rsid w:val="39B03701"/>
    <w:rsid w:val="39B44235"/>
    <w:rsid w:val="3A0E39E3"/>
    <w:rsid w:val="3A1B262D"/>
    <w:rsid w:val="3AAD5999"/>
    <w:rsid w:val="3AC71044"/>
    <w:rsid w:val="3ACD2627"/>
    <w:rsid w:val="3AD32AD5"/>
    <w:rsid w:val="3AD87FAC"/>
    <w:rsid w:val="3AF31638"/>
    <w:rsid w:val="3B085FC2"/>
    <w:rsid w:val="3B087311"/>
    <w:rsid w:val="3BB709A8"/>
    <w:rsid w:val="3BC03009"/>
    <w:rsid w:val="3BD1157E"/>
    <w:rsid w:val="3C186D59"/>
    <w:rsid w:val="3C1A0CDE"/>
    <w:rsid w:val="3C5D6C76"/>
    <w:rsid w:val="3C665BE9"/>
    <w:rsid w:val="3C9036CD"/>
    <w:rsid w:val="3CB42895"/>
    <w:rsid w:val="3CD20770"/>
    <w:rsid w:val="3CE01F09"/>
    <w:rsid w:val="3CFB6842"/>
    <w:rsid w:val="3D3D6090"/>
    <w:rsid w:val="3D4132B4"/>
    <w:rsid w:val="3D622806"/>
    <w:rsid w:val="3D7A1657"/>
    <w:rsid w:val="3D8B04F7"/>
    <w:rsid w:val="3D8E6ED5"/>
    <w:rsid w:val="3D933547"/>
    <w:rsid w:val="3DF42585"/>
    <w:rsid w:val="3DFD5426"/>
    <w:rsid w:val="3E153132"/>
    <w:rsid w:val="3E224B74"/>
    <w:rsid w:val="3E2336EB"/>
    <w:rsid w:val="3E40396C"/>
    <w:rsid w:val="3E516A36"/>
    <w:rsid w:val="3E966DB7"/>
    <w:rsid w:val="3EA46914"/>
    <w:rsid w:val="3EAE63A0"/>
    <w:rsid w:val="3EC45D7F"/>
    <w:rsid w:val="3F1B5DA5"/>
    <w:rsid w:val="3F3A2032"/>
    <w:rsid w:val="3F4326B1"/>
    <w:rsid w:val="3F533A58"/>
    <w:rsid w:val="3F593338"/>
    <w:rsid w:val="3F5C4349"/>
    <w:rsid w:val="3F965894"/>
    <w:rsid w:val="3FB71E33"/>
    <w:rsid w:val="40990113"/>
    <w:rsid w:val="40A13359"/>
    <w:rsid w:val="40A9713A"/>
    <w:rsid w:val="40B27D66"/>
    <w:rsid w:val="40EB5159"/>
    <w:rsid w:val="411F6A77"/>
    <w:rsid w:val="41701CFD"/>
    <w:rsid w:val="418D0AEE"/>
    <w:rsid w:val="418D1FD3"/>
    <w:rsid w:val="41AA7DC0"/>
    <w:rsid w:val="41BA568F"/>
    <w:rsid w:val="41BE43A4"/>
    <w:rsid w:val="41EC2E1C"/>
    <w:rsid w:val="420C2271"/>
    <w:rsid w:val="421C1DED"/>
    <w:rsid w:val="422F5AF0"/>
    <w:rsid w:val="424E0E2D"/>
    <w:rsid w:val="42653BC8"/>
    <w:rsid w:val="426B5E1B"/>
    <w:rsid w:val="427B7992"/>
    <w:rsid w:val="428C005F"/>
    <w:rsid w:val="428D4ABF"/>
    <w:rsid w:val="429649AD"/>
    <w:rsid w:val="42CF0892"/>
    <w:rsid w:val="42E867CB"/>
    <w:rsid w:val="43033A6A"/>
    <w:rsid w:val="43212661"/>
    <w:rsid w:val="4321351C"/>
    <w:rsid w:val="4331416D"/>
    <w:rsid w:val="433A798F"/>
    <w:rsid w:val="436B2E43"/>
    <w:rsid w:val="437A2A19"/>
    <w:rsid w:val="438D6B84"/>
    <w:rsid w:val="43CB7D36"/>
    <w:rsid w:val="44357B52"/>
    <w:rsid w:val="44383158"/>
    <w:rsid w:val="443C4C30"/>
    <w:rsid w:val="44404DF2"/>
    <w:rsid w:val="4458287E"/>
    <w:rsid w:val="44646FCB"/>
    <w:rsid w:val="44780803"/>
    <w:rsid w:val="44AC38F4"/>
    <w:rsid w:val="44B347F9"/>
    <w:rsid w:val="44D72546"/>
    <w:rsid w:val="44D8330A"/>
    <w:rsid w:val="44DF370B"/>
    <w:rsid w:val="44E946C1"/>
    <w:rsid w:val="44F0685C"/>
    <w:rsid w:val="451E3AB5"/>
    <w:rsid w:val="45256F9F"/>
    <w:rsid w:val="4532511F"/>
    <w:rsid w:val="459606CF"/>
    <w:rsid w:val="45996066"/>
    <w:rsid w:val="45B24BD6"/>
    <w:rsid w:val="45C82D69"/>
    <w:rsid w:val="45D31500"/>
    <w:rsid w:val="45E86605"/>
    <w:rsid w:val="45ED0DE3"/>
    <w:rsid w:val="46007578"/>
    <w:rsid w:val="465A4484"/>
    <w:rsid w:val="466A10FD"/>
    <w:rsid w:val="46870E26"/>
    <w:rsid w:val="46AB2F30"/>
    <w:rsid w:val="46FE13CB"/>
    <w:rsid w:val="471A58DA"/>
    <w:rsid w:val="473E53E7"/>
    <w:rsid w:val="47546A0B"/>
    <w:rsid w:val="477422D4"/>
    <w:rsid w:val="47D2641B"/>
    <w:rsid w:val="47F130DB"/>
    <w:rsid w:val="47F556D5"/>
    <w:rsid w:val="48400046"/>
    <w:rsid w:val="48452765"/>
    <w:rsid w:val="485F1CC0"/>
    <w:rsid w:val="486A4374"/>
    <w:rsid w:val="48920589"/>
    <w:rsid w:val="489374D1"/>
    <w:rsid w:val="48BA37BB"/>
    <w:rsid w:val="49181086"/>
    <w:rsid w:val="497D5E66"/>
    <w:rsid w:val="49993AF3"/>
    <w:rsid w:val="49BE13A2"/>
    <w:rsid w:val="49C814C3"/>
    <w:rsid w:val="49EA0C3A"/>
    <w:rsid w:val="49EE4B2B"/>
    <w:rsid w:val="49F37778"/>
    <w:rsid w:val="4A1706B9"/>
    <w:rsid w:val="4A2D3623"/>
    <w:rsid w:val="4A57001C"/>
    <w:rsid w:val="4A640869"/>
    <w:rsid w:val="4A771B99"/>
    <w:rsid w:val="4AB405BB"/>
    <w:rsid w:val="4AE8515D"/>
    <w:rsid w:val="4B0C3912"/>
    <w:rsid w:val="4B1477E4"/>
    <w:rsid w:val="4B417434"/>
    <w:rsid w:val="4B492533"/>
    <w:rsid w:val="4BA751F3"/>
    <w:rsid w:val="4BB72C75"/>
    <w:rsid w:val="4BE43A49"/>
    <w:rsid w:val="4C0015FF"/>
    <w:rsid w:val="4C284CAB"/>
    <w:rsid w:val="4C3903F5"/>
    <w:rsid w:val="4C4313F0"/>
    <w:rsid w:val="4C674B4E"/>
    <w:rsid w:val="4C7F33CA"/>
    <w:rsid w:val="4CA33824"/>
    <w:rsid w:val="4CAE5C6B"/>
    <w:rsid w:val="4CC36C67"/>
    <w:rsid w:val="4CFE5E3E"/>
    <w:rsid w:val="4D176A1D"/>
    <w:rsid w:val="4D2F3D68"/>
    <w:rsid w:val="4D620B69"/>
    <w:rsid w:val="4D7E2A3D"/>
    <w:rsid w:val="4D85228F"/>
    <w:rsid w:val="4DBE6122"/>
    <w:rsid w:val="4DD2740F"/>
    <w:rsid w:val="4DD60069"/>
    <w:rsid w:val="4DD82A52"/>
    <w:rsid w:val="4DDC5472"/>
    <w:rsid w:val="4E055F9F"/>
    <w:rsid w:val="4E2D40A6"/>
    <w:rsid w:val="4E4724BE"/>
    <w:rsid w:val="4E7E2BEA"/>
    <w:rsid w:val="4EB60E82"/>
    <w:rsid w:val="4EDA35C3"/>
    <w:rsid w:val="4F3D600E"/>
    <w:rsid w:val="4F5E077C"/>
    <w:rsid w:val="4F816615"/>
    <w:rsid w:val="4FA57765"/>
    <w:rsid w:val="4FF05397"/>
    <w:rsid w:val="500672B0"/>
    <w:rsid w:val="50227024"/>
    <w:rsid w:val="504503BD"/>
    <w:rsid w:val="505C300A"/>
    <w:rsid w:val="505D0BA1"/>
    <w:rsid w:val="50A53241"/>
    <w:rsid w:val="50AB7462"/>
    <w:rsid w:val="50DC720C"/>
    <w:rsid w:val="51173D63"/>
    <w:rsid w:val="512621D2"/>
    <w:rsid w:val="51370307"/>
    <w:rsid w:val="51490756"/>
    <w:rsid w:val="51640B32"/>
    <w:rsid w:val="519F0BB3"/>
    <w:rsid w:val="51B646D6"/>
    <w:rsid w:val="51D66A54"/>
    <w:rsid w:val="51DE7222"/>
    <w:rsid w:val="51F76DBC"/>
    <w:rsid w:val="51F8702B"/>
    <w:rsid w:val="51FA5962"/>
    <w:rsid w:val="520C652E"/>
    <w:rsid w:val="52211F71"/>
    <w:rsid w:val="525C5D9A"/>
    <w:rsid w:val="52845D46"/>
    <w:rsid w:val="528F75BE"/>
    <w:rsid w:val="52C17C28"/>
    <w:rsid w:val="53250799"/>
    <w:rsid w:val="53290861"/>
    <w:rsid w:val="5353605A"/>
    <w:rsid w:val="53814581"/>
    <w:rsid w:val="538A7E9C"/>
    <w:rsid w:val="53E01226"/>
    <w:rsid w:val="53EB24FE"/>
    <w:rsid w:val="53F3512A"/>
    <w:rsid w:val="54031826"/>
    <w:rsid w:val="54067330"/>
    <w:rsid w:val="540C3FDB"/>
    <w:rsid w:val="5424629A"/>
    <w:rsid w:val="54364AF6"/>
    <w:rsid w:val="54436C91"/>
    <w:rsid w:val="54565C73"/>
    <w:rsid w:val="54584CF1"/>
    <w:rsid w:val="549C2148"/>
    <w:rsid w:val="54A50DAC"/>
    <w:rsid w:val="54D50BC9"/>
    <w:rsid w:val="54DC41C4"/>
    <w:rsid w:val="54E412C6"/>
    <w:rsid w:val="55005090"/>
    <w:rsid w:val="553B614B"/>
    <w:rsid w:val="55BB702A"/>
    <w:rsid w:val="55D77F6C"/>
    <w:rsid w:val="55DE6796"/>
    <w:rsid w:val="560D2F3B"/>
    <w:rsid w:val="560E4704"/>
    <w:rsid w:val="561657D8"/>
    <w:rsid w:val="5645777E"/>
    <w:rsid w:val="5654779A"/>
    <w:rsid w:val="566242B1"/>
    <w:rsid w:val="56721627"/>
    <w:rsid w:val="56751E35"/>
    <w:rsid w:val="56843298"/>
    <w:rsid w:val="56C50AB3"/>
    <w:rsid w:val="56CB3036"/>
    <w:rsid w:val="57010293"/>
    <w:rsid w:val="57186EBC"/>
    <w:rsid w:val="57514769"/>
    <w:rsid w:val="575B6164"/>
    <w:rsid w:val="5764479A"/>
    <w:rsid w:val="57685464"/>
    <w:rsid w:val="57FF1F6D"/>
    <w:rsid w:val="58000C6D"/>
    <w:rsid w:val="5814366D"/>
    <w:rsid w:val="58276A1C"/>
    <w:rsid w:val="58572C41"/>
    <w:rsid w:val="586678BE"/>
    <w:rsid w:val="58A23E5F"/>
    <w:rsid w:val="58A42417"/>
    <w:rsid w:val="58AD272B"/>
    <w:rsid w:val="58AF3407"/>
    <w:rsid w:val="58CB36E3"/>
    <w:rsid w:val="58E85A0F"/>
    <w:rsid w:val="58F41ECF"/>
    <w:rsid w:val="58F872EB"/>
    <w:rsid w:val="58FD62D2"/>
    <w:rsid w:val="590757BD"/>
    <w:rsid w:val="59374A98"/>
    <w:rsid w:val="5944710F"/>
    <w:rsid w:val="595B12B3"/>
    <w:rsid w:val="59691477"/>
    <w:rsid w:val="597B0D06"/>
    <w:rsid w:val="59891661"/>
    <w:rsid w:val="599A5CC4"/>
    <w:rsid w:val="59AB4F31"/>
    <w:rsid w:val="59FF5037"/>
    <w:rsid w:val="5A105B65"/>
    <w:rsid w:val="5A1D6E46"/>
    <w:rsid w:val="5A7179A0"/>
    <w:rsid w:val="5A784228"/>
    <w:rsid w:val="5A7B0D9C"/>
    <w:rsid w:val="5A83433B"/>
    <w:rsid w:val="5A9302A3"/>
    <w:rsid w:val="5A9C27A6"/>
    <w:rsid w:val="5AA2296F"/>
    <w:rsid w:val="5AB556A4"/>
    <w:rsid w:val="5AC67557"/>
    <w:rsid w:val="5AED46C9"/>
    <w:rsid w:val="5B337387"/>
    <w:rsid w:val="5B8B138A"/>
    <w:rsid w:val="5B967AB2"/>
    <w:rsid w:val="5BA1767F"/>
    <w:rsid w:val="5BB201F1"/>
    <w:rsid w:val="5BCC1244"/>
    <w:rsid w:val="5C05316F"/>
    <w:rsid w:val="5C14408E"/>
    <w:rsid w:val="5C2A0E1C"/>
    <w:rsid w:val="5C4F6D42"/>
    <w:rsid w:val="5C5551D5"/>
    <w:rsid w:val="5C576795"/>
    <w:rsid w:val="5C612AE3"/>
    <w:rsid w:val="5C6C3C65"/>
    <w:rsid w:val="5C822CE7"/>
    <w:rsid w:val="5C9566A6"/>
    <w:rsid w:val="5CF74D1A"/>
    <w:rsid w:val="5D040718"/>
    <w:rsid w:val="5D40184D"/>
    <w:rsid w:val="5D4752B6"/>
    <w:rsid w:val="5D533EA8"/>
    <w:rsid w:val="5D600AA9"/>
    <w:rsid w:val="5DBF3A8B"/>
    <w:rsid w:val="5E067028"/>
    <w:rsid w:val="5E3A61C2"/>
    <w:rsid w:val="5E3C4F15"/>
    <w:rsid w:val="5E3D226E"/>
    <w:rsid w:val="5E9A74C1"/>
    <w:rsid w:val="5EAA6BEB"/>
    <w:rsid w:val="5ED14A73"/>
    <w:rsid w:val="5ED315E7"/>
    <w:rsid w:val="5EF84659"/>
    <w:rsid w:val="5F03682F"/>
    <w:rsid w:val="5F4D082B"/>
    <w:rsid w:val="5F96245E"/>
    <w:rsid w:val="5FC76469"/>
    <w:rsid w:val="60171523"/>
    <w:rsid w:val="601B0C96"/>
    <w:rsid w:val="602C66F1"/>
    <w:rsid w:val="605C0F5D"/>
    <w:rsid w:val="606C0FE4"/>
    <w:rsid w:val="606D5AE9"/>
    <w:rsid w:val="60790D87"/>
    <w:rsid w:val="60832687"/>
    <w:rsid w:val="60834169"/>
    <w:rsid w:val="60AC2628"/>
    <w:rsid w:val="60E625DF"/>
    <w:rsid w:val="60EF3FB8"/>
    <w:rsid w:val="60F66227"/>
    <w:rsid w:val="60F94715"/>
    <w:rsid w:val="61375650"/>
    <w:rsid w:val="615E0B6B"/>
    <w:rsid w:val="618A491C"/>
    <w:rsid w:val="619D450C"/>
    <w:rsid w:val="61E6223D"/>
    <w:rsid w:val="620E411B"/>
    <w:rsid w:val="620E73EA"/>
    <w:rsid w:val="62402AD9"/>
    <w:rsid w:val="62583071"/>
    <w:rsid w:val="62722B47"/>
    <w:rsid w:val="627769C7"/>
    <w:rsid w:val="627F5624"/>
    <w:rsid w:val="62824513"/>
    <w:rsid w:val="629B7378"/>
    <w:rsid w:val="62A64303"/>
    <w:rsid w:val="62BC7A6B"/>
    <w:rsid w:val="62D12F4C"/>
    <w:rsid w:val="62D82CA2"/>
    <w:rsid w:val="62F850E8"/>
    <w:rsid w:val="63083FBF"/>
    <w:rsid w:val="63193C3C"/>
    <w:rsid w:val="63536C90"/>
    <w:rsid w:val="63551953"/>
    <w:rsid w:val="636B7522"/>
    <w:rsid w:val="638F688B"/>
    <w:rsid w:val="63CD2EDA"/>
    <w:rsid w:val="64072837"/>
    <w:rsid w:val="643C41C6"/>
    <w:rsid w:val="6442703A"/>
    <w:rsid w:val="646B0DE3"/>
    <w:rsid w:val="64C40C8F"/>
    <w:rsid w:val="64C673F4"/>
    <w:rsid w:val="64FF0557"/>
    <w:rsid w:val="650C6162"/>
    <w:rsid w:val="651008E3"/>
    <w:rsid w:val="65142A90"/>
    <w:rsid w:val="65297A0C"/>
    <w:rsid w:val="65534DFB"/>
    <w:rsid w:val="655F5EE9"/>
    <w:rsid w:val="658C09DF"/>
    <w:rsid w:val="659A2A5A"/>
    <w:rsid w:val="65AE056C"/>
    <w:rsid w:val="65C20131"/>
    <w:rsid w:val="65E4707E"/>
    <w:rsid w:val="65E504C8"/>
    <w:rsid w:val="663E3EAB"/>
    <w:rsid w:val="66606427"/>
    <w:rsid w:val="66700533"/>
    <w:rsid w:val="668701F2"/>
    <w:rsid w:val="66C120E4"/>
    <w:rsid w:val="66F778CD"/>
    <w:rsid w:val="66FB47FB"/>
    <w:rsid w:val="6714386F"/>
    <w:rsid w:val="67397193"/>
    <w:rsid w:val="67465572"/>
    <w:rsid w:val="67576ADB"/>
    <w:rsid w:val="676237B7"/>
    <w:rsid w:val="67E47F64"/>
    <w:rsid w:val="67F90C4B"/>
    <w:rsid w:val="681F0029"/>
    <w:rsid w:val="68367CAE"/>
    <w:rsid w:val="68374AB4"/>
    <w:rsid w:val="684E2EA9"/>
    <w:rsid w:val="689F397B"/>
    <w:rsid w:val="68AF53F8"/>
    <w:rsid w:val="68B55ADE"/>
    <w:rsid w:val="68BD7398"/>
    <w:rsid w:val="68CE4A9F"/>
    <w:rsid w:val="690F6B01"/>
    <w:rsid w:val="69154048"/>
    <w:rsid w:val="69207E48"/>
    <w:rsid w:val="694D508A"/>
    <w:rsid w:val="695143C8"/>
    <w:rsid w:val="696745B3"/>
    <w:rsid w:val="697712D6"/>
    <w:rsid w:val="698B5B52"/>
    <w:rsid w:val="69CE1C74"/>
    <w:rsid w:val="69E459EA"/>
    <w:rsid w:val="69E51A03"/>
    <w:rsid w:val="69F47002"/>
    <w:rsid w:val="6A0A19EF"/>
    <w:rsid w:val="6A0E2469"/>
    <w:rsid w:val="6A226B4A"/>
    <w:rsid w:val="6A3578C4"/>
    <w:rsid w:val="6A55706B"/>
    <w:rsid w:val="6A632454"/>
    <w:rsid w:val="6A7901E3"/>
    <w:rsid w:val="6A800C8C"/>
    <w:rsid w:val="6A874232"/>
    <w:rsid w:val="6AAF4111"/>
    <w:rsid w:val="6AB966FA"/>
    <w:rsid w:val="6ABA5208"/>
    <w:rsid w:val="6AC20AE2"/>
    <w:rsid w:val="6AC22C3E"/>
    <w:rsid w:val="6AF71EB0"/>
    <w:rsid w:val="6B251953"/>
    <w:rsid w:val="6B293A9B"/>
    <w:rsid w:val="6B391854"/>
    <w:rsid w:val="6B3D3B81"/>
    <w:rsid w:val="6B412BB5"/>
    <w:rsid w:val="6B4146C4"/>
    <w:rsid w:val="6B571265"/>
    <w:rsid w:val="6BC61655"/>
    <w:rsid w:val="6C0A6104"/>
    <w:rsid w:val="6CB56B0A"/>
    <w:rsid w:val="6CD179AD"/>
    <w:rsid w:val="6D064915"/>
    <w:rsid w:val="6D196360"/>
    <w:rsid w:val="6D2D2646"/>
    <w:rsid w:val="6D316C77"/>
    <w:rsid w:val="6D50615A"/>
    <w:rsid w:val="6D6D3660"/>
    <w:rsid w:val="6D98136D"/>
    <w:rsid w:val="6DAD1742"/>
    <w:rsid w:val="6DB93853"/>
    <w:rsid w:val="6E167CD8"/>
    <w:rsid w:val="6E287440"/>
    <w:rsid w:val="6E8C43D1"/>
    <w:rsid w:val="6E8D1633"/>
    <w:rsid w:val="6E984C83"/>
    <w:rsid w:val="6EB4649B"/>
    <w:rsid w:val="6EB60AE2"/>
    <w:rsid w:val="6ECF7303"/>
    <w:rsid w:val="6EFC59CF"/>
    <w:rsid w:val="6F111428"/>
    <w:rsid w:val="6F2B196A"/>
    <w:rsid w:val="6F45448A"/>
    <w:rsid w:val="6F4F5F4D"/>
    <w:rsid w:val="6F771D60"/>
    <w:rsid w:val="6F8637AB"/>
    <w:rsid w:val="6F9B572D"/>
    <w:rsid w:val="6FCA65DA"/>
    <w:rsid w:val="6FDA3A37"/>
    <w:rsid w:val="70026533"/>
    <w:rsid w:val="70437D7E"/>
    <w:rsid w:val="70652C3C"/>
    <w:rsid w:val="706B5DC6"/>
    <w:rsid w:val="707A1F05"/>
    <w:rsid w:val="708E6A6A"/>
    <w:rsid w:val="70A62FF3"/>
    <w:rsid w:val="70F95C74"/>
    <w:rsid w:val="712B183D"/>
    <w:rsid w:val="713850A9"/>
    <w:rsid w:val="71791C12"/>
    <w:rsid w:val="717D38A8"/>
    <w:rsid w:val="71AE78EB"/>
    <w:rsid w:val="71C50328"/>
    <w:rsid w:val="71CB743F"/>
    <w:rsid w:val="721E1387"/>
    <w:rsid w:val="722701E8"/>
    <w:rsid w:val="72324DF6"/>
    <w:rsid w:val="725214ED"/>
    <w:rsid w:val="7284423C"/>
    <w:rsid w:val="72AA0073"/>
    <w:rsid w:val="72B34037"/>
    <w:rsid w:val="72CD50E7"/>
    <w:rsid w:val="72E53ECA"/>
    <w:rsid w:val="72ED109E"/>
    <w:rsid w:val="72F06352"/>
    <w:rsid w:val="72FD413F"/>
    <w:rsid w:val="732B24D9"/>
    <w:rsid w:val="73321DB5"/>
    <w:rsid w:val="7346331C"/>
    <w:rsid w:val="739B3A33"/>
    <w:rsid w:val="73B46EB1"/>
    <w:rsid w:val="74452F61"/>
    <w:rsid w:val="74530638"/>
    <w:rsid w:val="74537F5D"/>
    <w:rsid w:val="74546C7E"/>
    <w:rsid w:val="748A6B49"/>
    <w:rsid w:val="74991360"/>
    <w:rsid w:val="74A02562"/>
    <w:rsid w:val="74C875BF"/>
    <w:rsid w:val="74DA321D"/>
    <w:rsid w:val="74F140FD"/>
    <w:rsid w:val="74F53AB4"/>
    <w:rsid w:val="751420E7"/>
    <w:rsid w:val="7521759A"/>
    <w:rsid w:val="75790231"/>
    <w:rsid w:val="75C6417E"/>
    <w:rsid w:val="75FA5617"/>
    <w:rsid w:val="761B57D8"/>
    <w:rsid w:val="765F36D7"/>
    <w:rsid w:val="76672EC7"/>
    <w:rsid w:val="7674791E"/>
    <w:rsid w:val="76A42EBC"/>
    <w:rsid w:val="76A63D97"/>
    <w:rsid w:val="76BF7C6F"/>
    <w:rsid w:val="76CD543D"/>
    <w:rsid w:val="76D93C0D"/>
    <w:rsid w:val="76EA5127"/>
    <w:rsid w:val="770F630D"/>
    <w:rsid w:val="772655FB"/>
    <w:rsid w:val="77AF6DC8"/>
    <w:rsid w:val="77C15ED3"/>
    <w:rsid w:val="77DC3DC5"/>
    <w:rsid w:val="77E93454"/>
    <w:rsid w:val="78166A75"/>
    <w:rsid w:val="78675DDE"/>
    <w:rsid w:val="786D2128"/>
    <w:rsid w:val="787C21C7"/>
    <w:rsid w:val="788F0CCD"/>
    <w:rsid w:val="7897562E"/>
    <w:rsid w:val="78B82534"/>
    <w:rsid w:val="78BF6837"/>
    <w:rsid w:val="78C40317"/>
    <w:rsid w:val="78CF73CA"/>
    <w:rsid w:val="78D91F73"/>
    <w:rsid w:val="78E17EDC"/>
    <w:rsid w:val="78E43BCA"/>
    <w:rsid w:val="78E554EC"/>
    <w:rsid w:val="79020EDA"/>
    <w:rsid w:val="79046876"/>
    <w:rsid w:val="792C075E"/>
    <w:rsid w:val="799D2112"/>
    <w:rsid w:val="79AB1EF2"/>
    <w:rsid w:val="79CC41B6"/>
    <w:rsid w:val="79D74E56"/>
    <w:rsid w:val="79E0425C"/>
    <w:rsid w:val="79E60A5D"/>
    <w:rsid w:val="7A0D2376"/>
    <w:rsid w:val="7A160209"/>
    <w:rsid w:val="7A1D0754"/>
    <w:rsid w:val="7A6D72E9"/>
    <w:rsid w:val="7A8F061E"/>
    <w:rsid w:val="7AC15F31"/>
    <w:rsid w:val="7AD54089"/>
    <w:rsid w:val="7ADC302E"/>
    <w:rsid w:val="7AE96612"/>
    <w:rsid w:val="7AFB1824"/>
    <w:rsid w:val="7B1A6135"/>
    <w:rsid w:val="7B211448"/>
    <w:rsid w:val="7B2A126B"/>
    <w:rsid w:val="7B3D231D"/>
    <w:rsid w:val="7B5F4B17"/>
    <w:rsid w:val="7B7E490C"/>
    <w:rsid w:val="7BB925B5"/>
    <w:rsid w:val="7BEA6499"/>
    <w:rsid w:val="7BEF3510"/>
    <w:rsid w:val="7BFE6C47"/>
    <w:rsid w:val="7C317B8C"/>
    <w:rsid w:val="7C8B3844"/>
    <w:rsid w:val="7C9A473B"/>
    <w:rsid w:val="7CA96AC7"/>
    <w:rsid w:val="7CB22C7B"/>
    <w:rsid w:val="7CBA760E"/>
    <w:rsid w:val="7CD01ADD"/>
    <w:rsid w:val="7CE06B66"/>
    <w:rsid w:val="7CFA1DE4"/>
    <w:rsid w:val="7D173E42"/>
    <w:rsid w:val="7D1F3736"/>
    <w:rsid w:val="7D2B5175"/>
    <w:rsid w:val="7D4D370B"/>
    <w:rsid w:val="7D5E28E4"/>
    <w:rsid w:val="7D690834"/>
    <w:rsid w:val="7DA13082"/>
    <w:rsid w:val="7DD1366C"/>
    <w:rsid w:val="7DDB0A6C"/>
    <w:rsid w:val="7DE832A8"/>
    <w:rsid w:val="7DEC20D0"/>
    <w:rsid w:val="7E005600"/>
    <w:rsid w:val="7E072CB8"/>
    <w:rsid w:val="7E191194"/>
    <w:rsid w:val="7E1B263E"/>
    <w:rsid w:val="7E3407C9"/>
    <w:rsid w:val="7E7E1D7C"/>
    <w:rsid w:val="7EF257BD"/>
    <w:rsid w:val="7F0D5DDB"/>
    <w:rsid w:val="7F4C39A0"/>
    <w:rsid w:val="7F5849C5"/>
    <w:rsid w:val="7F7546D2"/>
    <w:rsid w:val="7F776AD5"/>
    <w:rsid w:val="7F8D3678"/>
    <w:rsid w:val="7FA8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widowControl/>
      <w:spacing w:before="100" w:beforeLines="0" w:beforeAutospacing="1" w:after="100" w:afterLines="0" w:afterAutospacing="1"/>
      <w:jc w:val="left"/>
    </w:pPr>
    <w:rPr>
      <w:rFonts w:hint="eastAsia" w:ascii="宋体" w:hAnsi="宋体"/>
      <w:sz w:val="24"/>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24037;&#20316;&#31807;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[工作簿1]Sheet1!$B$3:$F$3</c:f>
              <c:strCache>
                <c:ptCount val="5"/>
                <c:pt idx="0">
                  <c:v>工作动态</c:v>
                </c:pt>
                <c:pt idx="1">
                  <c:v>公告通知</c:v>
                </c:pt>
                <c:pt idx="2">
                  <c:v>工信信息</c:v>
                </c:pt>
                <c:pt idx="3">
                  <c:v>经济运行</c:v>
                </c:pt>
                <c:pt idx="4">
                  <c:v>政策文件</c:v>
                </c:pt>
              </c:strCache>
            </c:strRef>
          </c:cat>
          <c:val>
            <c:numRef>
              <c:f>[工作簿1]Sheet1!$B$4:$F$4</c:f>
              <c:numCache>
                <c:formatCode>General</c:formatCode>
                <c:ptCount val="5"/>
                <c:pt idx="0">
                  <c:v>138</c:v>
                </c:pt>
                <c:pt idx="1">
                  <c:v>29</c:v>
                </c:pt>
                <c:pt idx="2">
                  <c:v>84</c:v>
                </c:pt>
                <c:pt idx="3">
                  <c:v>10</c:v>
                </c:pt>
                <c:pt idx="4">
                  <c:v>34</c:v>
                </c:pt>
              </c:numCache>
            </c:numRef>
          </c:val>
        </c:ser>
        <c:dLbls>
          <c:showLegendKey val="0"/>
          <c:showVal val="1"/>
          <c:showCatName val="0"/>
          <c:showSerName val="0"/>
          <c:showPercent val="0"/>
          <c:showBubbleSize val="0"/>
        </c:dLbls>
        <c:gapWidth val="100"/>
        <c:overlap val="-24"/>
        <c:axId val="986916477"/>
        <c:axId val="209396824"/>
      </c:barChart>
      <c:catAx>
        <c:axId val="986916477"/>
        <c:scaling>
          <c:orientation val="minMax"/>
        </c:scaling>
        <c:delete val="0"/>
        <c:axPos val="b"/>
        <c:majorTickMark val="none"/>
        <c:minorTickMark val="none"/>
        <c:tickLblPos val="nextTo"/>
        <c:spPr>
          <a:noFill/>
          <a:ln w="12700"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09396824"/>
        <c:crosses val="autoZero"/>
        <c:auto val="1"/>
        <c:lblAlgn val="ctr"/>
        <c:lblOffset val="100"/>
        <c:noMultiLvlLbl val="0"/>
      </c:catAx>
      <c:valAx>
        <c:axId val="2093968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8691647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2019-03-04T03:05:00Z</dcterms:created>
  <dc:creator>Administrator.USER-20190301QM</dc:creator>
  <cp:lastModifiedBy>Leo_原</cp:lastModifiedBy>
  <cp:lastPrinted>2019-07-22T02:57:00Z</cp:lastPrinted>
  <dcterms:modified xsi:type="dcterms:W3CDTF">2022-01-20T08:00:02Z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D203BC78A5C048B7A27D1995C664F96F</vt:lpwstr>
  </property>
</Properties>
</file>