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450" w:afterAutospacing="0"/>
        <w:jc w:val="center"/>
        <w:rPr>
          <w:rFonts w:hint="default" w:ascii="方正大标宋简体" w:hAnsi="方正大标宋简体" w:eastAsia="方正大标宋简体" w:cs="方正大标宋简体"/>
          <w:b w:val="0"/>
        </w:rPr>
      </w:pPr>
      <w:r>
        <w:rPr>
          <w:rFonts w:ascii="方正大标宋简体" w:hAnsi="方正大标宋简体" w:eastAsia="方正大标宋简体" w:cs="方正大标宋简体"/>
          <w:b w:val="0"/>
          <w:shd w:val="clear" w:color="auto" w:fill="FFFFFF"/>
        </w:rPr>
        <w:t>滕州市财政局2021年度政府信息公开工作年度报告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按照《中华人民共和国政府信息公开条例》和《国务院办公厅政府信息与政务公开办公室关于印发＜中华人民共和国政府信息公开工作年度报告格式＞的通知》（国办公开办函〔2021〕30 号）以及有关文件要求，编制滕州市财政局2021年度信息公开工作年度报告。本报告所列数据的统计时限自 2021年1月1日起至 2021 年12月31日止。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一、总体情况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滕州市财政局</w:t>
      </w:r>
      <w:bookmarkStart w:id="0" w:name="_GoBack"/>
      <w:bookmarkEnd w:id="0"/>
      <w:r>
        <w:rPr>
          <w:rFonts w:hint="eastAsia" w:ascii="仿宋_GB2312" w:hAnsi="仿宋_GB2312" w:eastAsia="仿宋_GB2312" w:cs="仿宋_GB2312"/>
          <w:sz w:val="32"/>
          <w:szCs w:val="32"/>
        </w:rPr>
        <w:t>严格按照省市工作要求，认真贯彻落实《中华人民共和国政府信息公开条例》等有关规定，强化组织领导，细化责任分工，坚持“以公开为常态、不公开为例外”原则, 积极推进行政权力运行公开、重点领域信息公开，完善依申请公开答复规范，全面加强政策解读与回应关切。确保信息及时、准确、规范，积极、稳妥推进政府信息公开工作。</w:t>
      </w:r>
    </w:p>
    <w:p>
      <w:pPr>
        <w:ind w:firstLine="643" w:firstLineChars="200"/>
        <w:rPr>
          <w:rFonts w:ascii="仿宋_GB2312" w:hAnsi="仿宋_GB2312" w:eastAsia="仿宋_GB2312" w:cs="仿宋_GB2312"/>
          <w:sz w:val="32"/>
          <w:szCs w:val="32"/>
        </w:rPr>
      </w:pPr>
      <w:r>
        <w:rPr>
          <w:rFonts w:ascii="仿宋_GB2312" w:eastAsia="仿宋_GB2312"/>
          <w:b/>
          <w:bCs/>
          <w:sz w:val="32"/>
          <w:szCs w:val="32"/>
        </w:rPr>
        <w:t>1.主动公开</w:t>
      </w:r>
      <w:r>
        <w:rPr>
          <w:rFonts w:hint="eastAsia" w:ascii="仿宋_GB2312" w:eastAsia="仿宋_GB2312"/>
          <w:b/>
          <w:bCs/>
          <w:sz w:val="32"/>
          <w:szCs w:val="32"/>
        </w:rPr>
        <w:t>。</w:t>
      </w:r>
      <w:r>
        <w:rPr>
          <w:rFonts w:hint="eastAsia" w:ascii="仿宋_GB2312" w:hAnsi="仿宋_GB2312" w:eastAsia="仿宋_GB2312" w:cs="仿宋_GB2312"/>
          <w:sz w:val="32"/>
          <w:szCs w:val="32"/>
        </w:rPr>
        <w:t>一是强化基本信息公开。2021年，主动公开基本信息，包括通知公告、政策法规及规范性文件、规划计划等。全年信息发布数量为158条。二是突出重点领域信息公开。2021年，主动公开财政信息包括：财政预决算、财政收支信息、财政资金直达基层、重点项目绩效评价。维护滕州市预决算公开平台（</w:t>
      </w:r>
      <w:r>
        <w:rPr>
          <w:rFonts w:ascii="仿宋_GB2312" w:hAnsi="仿宋_GB2312" w:eastAsia="仿宋_GB2312" w:cs="仿宋_GB2312"/>
          <w:sz w:val="32"/>
          <w:szCs w:val="32"/>
        </w:rPr>
        <w:t>http://tengzhou.czyjsgk.com:5000/</w:t>
      </w:r>
      <w:r>
        <w:rPr>
          <w:rFonts w:hint="eastAsia" w:ascii="仿宋_GB2312" w:hAnsi="仿宋_GB2312" w:eastAsia="仿宋_GB2312" w:cs="仿宋_GB2312"/>
          <w:sz w:val="32"/>
          <w:szCs w:val="32"/>
        </w:rPr>
        <w:t>），财政预决算及三公经费类信息统一在此平台发布。</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114300" distR="114300">
            <wp:extent cx="4676775" cy="2286000"/>
            <wp:effectExtent l="0" t="0" r="9525" b="0"/>
            <wp:docPr id="2" name="图片 1" descr="read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read_image.png"/>
                    <pic:cNvPicPr>
                      <a:picLocks noChangeAspect="1"/>
                    </pic:cNvPicPr>
                  </pic:nvPicPr>
                  <pic:blipFill>
                    <a:blip r:embed="rId4"/>
                    <a:stretch>
                      <a:fillRect/>
                    </a:stretch>
                  </pic:blipFill>
                  <pic:spPr>
                    <a:xfrm>
                      <a:off x="0" y="0"/>
                      <a:ext cx="4676775" cy="2286000"/>
                    </a:xfrm>
                    <a:prstGeom prst="rect">
                      <a:avLst/>
                    </a:prstGeom>
                    <a:noFill/>
                    <a:ln w="9525">
                      <a:noFill/>
                    </a:ln>
                  </pic:spPr>
                </pic:pic>
              </a:graphicData>
            </a:graphic>
          </wp:inline>
        </w:drawing>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637405" cy="2400935"/>
            <wp:effectExtent l="0" t="0" r="10795" b="18415"/>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pic:cNvPicPr>
                  </pic:nvPicPr>
                  <pic:blipFill>
                    <a:blip r:embed="rId5"/>
                    <a:stretch>
                      <a:fillRect/>
                    </a:stretch>
                  </pic:blipFill>
                  <pic:spPr>
                    <a:xfrm>
                      <a:off x="0" y="0"/>
                      <a:ext cx="4637405" cy="2400935"/>
                    </a:xfrm>
                    <a:prstGeom prst="rect">
                      <a:avLst/>
                    </a:prstGeom>
                  </pic:spPr>
                </pic:pic>
              </a:graphicData>
            </a:graphic>
          </wp:inline>
        </w:drawing>
      </w:r>
    </w:p>
    <w:p>
      <w:pPr>
        <w:pStyle w:val="8"/>
        <w:widowControl/>
        <w:spacing w:beforeAutospacing="0" w:afterAutospacing="0" w:line="360" w:lineRule="auto"/>
        <w:ind w:firstLine="640" w:firstLineChars="200"/>
        <w:rPr>
          <w:color w:val="000000"/>
          <w:sz w:val="32"/>
          <w:szCs w:val="32"/>
        </w:rPr>
      </w:pPr>
      <w:r>
        <w:rPr>
          <w:rFonts w:hint="eastAsia" w:ascii="仿宋_GB2312" w:hAnsi="仿宋_GB2312" w:eastAsia="仿宋_GB2312" w:cs="仿宋_GB2312"/>
          <w:sz w:val="32"/>
          <w:szCs w:val="32"/>
        </w:rPr>
        <w:t>2.依申请公开。</w:t>
      </w:r>
      <w:r>
        <w:rPr>
          <w:rFonts w:hint="eastAsia" w:cs="仿宋_GB2312"/>
          <w:sz w:val="32"/>
          <w:szCs w:val="32"/>
          <w:lang w:bidi="ar"/>
        </w:rPr>
        <w:t>2021</w:t>
      </w:r>
      <w:r>
        <w:rPr>
          <w:rFonts w:hint="eastAsia" w:ascii="仿宋_GB2312" w:hAnsi="仿宋_GB2312" w:eastAsia="仿宋_GB2312" w:cs="仿宋_GB2312"/>
          <w:sz w:val="32"/>
          <w:szCs w:val="32"/>
          <w:lang w:bidi="ar"/>
        </w:rPr>
        <w:t>年以来，</w:t>
      </w:r>
      <w:r>
        <w:rPr>
          <w:rFonts w:hint="eastAsia" w:ascii="仿宋_GB2312" w:eastAsia="仿宋_GB2312"/>
          <w:sz w:val="32"/>
          <w:szCs w:val="32"/>
        </w:rPr>
        <w:t>完</w:t>
      </w:r>
      <w:r>
        <w:rPr>
          <w:rFonts w:hint="eastAsia" w:ascii="仿宋_GB2312" w:eastAsia="仿宋_GB2312"/>
          <w:color w:val="000000"/>
          <w:sz w:val="32"/>
          <w:szCs w:val="32"/>
        </w:rPr>
        <w:t>善受理、审查、处理、答复以及保存备查等各环节流程,</w:t>
      </w:r>
      <w:r>
        <w:rPr>
          <w:rFonts w:hint="eastAsia" w:ascii="仿宋_GB2312" w:eastAsia="仿宋_GB2312"/>
          <w:sz w:val="32"/>
          <w:szCs w:val="32"/>
        </w:rPr>
        <w:t>答复申请时，</w:t>
      </w:r>
      <w:r>
        <w:rPr>
          <w:rFonts w:ascii="仿宋_GB2312" w:eastAsia="仿宋_GB2312"/>
          <w:sz w:val="32"/>
          <w:szCs w:val="32"/>
        </w:rPr>
        <w:t>依法有据、严谨规范、慎重稳妥</w:t>
      </w:r>
      <w:r>
        <w:rPr>
          <w:rFonts w:hint="eastAsia"/>
          <w:sz w:val="32"/>
          <w:szCs w:val="32"/>
        </w:rPr>
        <w:t>。</w:t>
      </w:r>
      <w:r>
        <w:rPr>
          <w:rFonts w:hint="eastAsia" w:cs="仿宋_GB2312"/>
          <w:sz w:val="32"/>
          <w:szCs w:val="32"/>
        </w:rPr>
        <w:t>2021</w:t>
      </w:r>
      <w:r>
        <w:rPr>
          <w:rFonts w:hint="eastAsia" w:ascii="仿宋_GB2312" w:hAnsi="仿宋_GB2312" w:eastAsia="仿宋_GB2312" w:cs="仿宋_GB2312"/>
          <w:sz w:val="32"/>
          <w:szCs w:val="32"/>
        </w:rPr>
        <w:t>年，新收</w:t>
      </w:r>
      <w:r>
        <w:rPr>
          <w:rFonts w:hint="eastAsia" w:cs="仿宋_GB2312"/>
          <w:sz w:val="32"/>
          <w:szCs w:val="32"/>
        </w:rPr>
        <w:t>4</w:t>
      </w:r>
      <w:r>
        <w:rPr>
          <w:rFonts w:hint="eastAsia" w:ascii="仿宋_GB2312" w:hAnsi="仿宋_GB2312" w:eastAsia="仿宋_GB2312" w:cs="仿宋_GB2312"/>
          <w:sz w:val="32"/>
          <w:szCs w:val="32"/>
        </w:rPr>
        <w:t>件政府信息公开申请，上年结转</w:t>
      </w:r>
      <w:r>
        <w:rPr>
          <w:rFonts w:hint="eastAsia" w:cs="仿宋_GB2312"/>
          <w:sz w:val="32"/>
          <w:szCs w:val="32"/>
        </w:rPr>
        <w:t>0</w:t>
      </w:r>
      <w:r>
        <w:rPr>
          <w:rFonts w:hint="eastAsia" w:ascii="仿宋_GB2312" w:hAnsi="仿宋_GB2312" w:eastAsia="仿宋_GB2312" w:cs="仿宋_GB2312"/>
          <w:sz w:val="32"/>
          <w:szCs w:val="32"/>
        </w:rPr>
        <w:t>件，合计</w:t>
      </w:r>
      <w:r>
        <w:rPr>
          <w:rFonts w:hint="eastAsia" w:cs="仿宋_GB2312"/>
          <w:sz w:val="32"/>
          <w:szCs w:val="32"/>
        </w:rPr>
        <w:t>4</w:t>
      </w:r>
      <w:r>
        <w:rPr>
          <w:rFonts w:hint="eastAsia" w:ascii="仿宋_GB2312" w:hAnsi="仿宋_GB2312" w:eastAsia="仿宋_GB2312" w:cs="仿宋_GB2312"/>
          <w:sz w:val="32"/>
          <w:szCs w:val="32"/>
        </w:rPr>
        <w:t>件。</w:t>
      </w:r>
      <w:r>
        <w:rPr>
          <w:rFonts w:hint="eastAsia" w:ascii="仿宋_GB2312" w:eastAsia="仿宋_GB2312"/>
          <w:color w:val="000000"/>
          <w:sz w:val="32"/>
          <w:szCs w:val="32"/>
        </w:rPr>
        <w:t>自然人申请4件，</w:t>
      </w:r>
      <w:r>
        <w:rPr>
          <w:rFonts w:hint="eastAsia" w:ascii="仿宋_GB2312" w:eastAsia="仿宋_GB2312" w:cstheme="minorBidi"/>
          <w:kern w:val="2"/>
          <w:sz w:val="32"/>
          <w:szCs w:val="32"/>
        </w:rPr>
        <w:t>其中予以公开</w:t>
      </w:r>
      <w:r>
        <w:rPr>
          <w:rFonts w:hint="eastAsia" w:cstheme="minorBidi"/>
          <w:kern w:val="2"/>
          <w:sz w:val="32"/>
          <w:szCs w:val="32"/>
        </w:rPr>
        <w:t>4</w:t>
      </w:r>
      <w:r>
        <w:rPr>
          <w:rFonts w:hint="eastAsia" w:ascii="仿宋_GB2312" w:eastAsia="仿宋_GB2312" w:cstheme="minorBidi"/>
          <w:kern w:val="2"/>
          <w:sz w:val="32"/>
          <w:szCs w:val="32"/>
        </w:rPr>
        <w:t>件</w:t>
      </w:r>
      <w:r>
        <w:rPr>
          <w:rFonts w:hint="eastAsia" w:ascii="仿宋_GB2312" w:hAnsi="仿宋_GB2312" w:eastAsia="仿宋_GB2312" w:cs="仿宋_GB2312"/>
          <w:sz w:val="32"/>
          <w:szCs w:val="32"/>
        </w:rPr>
        <w:t>。</w:t>
      </w:r>
      <w:r>
        <w:rPr>
          <w:rFonts w:hint="eastAsia"/>
          <w:color w:val="000000"/>
          <w:sz w:val="32"/>
          <w:szCs w:val="32"/>
        </w:rPr>
        <w:t>2021</w:t>
      </w:r>
      <w:r>
        <w:rPr>
          <w:rFonts w:hint="eastAsia" w:ascii="仿宋_GB2312" w:eastAsia="仿宋_GB2312"/>
          <w:color w:val="000000"/>
          <w:sz w:val="32"/>
          <w:szCs w:val="32"/>
        </w:rPr>
        <w:t xml:space="preserve"> 年，因信息公开被行政复议</w:t>
      </w:r>
      <w:r>
        <w:rPr>
          <w:rFonts w:hint="eastAsia"/>
          <w:color w:val="000000"/>
          <w:sz w:val="32"/>
          <w:szCs w:val="32"/>
        </w:rPr>
        <w:t>0</w:t>
      </w:r>
      <w:r>
        <w:rPr>
          <w:rFonts w:hint="eastAsia" w:ascii="仿宋_GB2312" w:eastAsia="仿宋_GB2312"/>
          <w:color w:val="000000"/>
          <w:sz w:val="32"/>
          <w:szCs w:val="32"/>
        </w:rPr>
        <w:t>件</w:t>
      </w:r>
      <w:r>
        <w:rPr>
          <w:rFonts w:hint="eastAsia"/>
          <w:color w:val="000000"/>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3.政府信息管理。严格落实公文公开属性源头认定机制，明确标识主动公开、依申请公开、不予公开属性。另明确信息公开时限要求，确保信息上传及时、避免出现空白栏目，扎实做好信息上传维护工作。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4.政府信息公开平台建设。加强本部门网站</w:t>
      </w:r>
      <w:r>
        <w:rPr>
          <w:rFonts w:hint="eastAsia" w:ascii="仿宋_GB2312" w:eastAsia="仿宋_GB2312"/>
          <w:sz w:val="32"/>
          <w:szCs w:val="32"/>
        </w:rPr>
        <w:t>、政府信息公开专栏、政务新媒体</w:t>
      </w:r>
      <w:r>
        <w:rPr>
          <w:rFonts w:hint="eastAsia" w:ascii="仿宋_GB2312" w:hAnsi="仿宋_GB2312" w:eastAsia="仿宋_GB2312" w:cs="仿宋_GB2312"/>
          <w:sz w:val="32"/>
          <w:szCs w:val="32"/>
        </w:rPr>
        <w:t>的日常管理和栏目维护，不断完善政府信息公开网的公开内容。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5.监督保障。加强对政务信息公开工作的组织领导，健全以局长任组长，分管领导任副组长的政府信息公开工作领导小组，并下设办公室。结合工作安排，开展政务公开培训。    2021年，滕州市财政局未发生因信息公开审查不当或保密审查机构未履行保密审查职责而引起的失泄密情况。2021年度未进行社会评议，未发生责任追究情况。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二、主动公开政府信息情况</w:t>
      </w:r>
    </w:p>
    <w:tbl>
      <w:tblPr>
        <w:tblStyle w:val="9"/>
        <w:tblW w:w="8120" w:type="dxa"/>
        <w:tblInd w:w="96" w:type="dxa"/>
        <w:tblLayout w:type="autofit"/>
        <w:tblCellMar>
          <w:top w:w="0" w:type="dxa"/>
          <w:left w:w="108" w:type="dxa"/>
          <w:bottom w:w="0" w:type="dxa"/>
          <w:right w:w="108" w:type="dxa"/>
        </w:tblCellMar>
      </w:tblPr>
      <w:tblGrid>
        <w:gridCol w:w="2333"/>
        <w:gridCol w:w="2031"/>
        <w:gridCol w:w="2031"/>
        <w:gridCol w:w="2031"/>
      </w:tblGrid>
      <w:tr>
        <w:tblPrEx>
          <w:tblCellMar>
            <w:top w:w="0" w:type="dxa"/>
            <w:left w:w="108" w:type="dxa"/>
            <w:bottom w:w="0" w:type="dxa"/>
            <w:right w:w="108" w:type="dxa"/>
          </w:tblCellMar>
        </w:tblPrEx>
        <w:trPr>
          <w:trHeight w:val="576" w:hRule="atLeast"/>
        </w:trPr>
        <w:tc>
          <w:tcPr>
            <w:tcW w:w="81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第(一)项</w:t>
            </w:r>
          </w:p>
        </w:tc>
      </w:tr>
      <w:tr>
        <w:tblPrEx>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本年制发件数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本年废止件数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现行有效件数</w:t>
            </w:r>
          </w:p>
        </w:tc>
      </w:tr>
      <w:tr>
        <w:tblPrEx>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规章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行政规范性文件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CellMar>
            <w:top w:w="0" w:type="dxa"/>
            <w:left w:w="108" w:type="dxa"/>
            <w:bottom w:w="0" w:type="dxa"/>
            <w:right w:w="108" w:type="dxa"/>
          </w:tblCellMar>
        </w:tblPrEx>
        <w:trPr>
          <w:trHeight w:val="57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第(五)项</w:t>
            </w:r>
          </w:p>
        </w:tc>
      </w:tr>
      <w:tr>
        <w:tblPrEx>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本年处理决定数量</w:t>
            </w:r>
          </w:p>
        </w:tc>
      </w:tr>
      <w:tr>
        <w:tblPrEx>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行政许可</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CellMar>
            <w:top w:w="0" w:type="dxa"/>
            <w:left w:w="108" w:type="dxa"/>
            <w:bottom w:w="0" w:type="dxa"/>
            <w:right w:w="108" w:type="dxa"/>
          </w:tblCellMar>
        </w:tblPrEx>
        <w:trPr>
          <w:trHeight w:val="57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第(六)项</w:t>
            </w:r>
          </w:p>
        </w:tc>
      </w:tr>
      <w:tr>
        <w:tblPrEx>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本年处理决定数量</w:t>
            </w:r>
          </w:p>
        </w:tc>
      </w:tr>
      <w:tr>
        <w:tblPrEx>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行政处罚</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行政强制</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CellMar>
            <w:top w:w="0" w:type="dxa"/>
            <w:left w:w="108" w:type="dxa"/>
            <w:bottom w:w="0" w:type="dxa"/>
            <w:right w:w="108" w:type="dxa"/>
          </w:tblCellMar>
        </w:tblPrEx>
        <w:trPr>
          <w:trHeight w:val="57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第(八)项</w:t>
            </w:r>
          </w:p>
        </w:tc>
      </w:tr>
      <w:tr>
        <w:tblPrEx>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本年处理决定数量（单位：万元）</w:t>
            </w:r>
          </w:p>
        </w:tc>
      </w:tr>
      <w:tr>
        <w:tblPrEx>
          <w:tblCellMar>
            <w:top w:w="0" w:type="dxa"/>
            <w:left w:w="108" w:type="dxa"/>
            <w:bottom w:w="0" w:type="dxa"/>
            <w:right w:w="108" w:type="dxa"/>
          </w:tblCellMar>
        </w:tblPrEx>
        <w:trPr>
          <w:trHeight w:val="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行政事业性收费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三、收到和处理政府信息公开申请情况</w:t>
      </w:r>
    </w:p>
    <w:tbl>
      <w:tblPr>
        <w:tblStyle w:val="9"/>
        <w:tblW w:w="827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60"/>
        <w:gridCol w:w="1282"/>
        <w:gridCol w:w="2484"/>
        <w:gridCol w:w="674"/>
        <w:gridCol w:w="419"/>
        <w:gridCol w:w="474"/>
        <w:gridCol w:w="606"/>
        <w:gridCol w:w="632"/>
        <w:gridCol w:w="486"/>
        <w:gridCol w:w="5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426"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（本列数据的勾稽关系为：第一项加第二项之和，</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等于第三项加第四项之和）</w:t>
            </w:r>
          </w:p>
        </w:tc>
        <w:tc>
          <w:tcPr>
            <w:tcW w:w="3853"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426"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67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自然人</w:t>
            </w:r>
          </w:p>
        </w:tc>
        <w:tc>
          <w:tcPr>
            <w:tcW w:w="2617"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法人或其他组织</w:t>
            </w:r>
          </w:p>
        </w:tc>
        <w:tc>
          <w:tcPr>
            <w:tcW w:w="56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2" w:hRule="atLeast"/>
        </w:trPr>
        <w:tc>
          <w:tcPr>
            <w:tcW w:w="4426"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67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商业</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企业</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科研</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机构</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社会公</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益组织</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法律服</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务机构</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56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42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一、本年新收政府信息公开申请数量</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42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二、上年结转政府信息公开申请数量</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三、本年度办理结果</w:t>
            </w:r>
          </w:p>
        </w:tc>
        <w:tc>
          <w:tcPr>
            <w:tcW w:w="376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（一）予以公开</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376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（二）部分公开（区分处理的，只计这一情形，不计其他情形）</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128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（三）不予公开</w:t>
            </w:r>
          </w:p>
        </w:tc>
        <w:tc>
          <w:tcPr>
            <w:tcW w:w="248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1.属于国家秘密</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128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248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2.其他法律行政法规禁止公开</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128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248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3.危及“三安全一稳定”</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128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248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4.保护第三方合法权益</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128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248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5.属于三类内部事务信息</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128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248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6.属于四类过程性信息</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128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248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7.属于行政执法案卷</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128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248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8.属于行政查询事项</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128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（四）无法提供</w:t>
            </w:r>
          </w:p>
        </w:tc>
        <w:tc>
          <w:tcPr>
            <w:tcW w:w="248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1.本机关不掌握相关政府信息</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128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248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2.没有现成信息需要另行制作</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128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248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3.补正后申请内容仍不明确</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128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（五）不予处理</w:t>
            </w:r>
          </w:p>
        </w:tc>
        <w:tc>
          <w:tcPr>
            <w:tcW w:w="248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1.信访举报投诉类申请</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128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248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2.重复申请</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128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248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3.要求提供公开出版物</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128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248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4.无正当理由大量反复申请</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128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248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5.要求行政机关确认或重新</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出具已获取信息</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2" w:hRule="atLeast"/>
        </w:trPr>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1282" w:type="dxa"/>
            <w:vMerge w:val="restart"/>
            <w:tcBorders>
              <w:top w:val="single" w:color="auto" w:sz="8" w:space="0"/>
              <w:left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（六）其他处理</w:t>
            </w:r>
          </w:p>
        </w:tc>
        <w:tc>
          <w:tcPr>
            <w:tcW w:w="248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1.申请人无正当理由逾期不补正、行政机关不再处理其政府信息公开申请</w:t>
            </w:r>
          </w:p>
        </w:tc>
        <w:tc>
          <w:tcPr>
            <w:tcW w:w="674" w:type="dxa"/>
            <w:vMerge w:val="restart"/>
            <w:tcBorders>
              <w:top w:val="single" w:color="auto" w:sz="8" w:space="0"/>
              <w:left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9" w:type="dxa"/>
            <w:vMerge w:val="restart"/>
            <w:tcBorders>
              <w:top w:val="single" w:color="auto" w:sz="8" w:space="0"/>
              <w:left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vMerge w:val="restart"/>
            <w:tcBorders>
              <w:top w:val="single" w:color="auto" w:sz="8" w:space="0"/>
              <w:left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vMerge w:val="restart"/>
            <w:tcBorders>
              <w:top w:val="single" w:color="auto" w:sz="8" w:space="0"/>
              <w:left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vMerge w:val="restart"/>
            <w:tcBorders>
              <w:top w:val="single" w:color="auto" w:sz="8" w:space="0"/>
              <w:left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vMerge w:val="restart"/>
            <w:tcBorders>
              <w:top w:val="single" w:color="auto" w:sz="8" w:space="0"/>
              <w:left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vMerge w:val="restart"/>
            <w:tcBorders>
              <w:top w:val="single" w:color="auto" w:sz="8" w:space="0"/>
              <w:left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2" w:hRule="atLeast"/>
        </w:trPr>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1282" w:type="dxa"/>
            <w:vMerge w:val="continue"/>
            <w:tcBorders>
              <w:left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248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2.申请人逾期未按收费通知要求缴纳费用、行政机关不再处理其政府信息公开申请</w:t>
            </w:r>
          </w:p>
        </w:tc>
        <w:tc>
          <w:tcPr>
            <w:tcW w:w="674" w:type="dxa"/>
            <w:vMerge w:val="continue"/>
            <w:tcBorders>
              <w:left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p>
        </w:tc>
        <w:tc>
          <w:tcPr>
            <w:tcW w:w="419" w:type="dxa"/>
            <w:vMerge w:val="continue"/>
            <w:tcBorders>
              <w:left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p>
        </w:tc>
        <w:tc>
          <w:tcPr>
            <w:tcW w:w="474" w:type="dxa"/>
            <w:vMerge w:val="continue"/>
            <w:tcBorders>
              <w:left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p>
        </w:tc>
        <w:tc>
          <w:tcPr>
            <w:tcW w:w="606" w:type="dxa"/>
            <w:vMerge w:val="continue"/>
            <w:tcBorders>
              <w:left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p>
        </w:tc>
        <w:tc>
          <w:tcPr>
            <w:tcW w:w="632" w:type="dxa"/>
            <w:vMerge w:val="continue"/>
            <w:tcBorders>
              <w:left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p>
        </w:tc>
        <w:tc>
          <w:tcPr>
            <w:tcW w:w="486" w:type="dxa"/>
            <w:vMerge w:val="continue"/>
            <w:tcBorders>
              <w:left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p>
        </w:tc>
        <w:tc>
          <w:tcPr>
            <w:tcW w:w="562" w:type="dxa"/>
            <w:vMerge w:val="continue"/>
            <w:tcBorders>
              <w:left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2" w:hRule="atLeast"/>
        </w:trPr>
        <w:tc>
          <w:tcPr>
            <w:tcW w:w="660" w:type="dxa"/>
            <w:vMerge w:val="continue"/>
            <w:tcBorders>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1282" w:type="dxa"/>
            <w:vMerge w:val="continue"/>
            <w:tcBorders>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2484"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3.其他</w:t>
            </w:r>
          </w:p>
        </w:tc>
        <w:tc>
          <w:tcPr>
            <w:tcW w:w="674" w:type="dxa"/>
            <w:vMerge w:val="continue"/>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p>
        </w:tc>
        <w:tc>
          <w:tcPr>
            <w:tcW w:w="419" w:type="dxa"/>
            <w:vMerge w:val="continue"/>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p>
        </w:tc>
        <w:tc>
          <w:tcPr>
            <w:tcW w:w="474" w:type="dxa"/>
            <w:vMerge w:val="continue"/>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p>
        </w:tc>
        <w:tc>
          <w:tcPr>
            <w:tcW w:w="606" w:type="dxa"/>
            <w:vMerge w:val="continue"/>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p>
        </w:tc>
        <w:tc>
          <w:tcPr>
            <w:tcW w:w="632" w:type="dxa"/>
            <w:vMerge w:val="continue"/>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p>
        </w:tc>
        <w:tc>
          <w:tcPr>
            <w:tcW w:w="486" w:type="dxa"/>
            <w:vMerge w:val="continue"/>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p>
        </w:tc>
        <w:tc>
          <w:tcPr>
            <w:tcW w:w="562" w:type="dxa"/>
            <w:vMerge w:val="continue"/>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376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（七）总计</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42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四、结转下年度继续办理</w:t>
            </w:r>
          </w:p>
        </w:tc>
        <w:tc>
          <w:tcPr>
            <w:tcW w:w="6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1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74"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8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6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四、政府信息公开行政复议、行政诉讼情况</w:t>
      </w:r>
    </w:p>
    <w:tbl>
      <w:tblPr>
        <w:tblStyle w:val="9"/>
        <w:tblW w:w="817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40"/>
        <w:gridCol w:w="540"/>
        <w:gridCol w:w="540"/>
        <w:gridCol w:w="540"/>
        <w:gridCol w:w="611"/>
        <w:gridCol w:w="499"/>
        <w:gridCol w:w="540"/>
        <w:gridCol w:w="540"/>
        <w:gridCol w:w="540"/>
        <w:gridCol w:w="557"/>
        <w:gridCol w:w="540"/>
        <w:gridCol w:w="540"/>
        <w:gridCol w:w="540"/>
        <w:gridCol w:w="540"/>
        <w:gridCol w:w="5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trPr>
        <w:tc>
          <w:tcPr>
            <w:tcW w:w="27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行政复议</w:t>
            </w:r>
          </w:p>
        </w:tc>
        <w:tc>
          <w:tcPr>
            <w:tcW w:w="540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trPr>
        <w:tc>
          <w:tcPr>
            <w:tcW w:w="54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结果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维持</w:t>
            </w:r>
          </w:p>
        </w:tc>
        <w:tc>
          <w:tcPr>
            <w:tcW w:w="54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结果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纠正</w:t>
            </w:r>
          </w:p>
        </w:tc>
        <w:tc>
          <w:tcPr>
            <w:tcW w:w="54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其他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结果</w:t>
            </w:r>
          </w:p>
        </w:tc>
        <w:tc>
          <w:tcPr>
            <w:tcW w:w="54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尚未</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审结</w:t>
            </w:r>
          </w:p>
        </w:tc>
        <w:tc>
          <w:tcPr>
            <w:tcW w:w="6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总</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计</w:t>
            </w:r>
          </w:p>
        </w:tc>
        <w:tc>
          <w:tcPr>
            <w:tcW w:w="267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未经复议直接起诉</w:t>
            </w:r>
          </w:p>
        </w:tc>
        <w:tc>
          <w:tcPr>
            <w:tcW w:w="2732"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trPr>
        <w:tc>
          <w:tcPr>
            <w:tcW w:w="5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5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5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54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61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结果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维持</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结果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纠正</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其他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结果</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尚未</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审结</w:t>
            </w:r>
          </w:p>
        </w:tc>
        <w:tc>
          <w:tcPr>
            <w:tcW w:w="557"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结果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维持</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结果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纠正</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其他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结果</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尚未</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审结</w:t>
            </w:r>
          </w:p>
        </w:tc>
        <w:tc>
          <w:tcPr>
            <w:tcW w:w="572"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1" w:hRule="atLeast"/>
        </w:trPr>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1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49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57"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4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五、存在的主要问题及改进情况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我局政府信息公开工作虽然取得一定成绩，但与公众的需求还存在一定差距，公开形式及便民性需要进一步提高。结合工作中存在的问题和不足，2022年我局政府信息公开工作将从以下三个方面进一步改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一是丰富信息公开内容，确保信息公开及时、准确、全面；二是建立健全工作长效机制，规范信息公开工作流程，强化队伍建设。三是提升工作水平，更好地为社会公众提供优质的服务。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六、其他需要报告的事项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1.2021年，滕州市财政局政府信息公开工作未发生《政府信息公开信息处理费管理办法》所列情况，无收费及减免情况。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2.2021年度，滕州市财政局收到滕州市政协提案2件、滕州市人大建议1件，均已办理完毕。</w:t>
      </w:r>
    </w:p>
    <w:p>
      <w:pPr>
        <w:pStyle w:val="4"/>
        <w:autoSpaceDE w:val="0"/>
        <w:autoSpaceDN w:val="0"/>
        <w:spacing w:line="360" w:lineRule="auto"/>
        <w:ind w:firstLine="640" w:firstLineChars="200"/>
        <w:rPr>
          <w:spacing w:val="-3"/>
        </w:rPr>
      </w:pPr>
      <w:r>
        <w:rPr>
          <w:rFonts w:hint="eastAsia"/>
          <w:lang w:val="en-US"/>
        </w:rPr>
        <w:t>3.</w:t>
      </w:r>
      <w:r>
        <w:rPr>
          <w:rFonts w:hint="eastAsia"/>
          <w:spacing w:val="-3"/>
        </w:rPr>
        <w:t>本报告的电子版可在“</w:t>
      </w:r>
      <w:r>
        <w:rPr>
          <w:rFonts w:hint="eastAsia"/>
          <w:spacing w:val="-3"/>
          <w:lang w:val="en-US"/>
        </w:rPr>
        <w:t>滕州市人民政府官</w:t>
      </w:r>
      <w:r>
        <w:rPr>
          <w:rFonts w:hint="eastAsia"/>
          <w:spacing w:val="-3"/>
        </w:rPr>
        <w:t>网”（http://www.tengzhou.gov.cn/）网站查询和下载。如对本报告有任何疑问，请与</w:t>
      </w:r>
      <w:r>
        <w:rPr>
          <w:spacing w:val="-3"/>
        </w:rPr>
        <w:t>滕州市财政局办公室</w:t>
      </w:r>
      <w:r>
        <w:rPr>
          <w:rFonts w:hint="eastAsia"/>
          <w:spacing w:val="-3"/>
        </w:rPr>
        <w:t>联系。</w:t>
      </w:r>
      <w:r>
        <w:rPr>
          <w:spacing w:val="-3"/>
        </w:rPr>
        <w:t>地址：滕州市善国南路86号</w:t>
      </w:r>
      <w:r>
        <w:rPr>
          <w:rFonts w:hint="eastAsia"/>
          <w:spacing w:val="-3"/>
        </w:rPr>
        <w:t>，</w:t>
      </w:r>
      <w:r>
        <w:rPr>
          <w:spacing w:val="-3"/>
        </w:rPr>
        <w:t>联系电话：0632-5583592</w:t>
      </w:r>
      <w:r>
        <w:rPr>
          <w:rFonts w:hint="eastAsia"/>
          <w:spacing w:val="-3"/>
        </w:rPr>
        <w:t>。</w:t>
      </w:r>
    </w:p>
    <w:p>
      <w:pPr>
        <w:pStyle w:val="2"/>
      </w:pPr>
    </w:p>
    <w:p>
      <w:pPr>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2022年1月20日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B13FD"/>
    <w:rsid w:val="000F7DC7"/>
    <w:rsid w:val="001008BE"/>
    <w:rsid w:val="001600C5"/>
    <w:rsid w:val="005D7667"/>
    <w:rsid w:val="006971BF"/>
    <w:rsid w:val="007827C5"/>
    <w:rsid w:val="00883ED9"/>
    <w:rsid w:val="009F49CC"/>
    <w:rsid w:val="00AB6BB4"/>
    <w:rsid w:val="00B970F7"/>
    <w:rsid w:val="00C73588"/>
    <w:rsid w:val="00D1449B"/>
    <w:rsid w:val="00D84190"/>
    <w:rsid w:val="00E34B1D"/>
    <w:rsid w:val="00FC65F1"/>
    <w:rsid w:val="02487AB4"/>
    <w:rsid w:val="0AFD6A2F"/>
    <w:rsid w:val="0DEB0BBD"/>
    <w:rsid w:val="100B7B64"/>
    <w:rsid w:val="164F17E0"/>
    <w:rsid w:val="1A944BF5"/>
    <w:rsid w:val="1B966EEF"/>
    <w:rsid w:val="1CAE503A"/>
    <w:rsid w:val="1FF20DFB"/>
    <w:rsid w:val="20AB7ECD"/>
    <w:rsid w:val="24287EDB"/>
    <w:rsid w:val="274A4557"/>
    <w:rsid w:val="28CB2BA5"/>
    <w:rsid w:val="2931789B"/>
    <w:rsid w:val="2932200E"/>
    <w:rsid w:val="2ACF55E4"/>
    <w:rsid w:val="2C142823"/>
    <w:rsid w:val="2E0777D8"/>
    <w:rsid w:val="30F81EA6"/>
    <w:rsid w:val="32613669"/>
    <w:rsid w:val="32BB215C"/>
    <w:rsid w:val="35A53371"/>
    <w:rsid w:val="3683376A"/>
    <w:rsid w:val="383E4AD7"/>
    <w:rsid w:val="3C135571"/>
    <w:rsid w:val="3C763BDF"/>
    <w:rsid w:val="3CA84554"/>
    <w:rsid w:val="3CC53ECB"/>
    <w:rsid w:val="3DE43543"/>
    <w:rsid w:val="43DC3D25"/>
    <w:rsid w:val="44177C0F"/>
    <w:rsid w:val="45DE5870"/>
    <w:rsid w:val="4652735B"/>
    <w:rsid w:val="47536CF9"/>
    <w:rsid w:val="476E55D0"/>
    <w:rsid w:val="47AD13CF"/>
    <w:rsid w:val="4DBC7167"/>
    <w:rsid w:val="50D81F61"/>
    <w:rsid w:val="51E70B3A"/>
    <w:rsid w:val="52F46F3B"/>
    <w:rsid w:val="56692707"/>
    <w:rsid w:val="58C633EA"/>
    <w:rsid w:val="58CD02B9"/>
    <w:rsid w:val="59D6437F"/>
    <w:rsid w:val="5A000461"/>
    <w:rsid w:val="5AF41016"/>
    <w:rsid w:val="5C394FAE"/>
    <w:rsid w:val="5FFC63AF"/>
    <w:rsid w:val="609C184C"/>
    <w:rsid w:val="614554EA"/>
    <w:rsid w:val="6549565F"/>
    <w:rsid w:val="66B46942"/>
    <w:rsid w:val="678B13FD"/>
    <w:rsid w:val="69C36A75"/>
    <w:rsid w:val="6A993671"/>
    <w:rsid w:val="6ABD052C"/>
    <w:rsid w:val="6B517D09"/>
    <w:rsid w:val="6F397B08"/>
    <w:rsid w:val="6F79782E"/>
    <w:rsid w:val="71054B0E"/>
    <w:rsid w:val="71DA7865"/>
    <w:rsid w:val="73564087"/>
    <w:rsid w:val="7578789B"/>
    <w:rsid w:val="763B293A"/>
    <w:rsid w:val="78CC0FF1"/>
    <w:rsid w:val="79477948"/>
    <w:rsid w:val="7D2C4E96"/>
    <w:rsid w:val="7DDE6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4">
    <w:name w:val="Body Text"/>
    <w:basedOn w:val="1"/>
    <w:qFormat/>
    <w:uiPriority w:val="1"/>
    <w:rPr>
      <w:rFonts w:ascii="仿宋_GB2312" w:hAnsi="仿宋_GB2312" w:eastAsia="仿宋_GB2312" w:cs="仿宋_GB2312"/>
      <w:sz w:val="32"/>
      <w:szCs w:val="32"/>
      <w:lang w:val="zh-CN" w:bidi="zh-CN"/>
    </w:rPr>
  </w:style>
  <w:style w:type="paragraph" w:styleId="5">
    <w:name w:val="Balloon Text"/>
    <w:basedOn w:val="1"/>
    <w:link w:val="15"/>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Emphasis"/>
    <w:basedOn w:val="10"/>
    <w:qFormat/>
    <w:uiPriority w:val="0"/>
    <w:rPr>
      <w:i/>
    </w:rPr>
  </w:style>
  <w:style w:type="character" w:customStyle="1" w:styleId="13">
    <w:name w:val="页眉 Char"/>
    <w:basedOn w:val="10"/>
    <w:link w:val="7"/>
    <w:qFormat/>
    <w:uiPriority w:val="0"/>
    <w:rPr>
      <w:rFonts w:asciiTheme="minorHAnsi" w:hAnsiTheme="minorHAnsi" w:eastAsiaTheme="minorEastAsia" w:cstheme="minorBidi"/>
      <w:kern w:val="2"/>
      <w:sz w:val="18"/>
      <w:szCs w:val="18"/>
    </w:rPr>
  </w:style>
  <w:style w:type="character" w:customStyle="1" w:styleId="14">
    <w:name w:val="页脚 Char"/>
    <w:basedOn w:val="10"/>
    <w:link w:val="6"/>
    <w:qFormat/>
    <w:uiPriority w:val="0"/>
    <w:rPr>
      <w:rFonts w:asciiTheme="minorHAnsi" w:hAnsiTheme="minorHAnsi" w:eastAsiaTheme="minorEastAsia" w:cstheme="minorBidi"/>
      <w:kern w:val="2"/>
      <w:sz w:val="18"/>
      <w:szCs w:val="18"/>
    </w:rPr>
  </w:style>
  <w:style w:type="character" w:customStyle="1" w:styleId="15">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2156</Words>
  <Characters>610</Characters>
  <Lines>5</Lines>
  <Paragraphs>5</Paragraphs>
  <TotalTime>11</TotalTime>
  <ScaleCrop>false</ScaleCrop>
  <LinksUpToDate>false</LinksUpToDate>
  <CharactersWithSpaces>2761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2021-01-25T01:43:00Z</dcterms:created>
  <dc:creator>Administrator</dc:creator>
  <cp:lastModifiedBy>Administrator</cp:lastModifiedBy>
  <cp:lastPrinted>2022-01-11T01:30:00Z</cp:lastPrinted>
  <dcterms:modified xsi:type="dcterms:W3CDTF">2022-01-20T01:33:58Z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7CACA44F3CDB4F629C2AAD03690E1658</vt:lpwstr>
  </property>
</Properties>
</file>