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中华人民共和国政府信息公开条例》《山东省政府信息公开办法》和省政府办公厅、枣庄市政府办公室、滕州市政府办公室通知要求，特编制滕州市商务和投资促进局2021年政府信息公开年度报告并向社会公布。本报告中所列数据的统计期限自2021年1月1日起至2021年12月31日止。</w:t>
      </w:r>
    </w:p>
    <w:p>
      <w:pPr>
        <w:pStyle w:val="5"/>
        <w:keepNext w:val="0"/>
        <w:keepLines w:val="0"/>
        <w:widowControl/>
        <w:numPr>
          <w:ilvl w:val="0"/>
          <w:numId w:val="1"/>
        </w:numPr>
        <w:suppressLineNumbers w:val="0"/>
        <w:spacing w:line="630" w:lineRule="atLeast"/>
        <w:ind w:left="-4" w:leftChars="0" w:firstLine="634" w:firstLineChars="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总体情</w:t>
      </w:r>
      <w:r>
        <w:rPr>
          <w:rFonts w:hint="eastAsia" w:ascii="黑体" w:hAnsi="宋体" w:eastAsia="黑体" w:cs="黑体"/>
          <w:i w:val="0"/>
          <w:iCs w:val="0"/>
          <w:caps w:val="0"/>
          <w:color w:val="000000"/>
          <w:spacing w:val="0"/>
          <w:sz w:val="32"/>
          <w:szCs w:val="32"/>
          <w:lang w:val="en-US" w:eastAsia="zh-CN"/>
        </w:rPr>
        <w:t>况</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default" w:ascii="黑体" w:hAnsi="宋体" w:eastAsia="黑体" w:cs="黑体"/>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021年以来，滕州市商务和投资促进局深入贯彻落实《条例》和相关规定，紧紧围绕上级关于全面深化政务公开的有关部署，准确把握新时代政务公开工作的职责定位和面临的新形势，加强组织领导，明确责任分工，细化分解任务，加大督导力度，坚持“以公开为常态、不公开为例外”原则，全面提升政务公开质量和实效，力促让公开成为自觉，让透明成为常态。全局上下政府信息公开工作的积极性、主动性不断提高，政府工作透明度进一步增强，有效地保障了公民的知情权，努力打造法治政府、创新政府、廉洁政府和服务型政府。</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主动公开。主动公开政府信息254条，其中通知公告3条，占总数的1.18%；政策文件信息1条，占总数的0.4%；规划计划信息1条，占总数的0.4%；财政信息2条，占总数的0.8%；行政权力信息2条，占总数的0.8%；建议提案信息11条，占总数的4.3%；重点领域信息16条，占总数的6.3%；组织管理信息12条，占总数的4.7%。</w:t>
      </w:r>
    </w:p>
    <w:p>
      <w:pPr>
        <w:pStyle w:val="5"/>
        <w:keepNext w:val="0"/>
        <w:keepLines w:val="0"/>
        <w:widowControl/>
        <w:suppressLineNumbers w:val="0"/>
        <w:spacing w:line="630" w:lineRule="atLeast"/>
        <w:ind w:left="0" w:firstLine="634"/>
        <w:rPr>
          <w:rFonts w:hint="default" w:ascii="仿宋_GB2312" w:eastAsia="仿宋_GB2312" w:cs="仿宋_GB2312"/>
          <w:color w:val="000000"/>
          <w:sz w:val="31"/>
          <w:szCs w:val="31"/>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2.依申请公开。市城商务和投资促进局受理依申请公开</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件，全部按时限要求办结，其中予以公开0件，部分公开0件，不予公开0件，无法提供</w:t>
      </w:r>
      <w:r>
        <w:rPr>
          <w:rFonts w:hint="eastAsia" w:ascii="仿宋_GB2312" w:hAnsi="仿宋_GB2312" w:eastAsia="仿宋_GB2312" w:cs="仿宋_GB2312"/>
          <w:i w:val="0"/>
          <w:iCs w:val="0"/>
          <w:caps w:val="0"/>
          <w:color w:val="000000"/>
          <w:spacing w:val="0"/>
          <w:sz w:val="32"/>
          <w:szCs w:val="32"/>
          <w:lang w:val="en-US" w:eastAsia="zh-CN"/>
        </w:rPr>
        <w:t>0</w:t>
      </w:r>
      <w:bookmarkStart w:id="0" w:name="_GoBack"/>
      <w:bookmarkEnd w:id="0"/>
      <w:r>
        <w:rPr>
          <w:rFonts w:hint="eastAsia" w:ascii="仿宋_GB2312" w:hAnsi="仿宋_GB2312" w:eastAsia="仿宋_GB2312" w:cs="仿宋_GB2312"/>
          <w:i w:val="0"/>
          <w:iCs w:val="0"/>
          <w:caps w:val="0"/>
          <w:color w:val="000000"/>
          <w:spacing w:val="0"/>
          <w:sz w:val="32"/>
          <w:szCs w:val="32"/>
        </w:rPr>
        <w:t>件，不予处理0件，转结下年度继续办理0件。本年度无因政府信息公开申请提起行政复议、行政诉讼情况。</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政府信息管理。成立了政务公开领导小组，局主要领导为主要负责人，分管领导为分管负责人。各科室依据科室职能，积极主动收集、提报各自业务范围内应公开的政务信息，信息科负责本单位政务公开网站信息的更新与维护。形成“主要领导亲自抓、分管领导具体抓、机关科室合力抓、专人负责抓落实”的工作机制。  </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4.政府信息公开平台建设。按照上级对政府信息平台建设工作的要求，完善政府信息公开制度，明确政府信息公开专区，公开政府信息查阅范围、方式和流程。安排专人负责信息公开的编辑、审核与发布。</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5.监督保障。按照滕州市政府办公室工作部署要求，滕州市商务和投资促进局积极做好相关政务公开保障工作。同时按照滕州市政务公开绩效考核指标体系和考核标准细则，参加2021年滕州市政务公开考核工作。</w:t>
      </w:r>
    </w:p>
    <w:p>
      <w:pPr>
        <w:pStyle w:val="5"/>
        <w:keepNext w:val="0"/>
        <w:keepLines w:val="0"/>
        <w:widowControl/>
        <w:numPr>
          <w:ilvl w:val="0"/>
          <w:numId w:val="0"/>
        </w:numPr>
        <w:suppressLineNumbers w:val="0"/>
        <w:spacing w:line="630" w:lineRule="atLeast"/>
        <w:ind w:right="0" w:rightChars="0" w:firstLine="620" w:firstLineChars="200"/>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shd w:val="clear" w:fill="FFFFFF"/>
        </w:rPr>
        <w:t>二、主动公开政府信息情况</w:t>
      </w:r>
    </w:p>
    <w:tbl>
      <w:tblPr>
        <w:tblStyle w:val="6"/>
        <w:tblW w:w="8641"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059"/>
        <w:gridCol w:w="1818"/>
        <w:gridCol w:w="315"/>
        <w:gridCol w:w="1218"/>
        <w:gridCol w:w="308"/>
        <w:gridCol w:w="1603"/>
        <w:gridCol w:w="240"/>
        <w:gridCol w:w="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trPr>
        <w:tc>
          <w:tcPr>
            <w:tcW w:w="8321" w:type="dxa"/>
            <w:gridSpan w:val="6"/>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​第二十条第（一）项</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88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本年制发件数</w:t>
            </w:r>
          </w:p>
        </w:tc>
        <w:tc>
          <w:tcPr>
            <w:tcW w:w="15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本年废止件数</w:t>
            </w:r>
          </w:p>
        </w:tc>
        <w:tc>
          <w:tcPr>
            <w:tcW w:w="191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24"/>
                <w:szCs w:val="24"/>
              </w:rPr>
              <w:t>现行有效件数</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2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规章</w:t>
            </w:r>
          </w:p>
        </w:tc>
        <w:tc>
          <w:tcPr>
            <w:tcW w:w="1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15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pPr>
            <w:r>
              <w:rPr>
                <w:rFonts w:hint="eastAsia" w:ascii="宋体" w:hAnsi="宋体" w:eastAsia="宋体" w:cs="宋体"/>
                <w:i w:val="0"/>
                <w:iCs w:val="0"/>
                <w:caps w:val="0"/>
                <w:color w:val="000000"/>
                <w:spacing w:val="0"/>
                <w:sz w:val="19"/>
                <w:szCs w:val="19"/>
              </w:rPr>
              <w:t>0</w:t>
            </w:r>
          </w:p>
        </w:tc>
        <w:tc>
          <w:tcPr>
            <w:tcW w:w="191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5"/>
            </w:pPr>
            <w:r>
              <w:rPr>
                <w:rFonts w:hint="eastAsia" w:ascii="宋体" w:hAnsi="宋体" w:eastAsia="宋体" w:cs="宋体"/>
                <w:i w:val="0"/>
                <w:iCs w:val="0"/>
                <w:caps w:val="0"/>
                <w:color w:val="000000"/>
                <w:spacing w:val="0"/>
                <w:sz w:val="19"/>
                <w:szCs w:val="19"/>
              </w:rPr>
              <w:t>0</w:t>
            </w:r>
            <w:r>
              <w:rPr>
                <w:rFonts w:hint="default" w:ascii="sans-serif" w:hAnsi="sans-serif" w:eastAsia="sans-serif" w:cs="sans-serif"/>
                <w:i w:val="0"/>
                <w:iCs w:val="0"/>
                <w:caps w:val="0"/>
                <w:color w:val="000000"/>
                <w:spacing w:val="0"/>
                <w:sz w:val="27"/>
                <w:szCs w:val="27"/>
              </w:rPr>
              <w:t>　</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6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行政规范性文件</w:t>
            </w:r>
          </w:p>
        </w:tc>
        <w:tc>
          <w:tcPr>
            <w:tcW w:w="18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153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191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trPr>
        <w:tc>
          <w:tcPr>
            <w:tcW w:w="8321"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第二十条第（五）项</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30"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5262"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本年处理决定数量</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2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行政许可</w:t>
            </w:r>
          </w:p>
        </w:tc>
        <w:tc>
          <w:tcPr>
            <w:tcW w:w="5262"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i w:val="0"/>
                <w:iCs w:val="0"/>
                <w:caps w:val="0"/>
                <w:color w:val="000000"/>
                <w:spacing w:val="0"/>
                <w:sz w:val="19"/>
                <w:szCs w:val="19"/>
              </w:rPr>
              <w:t>0</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trPr>
        <w:tc>
          <w:tcPr>
            <w:tcW w:w="8321"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第二十条第（六）项</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30"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5262"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本年处理决定数量</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3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行政处罚</w:t>
            </w:r>
          </w:p>
        </w:tc>
        <w:tc>
          <w:tcPr>
            <w:tcW w:w="5262"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i w:val="0"/>
                <w:iCs w:val="0"/>
                <w:caps w:val="0"/>
                <w:color w:val="000000"/>
                <w:spacing w:val="0"/>
                <w:sz w:val="19"/>
                <w:szCs w:val="19"/>
              </w:rPr>
              <w:t>0</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0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行政强制</w:t>
            </w:r>
          </w:p>
        </w:tc>
        <w:tc>
          <w:tcPr>
            <w:tcW w:w="5262"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i w:val="0"/>
                <w:iCs w:val="0"/>
                <w:caps w:val="0"/>
                <w:color w:val="000000"/>
                <w:spacing w:val="0"/>
                <w:sz w:val="19"/>
                <w:szCs w:val="19"/>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 </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trPr>
        <w:tc>
          <w:tcPr>
            <w:tcW w:w="8321"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第二十条第（八）项</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140"/>
            </w:pPr>
            <w:r>
              <w:rPr>
                <w:rFonts w:hint="eastAsia" w:ascii="宋体" w:hAnsi="宋体" w:eastAsia="宋体" w:cs="宋体"/>
                <w:i w:val="0"/>
                <w:iCs w:val="0"/>
                <w:caps w:val="0"/>
                <w:color w:val="000000"/>
                <w:spacing w:val="0"/>
                <w:sz w:val="19"/>
                <w:szCs w:val="19"/>
              </w:rPr>
              <w:t>信息内容</w:t>
            </w:r>
          </w:p>
        </w:tc>
        <w:tc>
          <w:tcPr>
            <w:tcW w:w="5262"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本年收费金额（单位：万元）　</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305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行政事业性收费</w:t>
            </w:r>
          </w:p>
        </w:tc>
        <w:tc>
          <w:tcPr>
            <w:tcW w:w="5262"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i w:val="0"/>
                <w:iCs w:val="0"/>
                <w:caps w:val="0"/>
                <w:color w:val="000000"/>
                <w:spacing w:val="0"/>
                <w:sz w:val="19"/>
                <w:szCs w:val="19"/>
              </w:rPr>
              <w:t>0</w:t>
            </w:r>
          </w:p>
        </w:tc>
        <w:tc>
          <w:tcPr>
            <w:tcW w:w="320"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80" w:type="dxa"/>
        </w:trPr>
        <w:tc>
          <w:tcPr>
            <w:tcW w:w="3059" w:type="dxa"/>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818" w:type="dxa"/>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315" w:type="dxa"/>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526"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843" w:type="dxa"/>
            <w:gridSpan w:val="2"/>
            <w:tcBorders>
              <w:top w:val="nil"/>
              <w:left w:val="nil"/>
              <w:bottom w:val="nil"/>
              <w:right w:val="nil"/>
            </w:tcBorders>
            <w:shd w:val="clear" w:color="auto" w:fill="auto"/>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bl>
    <w:p>
      <w:pPr>
        <w:pStyle w:val="5"/>
        <w:keepNext w:val="0"/>
        <w:keepLines w:val="0"/>
        <w:widowControl/>
        <w:suppressLineNumbers w:val="0"/>
        <w:spacing w:line="315" w:lineRule="atLeast"/>
        <w:ind w:left="0" w:firstLine="0"/>
        <w:rPr>
          <w:rFonts w:hint="eastAsia" w:ascii="黑体" w:hAnsi="宋体" w:eastAsia="黑体" w:cs="黑体"/>
          <w:color w:val="000000"/>
          <w:sz w:val="32"/>
          <w:szCs w:val="32"/>
        </w:rPr>
      </w:pPr>
    </w:p>
    <w:p>
      <w:pPr>
        <w:pStyle w:val="5"/>
        <w:keepNext w:val="0"/>
        <w:keepLines w:val="0"/>
        <w:widowControl/>
        <w:suppressLineNumbers w:val="0"/>
        <w:spacing w:before="0" w:beforeAutospacing="0" w:after="0" w:afterAutospacing="0" w:line="315" w:lineRule="atLeast"/>
        <w:ind w:left="0" w:right="0" w:firstLine="0"/>
        <w:rPr>
          <w:rFonts w:ascii="黑体" w:hAnsi="宋体" w:eastAsia="黑体" w:cs="黑体"/>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lang w:val="en-US" w:eastAsia="zh-CN"/>
        </w:rPr>
        <w:t xml:space="preserve">    </w:t>
      </w:r>
      <w:r>
        <w:rPr>
          <w:rFonts w:hint="eastAsia" w:ascii="黑体" w:hAnsi="宋体" w:eastAsia="黑体" w:cs="黑体"/>
          <w:i w:val="0"/>
          <w:iCs w:val="0"/>
          <w:caps w:val="0"/>
          <w:color w:val="000000"/>
          <w:spacing w:val="0"/>
          <w:sz w:val="32"/>
          <w:szCs w:val="32"/>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195" w:right="0" w:firstLine="615"/>
        <w:jc w:val="both"/>
        <w:rPr>
          <w:rFonts w:ascii="sans-serif" w:hAnsi="sans-serif" w:eastAsia="sans-serif" w:cs="sans-serif"/>
          <w:i w:val="0"/>
          <w:iCs w:val="0"/>
          <w:caps w:val="0"/>
          <w:color w:val="000000"/>
          <w:spacing w:val="0"/>
          <w:sz w:val="27"/>
          <w:szCs w:val="27"/>
        </w:rPr>
      </w:pPr>
      <w:r>
        <w:rPr>
          <w:rFonts w:ascii="Calibri" w:hAnsi="Calibri" w:eastAsia="sans-serif" w:cs="Calibri"/>
          <w:i w:val="0"/>
          <w:iCs w:val="0"/>
          <w:caps w:val="0"/>
          <w:color w:val="000000"/>
          <w:spacing w:val="0"/>
          <w:sz w:val="24"/>
          <w:szCs w:val="24"/>
          <w:shd w:val="clear" w:fill="FFFFFF"/>
        </w:rPr>
        <w:t> </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4"/>
        <w:gridCol w:w="1411"/>
        <w:gridCol w:w="2468"/>
        <w:gridCol w:w="780"/>
        <w:gridCol w:w="516"/>
        <w:gridCol w:w="516"/>
        <w:gridCol w:w="516"/>
        <w:gridCol w:w="516"/>
        <w:gridCol w:w="495"/>
        <w:gridCol w:w="58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77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（本列数据的勾稽关系为：第一项加第二项之和，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等于第三项加第四项之和）</w:t>
            </w:r>
          </w:p>
        </w:tc>
        <w:tc>
          <w:tcPr>
            <w:tcW w:w="4305" w:type="dxa"/>
            <w:gridSpan w:val="7"/>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77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855" w:type="dxa"/>
            <w:vMerge w:val="restart"/>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自然人</w:t>
            </w:r>
          </w:p>
        </w:tc>
        <w:tc>
          <w:tcPr>
            <w:tcW w:w="2820" w:type="dxa"/>
            <w:gridSpan w:val="5"/>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法人或其他组织</w:t>
            </w:r>
          </w:p>
        </w:tc>
        <w:tc>
          <w:tcPr>
            <w:tcW w:w="630" w:type="dxa"/>
            <w:vMerge w:val="restart"/>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77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85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firstLine="0"/>
              <w:jc w:val="center"/>
            </w:pPr>
            <w:r>
              <w:rPr>
                <w:rFonts w:hint="eastAsia" w:ascii="宋体" w:hAnsi="宋体" w:eastAsia="宋体" w:cs="宋体"/>
                <w:i w:val="0"/>
                <w:iCs w:val="0"/>
                <w:caps w:val="0"/>
                <w:color w:val="000000"/>
                <w:spacing w:val="0"/>
                <w:sz w:val="21"/>
                <w:szCs w:val="21"/>
              </w:rPr>
              <w:t>商业企业</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jc w:val="center"/>
            </w:pPr>
            <w:r>
              <w:rPr>
                <w:rFonts w:hint="eastAsia" w:ascii="宋体" w:hAnsi="宋体" w:eastAsia="宋体" w:cs="宋体"/>
                <w:i w:val="0"/>
                <w:iCs w:val="0"/>
                <w:caps w:val="0"/>
                <w:color w:val="000000"/>
                <w:spacing w:val="0"/>
                <w:sz w:val="21"/>
                <w:szCs w:val="21"/>
              </w:rPr>
              <w:t>科研机构</w:t>
            </w:r>
          </w:p>
        </w:tc>
        <w:tc>
          <w:tcPr>
            <w:tcW w:w="57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jc w:val="center"/>
            </w:pPr>
            <w:r>
              <w:rPr>
                <w:rFonts w:hint="eastAsia" w:ascii="宋体" w:hAnsi="宋体" w:eastAsia="宋体" w:cs="宋体"/>
                <w:i w:val="0"/>
                <w:iCs w:val="0"/>
                <w:caps w:val="0"/>
                <w:color w:val="000000"/>
                <w:spacing w:val="0"/>
                <w:sz w:val="21"/>
                <w:szCs w:val="21"/>
              </w:rPr>
              <w:t>社会公益组织</w:t>
            </w:r>
          </w:p>
        </w:tc>
        <w:tc>
          <w:tcPr>
            <w:tcW w:w="57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firstLine="0"/>
              <w:jc w:val="center"/>
            </w:pPr>
            <w:r>
              <w:rPr>
                <w:rFonts w:hint="eastAsia" w:ascii="宋体" w:hAnsi="宋体" w:eastAsia="宋体" w:cs="宋体"/>
                <w:i w:val="0"/>
                <w:iCs w:val="0"/>
                <w:caps w:val="0"/>
                <w:color w:val="000000"/>
                <w:spacing w:val="0"/>
                <w:sz w:val="21"/>
                <w:szCs w:val="21"/>
              </w:rPr>
              <w:t>法律服务机构</w:t>
            </w:r>
          </w:p>
        </w:tc>
        <w:tc>
          <w:tcPr>
            <w:tcW w:w="54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60" w:right="0"/>
              <w:jc w:val="center"/>
            </w:pPr>
            <w:r>
              <w:rPr>
                <w:rFonts w:hint="eastAsia" w:ascii="宋体" w:hAnsi="宋体" w:eastAsia="宋体" w:cs="宋体"/>
                <w:i w:val="0"/>
                <w:iCs w:val="0"/>
                <w:caps w:val="0"/>
                <w:color w:val="000000"/>
                <w:spacing w:val="0"/>
                <w:sz w:val="21"/>
                <w:szCs w:val="21"/>
              </w:rPr>
              <w:t>其他</w:t>
            </w:r>
          </w:p>
        </w:tc>
        <w:tc>
          <w:tcPr>
            <w:tcW w:w="630" w:type="dxa"/>
            <w:vMerge w:val="continue"/>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77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一、本年新收政府信息公开申请数量</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rFonts w:hint="eastAsia" w:eastAsiaTheme="minorEastAsia"/>
                <w:lang w:eastAsia="zh-CN"/>
              </w:rPr>
            </w:pPr>
            <w:r>
              <w:rPr>
                <w:rFonts w:hint="eastAsia" w:ascii="Calibri" w:hAnsi="Calibri" w:eastAsia="宋体" w:cs="Calibri"/>
                <w:i w:val="0"/>
                <w:iCs w:val="0"/>
                <w:caps w:val="0"/>
                <w:color w:val="000000"/>
                <w:spacing w:val="0"/>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rFonts w:hint="eastAsia" w:eastAsiaTheme="minorEastAsia"/>
                <w:lang w:eastAsia="zh-CN"/>
              </w:rPr>
            </w:pPr>
            <w:r>
              <w:rPr>
                <w:rFonts w:hint="eastAsia" w:ascii="Calibri" w:hAnsi="Calibri" w:eastAsia="宋体" w:cs="Calibri"/>
                <w:i w:val="0"/>
                <w:iCs w:val="0"/>
                <w:caps w:val="0"/>
                <w:color w:val="000000"/>
                <w:spacing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77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二、上年结转政府信息公开申请数量</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三、本年度办理结果</w:t>
            </w:r>
          </w:p>
        </w:tc>
        <w:tc>
          <w:tcPr>
            <w:tcW w:w="4260"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（一）予以公开</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260"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（二）部分公开（区分处理的，只计这一情形，不计其他情形）</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rFonts w:hint="eastAsia" w:eastAsiaTheme="minorEastAsia"/>
                <w:lang w:eastAsia="zh-CN"/>
              </w:rPr>
            </w:pPr>
            <w:r>
              <w:rPr>
                <w:rFonts w:hint="eastAsia" w:ascii="Calibri" w:hAnsi="Calibri" w:eastAsia="宋体" w:cs="Calibri"/>
                <w:i w:val="0"/>
                <w:iCs w:val="0"/>
                <w:caps w:val="0"/>
                <w:color w:val="000000"/>
                <w:spacing w:val="0"/>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rFonts w:hint="eastAsia" w:eastAsiaTheme="minorEastAsia"/>
                <w:lang w:eastAsia="zh-CN"/>
              </w:rPr>
            </w:pPr>
            <w:r>
              <w:rPr>
                <w:rFonts w:hint="eastAsia" w:ascii="Calibri" w:hAnsi="Calibri" w:eastAsia="宋体" w:cs="Calibri"/>
                <w:i w:val="0"/>
                <w:iCs w:val="0"/>
                <w:caps w:val="0"/>
                <w:color w:val="000000"/>
                <w:spacing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restart"/>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pPr>
            <w:r>
              <w:rPr>
                <w:rFonts w:hint="eastAsia" w:ascii="宋体" w:hAnsi="宋体" w:eastAsia="宋体" w:cs="宋体"/>
                <w:i w:val="0"/>
                <w:iCs w:val="0"/>
                <w:caps w:val="0"/>
                <w:color w:val="000000"/>
                <w:spacing w:val="0"/>
                <w:sz w:val="21"/>
                <w:szCs w:val="21"/>
              </w:rPr>
              <w:t>（三）不予公开</w:t>
            </w: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1.属于国家秘密</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2.其他法律行政法规禁止公开</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3.危及“三安全一稳定”</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4.保护第三方合法权益</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5.属于三类内部事务信息</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6.属于四类过程性信息</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7.属于行政执法案卷</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8.属于行政查询事项</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restart"/>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pPr>
            <w:r>
              <w:rPr>
                <w:rFonts w:hint="eastAsia" w:ascii="宋体" w:hAnsi="宋体" w:eastAsia="宋体" w:cs="宋体"/>
                <w:i w:val="0"/>
                <w:iCs w:val="0"/>
                <w:caps w:val="0"/>
                <w:color w:val="000000"/>
                <w:spacing w:val="0"/>
                <w:sz w:val="21"/>
                <w:szCs w:val="21"/>
              </w:rPr>
              <w:t>（四）无法提供</w:t>
            </w: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1.本机关不掌握相关政府信息</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2.没有现成信息需要另行制作</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3.补正后申请内容仍不明确</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restart"/>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pPr>
            <w:r>
              <w:rPr>
                <w:rFonts w:hint="eastAsia" w:ascii="宋体" w:hAnsi="宋体" w:eastAsia="宋体" w:cs="宋体"/>
                <w:i w:val="0"/>
                <w:iCs w:val="0"/>
                <w:caps w:val="0"/>
                <w:color w:val="000000"/>
                <w:spacing w:val="0"/>
                <w:sz w:val="21"/>
                <w:szCs w:val="21"/>
              </w:rPr>
              <w:t>（五）不予处理</w:t>
            </w: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1.信访举报投诉类申请</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2.重复申请</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3.要求提供公开出版物</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4.无正当理由大量反复申请</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5.要求行政机关确认或重新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firstLine="195"/>
            </w:pPr>
            <w:r>
              <w:rPr>
                <w:rFonts w:hint="eastAsia" w:ascii="宋体" w:hAnsi="宋体" w:eastAsia="宋体" w:cs="宋体"/>
                <w:i w:val="0"/>
                <w:iCs w:val="0"/>
                <w:caps w:val="0"/>
                <w:color w:val="000000"/>
                <w:spacing w:val="0"/>
                <w:sz w:val="21"/>
                <w:szCs w:val="21"/>
              </w:rPr>
              <w:t>出具已获取信息</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5" w:hRule="atLeast"/>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（六）其他处理</w:t>
            </w: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1.申请人无正当理由逾期不补正、行政机关不再处理其政府信息公开申请</w:t>
            </w:r>
          </w:p>
        </w:tc>
        <w:tc>
          <w:tcPr>
            <w:tcW w:w="855"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vMerge w:val="restart"/>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5" w:hRule="atLeast"/>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2.申请人逾期未按收费通知要求缴纳费用、行政机关不再处理其政府信息公开申请</w:t>
            </w:r>
          </w:p>
        </w:tc>
        <w:tc>
          <w:tcPr>
            <w:tcW w:w="855"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3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5" w:hRule="atLeast"/>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515"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7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3.其他</w:t>
            </w:r>
          </w:p>
        </w:tc>
        <w:tc>
          <w:tcPr>
            <w:tcW w:w="855"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30" w:type="dxa"/>
            <w:vMerge w:val="continue"/>
            <w:tcBorders>
              <w:top w:val="nil"/>
              <w:left w:val="nil"/>
              <w:bottom w:val="outset"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260"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（七）总计</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770" w:type="dxa"/>
            <w:gridSpan w:val="3"/>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pPr>
            <w:r>
              <w:rPr>
                <w:rFonts w:hint="eastAsia" w:ascii="宋体" w:hAnsi="宋体" w:eastAsia="宋体" w:cs="宋体"/>
                <w:i w:val="0"/>
                <w:iCs w:val="0"/>
                <w:caps w:val="0"/>
                <w:color w:val="000000"/>
                <w:spacing w:val="0"/>
                <w:sz w:val="21"/>
                <w:szCs w:val="21"/>
              </w:rPr>
              <w:t>四、结转下年度继续办理</w:t>
            </w:r>
          </w:p>
        </w:tc>
        <w:tc>
          <w:tcPr>
            <w:tcW w:w="85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jc w:val="both"/>
        <w:rPr>
          <w:rFonts w:hint="default" w:ascii="sans-serif" w:hAnsi="sans-serif" w:eastAsia="sans-serif" w:cs="sans-serif"/>
          <w:i w:val="0"/>
          <w:iCs w:val="0"/>
          <w:caps w:val="0"/>
          <w:color w:val="000000"/>
          <w:spacing w:val="0"/>
          <w:sz w:val="27"/>
          <w:szCs w:val="27"/>
        </w:rPr>
      </w:pPr>
      <w:r>
        <w:rPr>
          <w:rFonts w:hint="default" w:ascii="Calibri" w:hAnsi="Calibri" w:eastAsia="sans-serif" w:cs="Calibri"/>
          <w:i w:val="0"/>
          <w:iCs w:val="0"/>
          <w:caps w:val="0"/>
          <w:color w:val="000000"/>
          <w:spacing w:val="0"/>
          <w:sz w:val="24"/>
          <w:szCs w:val="24"/>
          <w:shd w:val="clear" w:fill="FFFFFF"/>
        </w:rPr>
        <w:t> </w:t>
      </w:r>
    </w:p>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w:t>
      </w:r>
    </w:p>
    <w:p>
      <w:pPr>
        <w:pStyle w:val="5"/>
        <w:keepNext w:val="0"/>
        <w:keepLines w:val="0"/>
        <w:widowControl/>
        <w:suppressLineNumbers w:val="0"/>
        <w:spacing w:line="315" w:lineRule="atLeast"/>
        <w:ind w:left="0" w:firstLine="645"/>
        <w:jc w:val="left"/>
      </w:pPr>
    </w:p>
    <w:p>
      <w:pPr>
        <w:pStyle w:val="5"/>
        <w:keepNext w:val="0"/>
        <w:keepLines w:val="0"/>
        <w:widowControl/>
        <w:suppressLineNumbers w:val="0"/>
        <w:spacing w:line="630" w:lineRule="atLeast"/>
        <w:ind w:left="0" w:firstLine="634"/>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jc w:val="both"/>
        <w:rPr>
          <w:rFonts w:ascii="sans-serif" w:hAnsi="sans-serif" w:eastAsia="sans-serif" w:cs="sans-serif"/>
          <w:i w:val="0"/>
          <w:iCs w:val="0"/>
          <w:caps w:val="0"/>
          <w:color w:val="000000"/>
          <w:spacing w:val="0"/>
          <w:sz w:val="27"/>
          <w:szCs w:val="27"/>
        </w:rPr>
      </w:pPr>
      <w:r>
        <w:rPr>
          <w:rFonts w:ascii="Calibri" w:hAnsi="Calibri" w:eastAsia="sans-serif" w:cs="Calibri"/>
          <w:i w:val="0"/>
          <w:iCs w:val="0"/>
          <w:caps w:val="0"/>
          <w:color w:val="000000"/>
          <w:spacing w:val="0"/>
          <w:sz w:val="24"/>
          <w:szCs w:val="24"/>
          <w:shd w:val="clear" w:fill="FFFFFF"/>
        </w:rPr>
        <w:t> </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46"/>
        <w:gridCol w:w="553"/>
        <w:gridCol w:w="550"/>
        <w:gridCol w:w="546"/>
        <w:gridCol w:w="625"/>
        <w:gridCol w:w="506"/>
        <w:gridCol w:w="548"/>
        <w:gridCol w:w="546"/>
        <w:gridCol w:w="546"/>
        <w:gridCol w:w="571"/>
        <w:gridCol w:w="546"/>
        <w:gridCol w:w="546"/>
        <w:gridCol w:w="547"/>
        <w:gridCol w:w="552"/>
        <w:gridCol w:w="5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50" w:right="0"/>
              <w:jc w:val="center"/>
            </w:pPr>
            <w:r>
              <w:rPr>
                <w:rFonts w:hint="eastAsia" w:ascii="宋体" w:hAnsi="宋体" w:eastAsia="宋体" w:cs="宋体"/>
                <w:i w:val="0"/>
                <w:iCs w:val="0"/>
                <w:caps w:val="0"/>
                <w:color w:val="000000"/>
                <w:spacing w:val="0"/>
                <w:sz w:val="21"/>
                <w:szCs w:val="21"/>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50" w:right="0"/>
              <w:jc w:val="center"/>
            </w:pPr>
            <w:r>
              <w:rPr>
                <w:rFonts w:hint="eastAsia" w:ascii="宋体" w:hAnsi="宋体" w:eastAsia="宋体" w:cs="宋体"/>
                <w:i w:val="0"/>
                <w:iCs w:val="0"/>
                <w:caps w:val="0"/>
                <w:color w:val="000000"/>
                <w:spacing w:val="0"/>
                <w:sz w:val="21"/>
                <w:szCs w:val="21"/>
              </w:rPr>
              <w:t>维持</w:t>
            </w:r>
          </w:p>
        </w:tc>
        <w:tc>
          <w:tcPr>
            <w:tcW w:w="600" w:type="dxa"/>
            <w:vMerge w:val="restart"/>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45" w:right="0" w:firstLine="0"/>
              <w:jc w:val="center"/>
            </w:pPr>
            <w:r>
              <w:rPr>
                <w:rFonts w:hint="eastAsia" w:ascii="宋体" w:hAnsi="宋体" w:eastAsia="宋体" w:cs="宋体"/>
                <w:i w:val="0"/>
                <w:iCs w:val="0"/>
                <w:caps w:val="0"/>
                <w:color w:val="000000"/>
                <w:spacing w:val="0"/>
                <w:sz w:val="21"/>
                <w:szCs w:val="21"/>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75" w:right="0"/>
              <w:jc w:val="center"/>
            </w:pPr>
            <w:r>
              <w:rPr>
                <w:rFonts w:hint="eastAsia" w:ascii="宋体" w:hAnsi="宋体" w:eastAsia="宋体" w:cs="宋体"/>
                <w:i w:val="0"/>
                <w:iCs w:val="0"/>
                <w:caps w:val="0"/>
                <w:color w:val="000000"/>
                <w:spacing w:val="0"/>
                <w:sz w:val="21"/>
                <w:szCs w:val="21"/>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20" w:right="0"/>
              <w:jc w:val="center"/>
            </w:pPr>
            <w:r>
              <w:rPr>
                <w:rFonts w:hint="eastAsia" w:ascii="宋体" w:hAnsi="宋体" w:eastAsia="宋体" w:cs="宋体"/>
                <w:i w:val="0"/>
                <w:iCs w:val="0"/>
                <w:caps w:val="0"/>
                <w:color w:val="000000"/>
                <w:spacing w:val="0"/>
                <w:sz w:val="21"/>
                <w:szCs w:val="21"/>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20" w:right="0"/>
              <w:jc w:val="center"/>
            </w:pPr>
            <w:r>
              <w:rPr>
                <w:rFonts w:hint="eastAsia" w:ascii="宋体" w:hAnsi="宋体" w:eastAsia="宋体" w:cs="宋体"/>
                <w:i w:val="0"/>
                <w:iCs w:val="0"/>
                <w:caps w:val="0"/>
                <w:color w:val="000000"/>
                <w:spacing w:val="0"/>
                <w:sz w:val="21"/>
                <w:szCs w:val="21"/>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color="auto" w:fill="auto"/>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55"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jc w:val="center"/>
            </w:pPr>
            <w:r>
              <w:rPr>
                <w:rFonts w:hint="eastAsia" w:ascii="宋体" w:hAnsi="宋体" w:eastAsia="宋体" w:cs="宋体"/>
                <w:i w:val="0"/>
                <w:iCs w:val="0"/>
                <w:caps w:val="0"/>
                <w:color w:val="000000"/>
                <w:spacing w:val="0"/>
                <w:sz w:val="21"/>
                <w:szCs w:val="21"/>
              </w:rPr>
              <w:t>结果维持</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90" w:right="0"/>
              <w:jc w:val="center"/>
            </w:pPr>
            <w:r>
              <w:rPr>
                <w:rFonts w:hint="eastAsia" w:ascii="宋体" w:hAnsi="宋体" w:eastAsia="宋体" w:cs="宋体"/>
                <w:i w:val="0"/>
                <w:iCs w:val="0"/>
                <w:caps w:val="0"/>
                <w:color w:val="000000"/>
                <w:spacing w:val="0"/>
                <w:sz w:val="21"/>
                <w:szCs w:val="21"/>
              </w:rPr>
              <w:t>结果纠正</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20" w:right="0"/>
              <w:jc w:val="center"/>
            </w:pPr>
            <w:r>
              <w:rPr>
                <w:rFonts w:hint="eastAsia" w:ascii="宋体" w:hAnsi="宋体" w:eastAsia="宋体" w:cs="宋体"/>
                <w:i w:val="0"/>
                <w:iCs w:val="0"/>
                <w:caps w:val="0"/>
                <w:color w:val="000000"/>
                <w:spacing w:val="0"/>
                <w:sz w:val="21"/>
                <w:szCs w:val="21"/>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20" w:right="0"/>
              <w:jc w:val="center"/>
            </w:pPr>
            <w:r>
              <w:rPr>
                <w:rFonts w:hint="eastAsia" w:ascii="宋体" w:hAnsi="宋体" w:eastAsia="宋体" w:cs="宋体"/>
                <w:i w:val="0"/>
                <w:iCs w:val="0"/>
                <w:caps w:val="0"/>
                <w:color w:val="000000"/>
                <w:spacing w:val="0"/>
                <w:sz w:val="21"/>
                <w:szCs w:val="21"/>
              </w:rPr>
              <w:t>结果</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65" w:right="0"/>
              <w:jc w:val="center"/>
            </w:pPr>
            <w:r>
              <w:rPr>
                <w:rFonts w:hint="eastAsia" w:ascii="宋体" w:hAnsi="宋体" w:eastAsia="宋体" w:cs="宋体"/>
                <w:i w:val="0"/>
                <w:iCs w:val="0"/>
                <w:caps w:val="0"/>
                <w:color w:val="000000"/>
                <w:spacing w:val="0"/>
                <w:sz w:val="21"/>
                <w:szCs w:val="21"/>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65" w:right="0"/>
              <w:jc w:val="center"/>
            </w:pPr>
            <w:r>
              <w:rPr>
                <w:rFonts w:hint="eastAsia" w:ascii="宋体" w:hAnsi="宋体" w:eastAsia="宋体" w:cs="宋体"/>
                <w:i w:val="0"/>
                <w:iCs w:val="0"/>
                <w:caps w:val="0"/>
                <w:color w:val="000000"/>
                <w:spacing w:val="0"/>
                <w:sz w:val="21"/>
                <w:szCs w:val="21"/>
              </w:rPr>
              <w:t>审结</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总计</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05" w:right="0"/>
              <w:jc w:val="center"/>
            </w:pPr>
            <w:r>
              <w:rPr>
                <w:rFonts w:hint="eastAsia" w:ascii="宋体" w:hAnsi="宋体" w:eastAsia="宋体" w:cs="宋体"/>
                <w:i w:val="0"/>
                <w:iCs w:val="0"/>
                <w:caps w:val="0"/>
                <w:color w:val="000000"/>
                <w:spacing w:val="0"/>
                <w:sz w:val="21"/>
                <w:szCs w:val="21"/>
              </w:rPr>
              <w:t>结果维持</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35" w:right="0"/>
              <w:jc w:val="center"/>
            </w:pPr>
            <w:r>
              <w:rPr>
                <w:rFonts w:hint="eastAsia" w:ascii="宋体" w:hAnsi="宋体" w:eastAsia="宋体" w:cs="宋体"/>
                <w:i w:val="0"/>
                <w:iCs w:val="0"/>
                <w:caps w:val="0"/>
                <w:color w:val="000000"/>
                <w:spacing w:val="0"/>
                <w:sz w:val="21"/>
                <w:szCs w:val="21"/>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35" w:right="0"/>
              <w:jc w:val="center"/>
            </w:pPr>
            <w:r>
              <w:rPr>
                <w:rFonts w:hint="eastAsia" w:ascii="宋体" w:hAnsi="宋体" w:eastAsia="宋体" w:cs="宋体"/>
                <w:i w:val="0"/>
                <w:iCs w:val="0"/>
                <w:caps w:val="0"/>
                <w:color w:val="000000"/>
                <w:spacing w:val="0"/>
                <w:sz w:val="21"/>
                <w:szCs w:val="21"/>
              </w:rPr>
              <w:t>纠正</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80" w:right="0" w:firstLine="0"/>
              <w:jc w:val="center"/>
            </w:pPr>
            <w:r>
              <w:rPr>
                <w:rFonts w:hint="eastAsia" w:ascii="宋体" w:hAnsi="宋体" w:eastAsia="宋体" w:cs="宋体"/>
                <w:i w:val="0"/>
                <w:iCs w:val="0"/>
                <w:caps w:val="0"/>
                <w:color w:val="000000"/>
                <w:spacing w:val="0"/>
                <w:sz w:val="21"/>
                <w:szCs w:val="21"/>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180" w:right="0" w:firstLine="0"/>
              <w:jc w:val="center"/>
            </w:pPr>
            <w:r>
              <w:rPr>
                <w:rFonts w:hint="eastAsia" w:ascii="宋体" w:hAnsi="宋体" w:eastAsia="宋体" w:cs="宋体"/>
                <w:i w:val="0"/>
                <w:iCs w:val="0"/>
                <w:caps w:val="0"/>
                <w:color w:val="000000"/>
                <w:spacing w:val="0"/>
                <w:sz w:val="21"/>
                <w:szCs w:val="21"/>
              </w:rPr>
              <w:t>结果</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60" w:right="0" w:firstLine="0"/>
              <w:jc w:val="center"/>
            </w:pPr>
            <w:r>
              <w:rPr>
                <w:rFonts w:hint="eastAsia" w:ascii="宋体" w:hAnsi="宋体" w:eastAsia="宋体" w:cs="宋体"/>
                <w:i w:val="0"/>
                <w:iCs w:val="0"/>
                <w:caps w:val="0"/>
                <w:color w:val="000000"/>
                <w:spacing w:val="0"/>
                <w:sz w:val="21"/>
                <w:szCs w:val="21"/>
              </w:rPr>
              <w:t>尚未审结</w:t>
            </w:r>
          </w:p>
        </w:tc>
        <w:tc>
          <w:tcPr>
            <w:tcW w:w="600" w:type="dxa"/>
            <w:tcBorders>
              <w:top w:val="single" w:color="auto" w:sz="6" w:space="0"/>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600" w:type="dxa"/>
            <w:tcBorders>
              <w:top w:val="nil"/>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6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宋体" w:hAnsi="宋体" w:eastAsia="宋体" w:cs="宋体"/>
                <w:i w:val="0"/>
                <w:iCs w:val="0"/>
                <w:caps w:val="0"/>
                <w:color w:val="000000"/>
                <w:spacing w:val="0"/>
                <w:sz w:val="21"/>
                <w:szCs w:val="21"/>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Calibri" w:hAnsi="Calibri" w:eastAsia="sans-serif" w:cs="Calibri"/>
          <w:i w:val="0"/>
          <w:iCs w:val="0"/>
          <w:caps w:val="0"/>
          <w:color w:val="000000"/>
          <w:spacing w:val="0"/>
          <w:sz w:val="24"/>
          <w:szCs w:val="24"/>
          <w:shd w:val="clear" w:fill="FFFFFF"/>
        </w:rPr>
        <w:t> </w:t>
      </w:r>
    </w:p>
    <w:p>
      <w:pPr>
        <w:pStyle w:val="5"/>
        <w:keepNext w:val="0"/>
        <w:keepLines w:val="0"/>
        <w:widowControl/>
        <w:suppressLineNumbers w:val="0"/>
        <w:spacing w:line="630" w:lineRule="atLeast"/>
        <w:ind w:left="0" w:firstLine="634"/>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pStyle w:val="5"/>
        <w:keepNext w:val="0"/>
        <w:keepLines w:val="0"/>
        <w:widowControl/>
        <w:numPr>
          <w:ilvl w:val="0"/>
          <w:numId w:val="2"/>
        </w:numPr>
        <w:suppressLineNumbers w:val="0"/>
        <w:spacing w:line="630" w:lineRule="atLeast"/>
        <w:ind w:left="0" w:firstLine="634"/>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存在的主要问题及改进情况</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2021年，滕州市商务和投资促进局政府信息公开工作虽然取得了一定成绩，但还存在很多不足之处。主要表现在：一是信息公开不够深入，信息公开挖掘力度不够；二是信息公开时效性有所欠缺；三是信息公开涉及内容不够广泛。</w:t>
      </w:r>
    </w:p>
    <w:p>
      <w:pPr>
        <w:pStyle w:val="5"/>
        <w:keepNext w:val="0"/>
        <w:keepLines w:val="0"/>
        <w:widowControl/>
        <w:numPr>
          <w:ilvl w:val="0"/>
          <w:numId w:val="0"/>
        </w:numPr>
        <w:suppressLineNumbers w:val="0"/>
        <w:spacing w:line="630" w:lineRule="atLeast"/>
        <w:ind w:right="0" w:rightChars="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有效改进不足，不断强化政府信息公开工作成效，在今后的工作中，滕州市商务和投资促进局将从以下几个方面进一步做好政府信息公开工作。一是进一步细化单位信息公开分类，明确相关涉及内容科室职责责任，做到应公开尽公开；二是加强信息公开工作督察督导，增强信息公开的时效性；三是继续加强业务培训，提高政务信息公开工作人员业务素质，全方位、多角度、深层次公开政务信息。</w:t>
      </w:r>
    </w:p>
    <w:p>
      <w:pPr>
        <w:pStyle w:val="5"/>
        <w:keepNext w:val="0"/>
        <w:keepLines w:val="0"/>
        <w:widowControl/>
        <w:suppressLineNumbers w:val="0"/>
        <w:spacing w:line="630" w:lineRule="atLeast"/>
        <w:ind w:left="0" w:firstLine="634"/>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2"/>
          <w:szCs w:val="32"/>
        </w:rPr>
        <w:t>六、其他需要报告的事项</w:t>
      </w:r>
    </w:p>
    <w:p>
      <w:pPr>
        <w:pStyle w:val="5"/>
        <w:keepNext w:val="0"/>
        <w:keepLines w:val="0"/>
        <w:widowControl/>
        <w:numPr>
          <w:ilvl w:val="0"/>
          <w:numId w:val="0"/>
        </w:numPr>
        <w:suppressLineNumbers w:val="0"/>
        <w:spacing w:line="630" w:lineRule="atLeast"/>
        <w:ind w:right="0" w:rightChars="0" w:firstLine="640" w:firstLineChars="200"/>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 2021年市商务和投资促进局高度重视代表建议政协提案办理工作，严格落实市委市政府关于建议提案办理的有关要求,坚持办理答复必须做到合法合规合理合情。2021年共办理建议提案11件，并将办理结果在政务公开网站进行了公开。</w:t>
      </w:r>
    </w:p>
    <w:p>
      <w:pPr>
        <w:pStyle w:val="5"/>
        <w:keepNext w:val="0"/>
        <w:keepLines w:val="0"/>
        <w:widowControl/>
        <w:suppressLineNumbers w:val="0"/>
        <w:spacing w:before="0" w:beforeAutospacing="0" w:after="0" w:afterAutospacing="0" w:line="315" w:lineRule="atLeast"/>
        <w:ind w:firstLine="640" w:firstLineChars="200"/>
        <w:rPr>
          <w:rFonts w:hint="default" w:ascii="仿宋_GB2312" w:eastAsia="仿宋_GB2312" w:cs="仿宋_GB2312"/>
          <w:color w:val="000000"/>
          <w:sz w:val="32"/>
          <w:szCs w:val="32"/>
        </w:rPr>
      </w:pPr>
    </w:p>
    <w:p>
      <w:pPr>
        <w:pStyle w:val="5"/>
        <w:keepNext w:val="0"/>
        <w:keepLines w:val="0"/>
        <w:widowControl/>
        <w:suppressLineNumbers w:val="0"/>
        <w:spacing w:before="0" w:beforeAutospacing="0" w:after="0" w:afterAutospacing="0" w:line="315" w:lineRule="atLeast"/>
        <w:ind w:firstLine="640" w:firstLineChars="200"/>
        <w:jc w:val="right"/>
        <w:rPr>
          <w:rFonts w:hint="default" w:ascii="仿宋_GB2312" w:eastAsia="仿宋_GB2312" w:cs="仿宋_GB2312"/>
          <w:color w:val="000000"/>
          <w:sz w:val="32"/>
          <w:szCs w:val="32"/>
        </w:rPr>
      </w:pPr>
      <w:r>
        <w:rPr>
          <w:rFonts w:hint="default"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hint="default" w:ascii="仿宋_GB2312" w:eastAsia="仿宋_GB2312" w:cs="仿宋_GB2312"/>
          <w:color w:val="000000"/>
          <w:sz w:val="32"/>
          <w:szCs w:val="32"/>
        </w:rPr>
        <w:t>年1月</w:t>
      </w:r>
      <w:r>
        <w:rPr>
          <w:rFonts w:hint="eastAsia" w:ascii="仿宋_GB2312" w:eastAsia="仿宋_GB2312" w:cs="仿宋_GB2312"/>
          <w:color w:val="000000"/>
          <w:sz w:val="32"/>
          <w:szCs w:val="32"/>
          <w:lang w:val="en-US" w:eastAsia="zh-CN"/>
        </w:rPr>
        <w:t>16</w:t>
      </w:r>
      <w:r>
        <w:rPr>
          <w:rFonts w:hint="default" w:ascii="仿宋_GB2312" w:eastAsia="仿宋_GB2312" w:cs="仿宋_GB2312"/>
          <w:color w:val="000000"/>
          <w:sz w:val="32"/>
          <w:szCs w:val="32"/>
        </w:rPr>
        <w:t>日</w:t>
      </w:r>
    </w:p>
    <w:p>
      <w:pPr>
        <w:rPr>
          <w:rFonts w:hint="default" w:ascii="仿宋_GB2312" w:hAnsi="宋体" w:eastAsia="仿宋_GB2312" w:cs="仿宋_GB2312"/>
          <w:i w:val="0"/>
          <w:iCs w:val="0"/>
          <w:caps w:val="0"/>
          <w:color w:val="000000"/>
          <w:spacing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B0A60"/>
    <w:multiLevelType w:val="singleLevel"/>
    <w:tmpl w:val="CB1B0A60"/>
    <w:lvl w:ilvl="0" w:tentative="0">
      <w:start w:val="1"/>
      <w:numFmt w:val="chineseCounting"/>
      <w:suff w:val="nothing"/>
      <w:lvlText w:val="%1、"/>
      <w:lvlJc w:val="left"/>
      <w:pPr>
        <w:ind w:left="-4"/>
      </w:pPr>
      <w:rPr>
        <w:rFonts w:hint="eastAsia"/>
      </w:rPr>
    </w:lvl>
  </w:abstractNum>
  <w:abstractNum w:abstractNumId="1">
    <w:nsid w:val="41629C82"/>
    <w:multiLevelType w:val="singleLevel"/>
    <w:tmpl w:val="41629C8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6E0C"/>
    <w:rsid w:val="0A416BB2"/>
    <w:rsid w:val="0B2A73B4"/>
    <w:rsid w:val="103E61FE"/>
    <w:rsid w:val="15551534"/>
    <w:rsid w:val="15CC5805"/>
    <w:rsid w:val="1D8E25A4"/>
    <w:rsid w:val="1FFC5B8C"/>
    <w:rsid w:val="27190A70"/>
    <w:rsid w:val="2D1D78EB"/>
    <w:rsid w:val="38327B47"/>
    <w:rsid w:val="3EAD598C"/>
    <w:rsid w:val="448250B5"/>
    <w:rsid w:val="47574A29"/>
    <w:rsid w:val="585C20A8"/>
    <w:rsid w:val="5AAE0AE0"/>
    <w:rsid w:val="5DC46154"/>
    <w:rsid w:val="5DC5276B"/>
    <w:rsid w:val="72373063"/>
    <w:rsid w:val="7582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c\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XLSX 工作表.xlsx]Sheet1'!$B$1</c:f>
              <c:strCache>
                <c:ptCount val="1"/>
                <c:pt idx="0">
                  <c:v>数目</c:v>
                </c:pt>
              </c:strCache>
            </c:strRef>
          </c:tx>
          <c:spPr>
            <a:solidFill>
              <a:schemeClr val="accent1"/>
            </a:solidFill>
            <a:ln>
              <a:noFill/>
            </a:ln>
            <a:effectLst/>
          </c:spPr>
          <c:invertIfNegative val="0"/>
          <c:dLbls>
            <c:delete val="1"/>
          </c:dLbls>
          <c:cat>
            <c:strRef>
              <c:f>'[新建 XLSX 工作表.xlsx]Sheet1'!$A$2:$A$10</c:f>
              <c:strCache>
                <c:ptCount val="9"/>
                <c:pt idx="0">
                  <c:v>通知公告</c:v>
                </c:pt>
                <c:pt idx="1">
                  <c:v>政策文件</c:v>
                </c:pt>
                <c:pt idx="2">
                  <c:v>规划计划信息</c:v>
                </c:pt>
                <c:pt idx="3">
                  <c:v>财政信息</c:v>
                </c:pt>
                <c:pt idx="4">
                  <c:v>行政权力信息</c:v>
                </c:pt>
                <c:pt idx="5">
                  <c:v>建议提案信息</c:v>
                </c:pt>
                <c:pt idx="6">
                  <c:v>重点领域信息</c:v>
                </c:pt>
                <c:pt idx="7">
                  <c:v>组织管理信息</c:v>
                </c:pt>
                <c:pt idx="8">
                  <c:v>部门工作动态</c:v>
                </c:pt>
              </c:strCache>
            </c:strRef>
          </c:cat>
          <c:val>
            <c:numRef>
              <c:f>'[新建 XLSX 工作表.xlsx]Sheet1'!$B$2:$B$10</c:f>
              <c:numCache>
                <c:formatCode>General</c:formatCode>
                <c:ptCount val="9"/>
                <c:pt idx="0">
                  <c:v>3</c:v>
                </c:pt>
                <c:pt idx="1">
                  <c:v>1</c:v>
                </c:pt>
                <c:pt idx="2">
                  <c:v>1</c:v>
                </c:pt>
                <c:pt idx="3">
                  <c:v>2</c:v>
                </c:pt>
                <c:pt idx="4">
                  <c:v>2</c:v>
                </c:pt>
                <c:pt idx="5">
                  <c:v>11</c:v>
                </c:pt>
                <c:pt idx="6">
                  <c:v>16</c:v>
                </c:pt>
                <c:pt idx="7">
                  <c:v>12</c:v>
                </c:pt>
                <c:pt idx="8">
                  <c:v>206</c:v>
                </c:pt>
              </c:numCache>
            </c:numRef>
          </c:val>
        </c:ser>
        <c:dLbls>
          <c:showLegendKey val="0"/>
          <c:showVal val="0"/>
          <c:showCatName val="0"/>
          <c:showSerName val="0"/>
          <c:showPercent val="0"/>
          <c:showBubbleSize val="0"/>
        </c:dLbls>
        <c:gapWidth val="219"/>
        <c:overlap val="-27"/>
        <c:axId val="204949206"/>
        <c:axId val="63212868"/>
      </c:barChart>
      <c:catAx>
        <c:axId val="2049492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12868"/>
        <c:crosses val="autoZero"/>
        <c:auto val="1"/>
        <c:lblAlgn val="ctr"/>
        <c:lblOffset val="100"/>
        <c:noMultiLvlLbl val="0"/>
      </c:catAx>
      <c:valAx>
        <c:axId val="632128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9492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2022-01-17T00:54:00Z</dcterms:created>
  <dc:creator>pc</dc:creator>
  <cp:lastModifiedBy>pc</cp:lastModifiedBy>
  <dcterms:modified xsi:type="dcterms:W3CDTF">2022-01-19T10:04:25Z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5CD81640BF6D4E6188972FEB7A437010</vt:lpwstr>
  </property>
</Properties>
</file>