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600" w:lineRule="exact"/>
        <w:jc w:val="center"/>
        <w:rPr>
          <w:rFonts w:hint="eastAsia" w:ascii="方正小标宋简体" w:hAnsi="方正小标宋简体" w:eastAsia="方正小标宋简体" w:cs="方正小标宋简体"/>
          <w:color w:val="000000"/>
          <w:kern w:val="0"/>
          <w:sz w:val="44"/>
          <w:szCs w:val="44"/>
        </w:rPr>
      </w:pPr>
    </w:p>
    <w:p>
      <w:pPr>
        <w:widowControl/>
        <w:spacing w:after="0" w:line="600" w:lineRule="exact"/>
        <w:jc w:val="center"/>
        <w:rPr>
          <w:rFonts w:hint="eastAsia" w:ascii="方正小标宋简体" w:hAnsi="方正小标宋简体" w:eastAsia="方正小标宋简体" w:cs="方正小标宋简体"/>
          <w:color w:val="000000"/>
          <w:kern w:val="0"/>
          <w:sz w:val="44"/>
          <w:szCs w:val="44"/>
        </w:rPr>
      </w:pPr>
    </w:p>
    <w:p>
      <w:pPr>
        <w:widowControl/>
        <w:spacing w:after="0" w:line="600" w:lineRule="exact"/>
        <w:jc w:val="center"/>
        <w:rPr>
          <w:rFonts w:hint="default" w:ascii="方正小标宋简体" w:hAnsi="方正小标宋简体" w:eastAsia="方正小标宋简体" w:cs="方正小标宋简体"/>
          <w:color w:val="000000"/>
          <w:kern w:val="0"/>
          <w:sz w:val="44"/>
          <w:szCs w:val="44"/>
          <w:lang w:val="en-US" w:eastAsia="zh-CN"/>
        </w:rPr>
      </w:pPr>
      <w:bookmarkStart w:id="9" w:name="_GoBack"/>
      <w:r>
        <w:rPr>
          <w:rFonts w:hint="eastAsia" w:ascii="方正小标宋简体" w:hAnsi="方正小标宋简体" w:eastAsia="方正小标宋简体" w:cs="方正小标宋简体"/>
          <w:color w:val="000000"/>
          <w:kern w:val="0"/>
          <w:sz w:val="44"/>
          <w:szCs w:val="44"/>
        </w:rPr>
        <w:t>滕州市国资局</w:t>
      </w:r>
      <w:r>
        <w:rPr>
          <w:rFonts w:hint="eastAsia" w:ascii="方正小标宋简体" w:hAnsi="方正小标宋简体" w:eastAsia="方正小标宋简体" w:cs="方正小标宋简体"/>
          <w:color w:val="000000"/>
          <w:kern w:val="0"/>
          <w:sz w:val="44"/>
          <w:szCs w:val="44"/>
          <w:lang w:val="en-US" w:eastAsia="zh-CN"/>
        </w:rPr>
        <w:t>2021年</w:t>
      </w:r>
    </w:p>
    <w:p>
      <w:pPr>
        <w:widowControl/>
        <w:spacing w:after="0" w:line="600" w:lineRule="exact"/>
        <w:jc w:val="center"/>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rPr>
        <w:t>政府信息公开工作年度报告</w:t>
      </w:r>
    </w:p>
    <w:bookmarkEnd w:id="9"/>
    <w:p>
      <w:pPr>
        <w:pStyle w:val="4"/>
        <w:widowControl/>
        <w:shd w:val="clear" w:color="auto" w:fill="FFFFFF"/>
        <w:spacing w:before="0" w:beforeAutospacing="0" w:after="0" w:afterAutospacing="0" w:line="600" w:lineRule="exact"/>
        <w:ind w:firstLine="880" w:firstLineChars="200"/>
        <w:rPr>
          <w:rFonts w:hint="eastAsia" w:ascii="方正小标宋简体" w:hAnsi="方正小标宋简体" w:eastAsia="方正小标宋简体" w:cs="方正小标宋简体"/>
          <w:color w:val="000000"/>
          <w:sz w:val="44"/>
          <w:szCs w:val="44"/>
          <w:shd w:val="clear" w:color="auto" w:fill="FFFFFF"/>
        </w:rPr>
      </w:pPr>
    </w:p>
    <w:p>
      <w:pPr>
        <w:pStyle w:val="4"/>
        <w:widowControl/>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依照《中华人民共和国政府信息公开条例》和《国务院办公厅政府信息与政务公开办公室关于政府信息公开工作年度报告有关事项的通知》（国办公开办函〔2021〕30号）及</w:t>
      </w:r>
      <w:r>
        <w:rPr>
          <w:rFonts w:hint="eastAsia" w:ascii="仿宋_GB2312" w:hAnsi="仿宋_GB2312" w:eastAsia="仿宋_GB2312" w:cs="仿宋_GB2312"/>
          <w:color w:val="000000"/>
          <w:sz w:val="32"/>
          <w:szCs w:val="32"/>
        </w:rPr>
        <w:t>省政府办公厅、枣庄、滕州两级市政府办公室通知要求</w:t>
      </w:r>
      <w:r>
        <w:rPr>
          <w:rFonts w:hint="eastAsia" w:ascii="仿宋_GB2312" w:hAnsi="仿宋_GB2312" w:eastAsia="仿宋_GB2312" w:cs="仿宋_GB2312"/>
          <w:color w:val="000000"/>
          <w:sz w:val="32"/>
          <w:szCs w:val="32"/>
          <w:shd w:val="clear" w:color="auto" w:fill="FFFFFF"/>
        </w:rPr>
        <w:t>，结合</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仿宋_GB2312" w:eastAsia="仿宋_GB2312" w:cs="仿宋_GB2312"/>
          <w:color w:val="000000"/>
          <w:sz w:val="32"/>
          <w:szCs w:val="32"/>
          <w:shd w:val="clear" w:color="auto" w:fill="FFFFFF"/>
        </w:rPr>
        <w:t>2021年度信息公开工作实际，</w:t>
      </w:r>
      <w:r>
        <w:rPr>
          <w:rFonts w:hint="eastAsia" w:ascii="仿宋_GB2312" w:hAnsi="仿宋_GB2312" w:eastAsia="仿宋_GB2312" w:cs="仿宋_GB2312"/>
          <w:color w:val="000000"/>
          <w:sz w:val="32"/>
          <w:szCs w:val="32"/>
        </w:rPr>
        <w:t>编制本报告并向社会公布。本报告中所列数据的统计期限自2021年1月1日起至2021年12月31日止。 </w:t>
      </w:r>
    </w:p>
    <w:p>
      <w:pPr>
        <w:pStyle w:val="4"/>
        <w:widowControl/>
        <w:shd w:val="clear" w:color="auto" w:fill="FFFFFF"/>
        <w:spacing w:before="0" w:beforeAutospacing="0" w:after="0" w:afterAutospacing="0" w:line="600" w:lineRule="exact"/>
        <w:ind w:firstLine="640"/>
        <w:jc w:val="both"/>
        <w:rPr>
          <w:rFonts w:hint="eastAsia" w:ascii="黑体" w:hAnsi="宋体" w:eastAsia="黑体" w:cs="黑体"/>
          <w:color w:val="000000"/>
          <w:sz w:val="32"/>
          <w:szCs w:val="32"/>
          <w:shd w:val="clear" w:color="auto" w:fill="FFFFFF"/>
        </w:rPr>
      </w:pPr>
      <w:r>
        <w:rPr>
          <w:rFonts w:ascii="黑体" w:hAnsi="宋体" w:eastAsia="黑体" w:cs="黑体"/>
          <w:color w:val="000000"/>
          <w:sz w:val="32"/>
          <w:szCs w:val="32"/>
          <w:shd w:val="clear" w:color="auto" w:fill="FFFFFF"/>
        </w:rPr>
        <w:t>一、</w:t>
      </w:r>
      <w:r>
        <w:rPr>
          <w:rFonts w:hint="eastAsia" w:ascii="黑体" w:hAnsi="宋体" w:eastAsia="黑体" w:cs="黑体"/>
          <w:color w:val="000000"/>
          <w:sz w:val="32"/>
          <w:szCs w:val="32"/>
          <w:shd w:val="clear" w:color="auto" w:fill="FFFFFF"/>
        </w:rPr>
        <w:t>总体</w:t>
      </w:r>
      <w:r>
        <w:rPr>
          <w:rFonts w:ascii="黑体" w:hAnsi="宋体" w:eastAsia="黑体" w:cs="黑体"/>
          <w:color w:val="000000"/>
          <w:sz w:val="32"/>
          <w:szCs w:val="32"/>
          <w:shd w:val="clear" w:color="auto" w:fill="FFFFFF"/>
        </w:rPr>
        <w:t>情况</w:t>
      </w:r>
    </w:p>
    <w:p>
      <w:pPr>
        <w:pStyle w:val="4"/>
        <w:widowControl/>
        <w:shd w:val="clear" w:color="auto" w:fill="FFFFFF"/>
        <w:spacing w:before="0" w:beforeAutospacing="0" w:after="0" w:afterAutospacing="0" w:line="600" w:lineRule="exact"/>
        <w:ind w:firstLine="640"/>
        <w:jc w:val="both"/>
        <w:rPr>
          <w:rFonts w:hint="eastAsia" w:ascii="ÃƒÂ¥Ã‚Â¾Ã‚Â®ÃƒÂ¨Ã‚Â½Ã‚Â¯ÃƒÂ©Ã¢â" w:hAnsi="ÃƒÂ¥Ã‚Â¾Ã‚Â®ÃƒÂ¨Ã‚Â½Ã‚Â¯ÃƒÂ©Ã¢â" w:eastAsia="ÃƒÂ¥Ã‚Â¾Ã‚Â®ÃƒÂ¨Ã‚Â½Ã‚Â¯ÃƒÂ©Ã¢â" w:cs="ÃƒÂ¥Ã‚Â¾Ã‚Â®ÃƒÂ¨Ã‚Â½Ã‚Â¯ÃƒÂ©Ã¢â"/>
          <w:color w:val="000000"/>
          <w:sz w:val="32"/>
          <w:szCs w:val="32"/>
        </w:rPr>
      </w:pPr>
      <w:r>
        <w:rPr>
          <w:rFonts w:hint="eastAsia" w:ascii="仿宋_GB2312" w:hAnsi="ÃƒÂ¥Ã‚Â¾Ã‚Â®ÃƒÂ¨Ã‚Â½Ã‚Â¯ÃƒÂ©Ã¢â" w:eastAsia="仿宋_GB2312" w:cs="仿宋_GB2312"/>
          <w:color w:val="000000"/>
          <w:sz w:val="32"/>
          <w:szCs w:val="32"/>
          <w:shd w:val="clear" w:color="auto" w:fill="FFFFFF"/>
        </w:rPr>
        <w:t>2021年滕州市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ÃƒÂ¥Ã‚Â¾Ã‚Â®ÃƒÂ¨Ã‚Â½Ã‚Â¯ÃƒÂ©Ã¢â" w:eastAsia="仿宋_GB2312" w:cs="仿宋_GB2312"/>
          <w:color w:val="000000"/>
          <w:sz w:val="32"/>
          <w:szCs w:val="32"/>
          <w:shd w:val="clear" w:color="auto" w:fill="FFFFFF"/>
        </w:rPr>
        <w:t>高度重视信息公开工作，</w:t>
      </w:r>
      <w:r>
        <w:rPr>
          <w:rFonts w:ascii="仿宋_GB2312" w:hAnsi="仿宋_GB2312" w:eastAsia="仿宋_GB2312" w:cs="仿宋_GB2312"/>
          <w:color w:val="000000"/>
          <w:sz w:val="32"/>
          <w:szCs w:val="32"/>
          <w:shd w:val="clear" w:color="auto" w:fill="FFFFFF"/>
          <w:lang w:bidi="ar"/>
        </w:rPr>
        <w:t>按照工作部署，</w:t>
      </w:r>
      <w:r>
        <w:rPr>
          <w:rFonts w:hint="eastAsia" w:ascii="仿宋_GB2312" w:hAnsi="ÃƒÂ¥Ã‚Â¾Ã‚Â®ÃƒÂ¨Ã‚Â½Ã‚Â¯ÃƒÂ©Ã¢â" w:eastAsia="仿宋_GB2312" w:cs="仿宋_GB2312"/>
          <w:color w:val="000000"/>
          <w:sz w:val="32"/>
          <w:szCs w:val="32"/>
          <w:shd w:val="clear" w:color="auto" w:fill="FFFFFF"/>
        </w:rPr>
        <w:t>以及相关文件要求，</w:t>
      </w:r>
      <w:r>
        <w:rPr>
          <w:rFonts w:hint="eastAsia" w:ascii="仿宋_GB2312" w:hAnsi="仿宋_GB2312" w:eastAsia="仿宋_GB2312" w:cs="仿宋_GB2312"/>
          <w:color w:val="000000"/>
          <w:sz w:val="32"/>
          <w:szCs w:val="32"/>
          <w:shd w:val="clear" w:color="auto" w:fill="FFFFFF"/>
          <w:lang w:bidi="ar"/>
        </w:rPr>
        <w:t>结合工作实际，</w:t>
      </w:r>
      <w:r>
        <w:rPr>
          <w:rFonts w:ascii="仿宋_GB2312" w:hAnsi="仿宋_GB2312" w:eastAsia="仿宋_GB2312" w:cs="仿宋_GB2312"/>
          <w:color w:val="000000"/>
          <w:sz w:val="32"/>
          <w:szCs w:val="32"/>
          <w:shd w:val="clear" w:color="auto" w:fill="FFFFFF"/>
          <w:lang w:bidi="ar"/>
        </w:rPr>
        <w:t>不断健全政府信息公开工作机制，</w:t>
      </w:r>
      <w:r>
        <w:rPr>
          <w:rFonts w:hint="eastAsia" w:ascii="仿宋_GB2312" w:hAnsi="仿宋_GB2312" w:eastAsia="仿宋_GB2312" w:cs="仿宋_GB2312"/>
          <w:color w:val="000000"/>
          <w:sz w:val="32"/>
          <w:szCs w:val="32"/>
          <w:shd w:val="clear" w:color="auto" w:fill="FFFFFF"/>
          <w:lang w:bidi="ar"/>
        </w:rPr>
        <w:t>认真做好政府信息公开工作，做到了及时公开、有效公开，提高了政务工作的透明度和公信力</w:t>
      </w:r>
      <w:r>
        <w:rPr>
          <w:rFonts w:hint="eastAsia" w:ascii="仿宋_GB2312" w:hAnsi="Ã¥Â¾Â®Ã¨Â½Â¯Ã©â€ºâ€¦Ã©Â»â€˜" w:eastAsia="仿宋_GB2312" w:cs="仿宋_GB2312"/>
          <w:color w:val="000000"/>
          <w:sz w:val="32"/>
          <w:szCs w:val="32"/>
          <w:shd w:val="clear" w:color="auto" w:fill="FFFFFF"/>
        </w:rPr>
        <w:t>。</w:t>
      </w:r>
      <w:r>
        <w:rPr>
          <w:rFonts w:hint="eastAsia" w:ascii="宋体" w:hAnsi="宋体" w:cs="宋体"/>
          <w:color w:val="000000"/>
          <w:sz w:val="28"/>
          <w:szCs w:val="28"/>
          <w:shd w:val="clear" w:color="auto" w:fill="FFFFFF"/>
        </w:rPr>
        <w:t> </w:t>
      </w:r>
    </w:p>
    <w:p>
      <w:pPr>
        <w:pStyle w:val="4"/>
        <w:widowControl/>
        <w:shd w:val="clear" w:color="auto" w:fill="FFFFFF"/>
        <w:spacing w:before="0" w:beforeAutospacing="0" w:after="0" w:afterAutospacing="0" w:line="600" w:lineRule="exact"/>
        <w:ind w:firstLine="640" w:firstLineChars="200"/>
        <w:jc w:val="both"/>
        <w:rPr>
          <w:rFonts w:hint="eastAsia" w:ascii="楷体_GB2312" w:hAnsi="ÃƒÂ¥Ã‚Â¾Ã‚Â®ÃƒÂ¨Ã‚Â½Ã‚Â¯ÃƒÂ©Ã¢â" w:eastAsia="楷体_GB2312" w:cs="ÃƒÂ¥Ã‚Â¾Ã‚Â®ÃƒÂ¨Ã‚Â½Ã‚Â¯ÃƒÂ©Ã¢â"/>
          <w:bCs/>
          <w:color w:val="000000"/>
          <w:sz w:val="32"/>
          <w:szCs w:val="32"/>
        </w:rPr>
      </w:pPr>
      <w:r>
        <w:rPr>
          <w:rStyle w:val="7"/>
          <w:rFonts w:hint="eastAsia" w:ascii="楷体_GB2312" w:hAnsi="楷体" w:eastAsia="楷体_GB2312" w:cs="楷体"/>
          <w:b w:val="0"/>
          <w:bCs/>
          <w:color w:val="000000"/>
          <w:sz w:val="32"/>
          <w:szCs w:val="32"/>
          <w:shd w:val="clear" w:color="auto" w:fill="FFFFFF"/>
        </w:rPr>
        <w:t>（一）政府信息主动公开情况</w:t>
      </w:r>
    </w:p>
    <w:p>
      <w:pPr>
        <w:pStyle w:val="4"/>
        <w:widowControl/>
        <w:shd w:val="clear" w:color="auto" w:fill="FFFFFF"/>
        <w:spacing w:before="0" w:beforeAutospacing="0" w:after="0" w:afterAutospacing="0" w:line="600" w:lineRule="exact"/>
        <w:ind w:firstLine="620" w:firstLineChars="200"/>
        <w:jc w:val="both"/>
        <w:rPr>
          <w:rFonts w:hint="eastAsia" w:ascii="仿宋_GB2312" w:hAnsi="Ã¥Â¾Â®Ã¨Â½Â¯Ã©â€ºâ€¦Ã©Â»â€˜" w:eastAsia="仿宋_GB2312" w:cs="仿宋_GB2312"/>
          <w:color w:val="000000"/>
          <w:sz w:val="32"/>
          <w:szCs w:val="32"/>
          <w:shd w:val="clear" w:color="auto" w:fill="FFFFFF"/>
        </w:rPr>
      </w:pPr>
      <w:r>
        <w:rPr>
          <w:rFonts w:ascii="仿宋_GB2312" w:hAnsi="宋体" w:eastAsia="仿宋_GB2312" w:cs="仿宋_GB2312"/>
          <w:color w:val="000000"/>
          <w:sz w:val="31"/>
          <w:szCs w:val="31"/>
          <w:shd w:val="clear" w:color="auto" w:fill="FFFFFF"/>
        </w:rPr>
        <w:t>截止2021年12月31日，</w:t>
      </w:r>
      <w:r>
        <w:rPr>
          <w:rFonts w:hint="eastAsia" w:ascii="仿宋_GB2312" w:hAnsi="ÃƒÂ¥Ã‚Â¾Ã‚Â®ÃƒÂ¨Ã‚Â½Ã‚Â¯ÃƒÂ©Ã¢â" w:eastAsia="仿宋_GB2312" w:cs="仿宋_GB2312"/>
          <w:color w:val="000000"/>
          <w:sz w:val="32"/>
          <w:szCs w:val="32"/>
          <w:shd w:val="clear" w:color="auto" w:fill="FFFFFF"/>
        </w:rPr>
        <w:t>通过不同载体主动公开信息387条，其中政府网站公开政府信息47条，微信公众平台公开政府信息24条，局网站270条，线下张贴公告46条，涵盖政策法规、通知公告、公文法规、工作动态和提案办理结果等内容，</w:t>
      </w:r>
      <w:r>
        <w:rPr>
          <w:rFonts w:hint="eastAsia" w:ascii="仿宋_GB2312" w:hAnsi="Ã¥Â¾Â®Ã¨Â½Â¯Ã©â€ºâ€¦Ã©Â»â€˜" w:eastAsia="仿宋_GB2312" w:cs="仿宋_GB2312"/>
          <w:color w:val="000000"/>
          <w:sz w:val="32"/>
          <w:szCs w:val="32"/>
          <w:shd w:val="clear" w:color="auto" w:fill="FFFFFF"/>
        </w:rPr>
        <w:t>保障了群众的知情权、参与权及监督权。</w:t>
      </w:r>
    </w:p>
    <w:p>
      <w:pPr>
        <w:pStyle w:val="4"/>
        <w:widowControl/>
        <w:shd w:val="clear" w:color="auto" w:fill="FFFFFF"/>
        <w:spacing w:before="0" w:beforeAutospacing="0" w:after="0" w:afterAutospacing="0" w:line="240" w:lineRule="auto"/>
        <w:rPr>
          <w:rFonts w:hint="eastAsia" w:ascii="仿宋_GB2312" w:hAnsi="Ã¥Â¾Â®Ã¨Â½Â¯Ã©â€ºâ€¦Ã©Â»â€˜" w:eastAsia="仿宋_GB2312" w:cs="仿宋_GB2312"/>
          <w:color w:val="000000"/>
          <w:sz w:val="32"/>
          <w:szCs w:val="32"/>
          <w:shd w:val="clear" w:color="auto" w:fill="FFFFFF"/>
        </w:rPr>
      </w:pPr>
    </w:p>
    <w:p>
      <w:pPr>
        <w:pStyle w:val="4"/>
        <w:widowControl/>
        <w:shd w:val="clear" w:color="auto" w:fill="FFFFFF"/>
        <w:spacing w:before="0" w:beforeAutospacing="0" w:after="0" w:afterAutospacing="0" w:line="600" w:lineRule="exact"/>
        <w:ind w:firstLine="640" w:firstLineChars="200"/>
        <w:jc w:val="both"/>
        <w:rPr>
          <w:rStyle w:val="7"/>
          <w:rFonts w:hint="eastAsia" w:ascii="楷体_GB2312" w:hAnsi="楷体" w:eastAsia="楷体_GB2312" w:cs="楷体"/>
          <w:b w:val="0"/>
          <w:bCs/>
          <w:color w:val="000000"/>
          <w:sz w:val="32"/>
          <w:szCs w:val="32"/>
          <w:shd w:val="clear" w:color="auto" w:fill="FFFFFF"/>
        </w:rPr>
      </w:pPr>
      <w:r>
        <w:rPr>
          <w:rStyle w:val="7"/>
          <w:rFonts w:hint="eastAsia" w:ascii="楷体_GB2312" w:hAnsi="楷体" w:eastAsia="楷体_GB2312" w:cs="楷体"/>
          <w:b w:val="0"/>
          <w:bCs/>
          <w:color w:val="000000"/>
          <w:sz w:val="32"/>
          <w:szCs w:val="32"/>
          <w:shd w:val="clear" w:color="auto" w:fill="FFFFFF"/>
        </w:rPr>
        <w:t>（二）政府信息依申请公开情况</w:t>
      </w:r>
    </w:p>
    <w:p>
      <w:pPr>
        <w:pStyle w:val="4"/>
        <w:widowControl/>
        <w:shd w:val="clear" w:color="auto" w:fill="FFFFFF"/>
        <w:spacing w:before="0" w:beforeAutospacing="0" w:after="0" w:afterAutospacing="0" w:line="600" w:lineRule="exact"/>
        <w:ind w:firstLine="640" w:firstLineChars="200"/>
        <w:jc w:val="both"/>
        <w:rPr>
          <w:rFonts w:hint="eastAsia" w:ascii="仿宋_GB2312" w:hAnsi="ÃƒÂ¥Ã‚Â¾Ã‚Â®ÃƒÂ¨Ã‚Â½Ã‚Â¯ÃƒÂ©Ã¢â" w:eastAsia="仿宋_GB2312" w:cs="仿宋_GB2312"/>
          <w:color w:val="000000"/>
          <w:sz w:val="32"/>
          <w:szCs w:val="32"/>
          <w:shd w:val="clear" w:color="auto" w:fill="FFFFFF"/>
        </w:rPr>
      </w:pPr>
      <w:r>
        <w:rPr>
          <w:rFonts w:hint="eastAsia" w:ascii="仿宋_GB2312" w:hAnsi="ÃƒÂ¥Ã‚Â¾Ã‚Â®ÃƒÂ¨Ã‚Â½Ã‚Â¯ÃƒÂ©Ã¢â" w:eastAsia="仿宋_GB2312" w:cs="仿宋_GB2312"/>
          <w:color w:val="000000"/>
          <w:sz w:val="32"/>
          <w:szCs w:val="32"/>
          <w:shd w:val="clear" w:color="auto" w:fill="FFFFFF"/>
        </w:rPr>
        <w:t>2021年，滕州市</w:t>
      </w:r>
      <w:r>
        <w:rPr>
          <w:rFonts w:hint="eastAsia" w:ascii="仿宋_GB2312" w:hAnsi="ÃƒÂ¥Ã‚Â¾Ã‚Â®ÃƒÂ¨Ã‚Â½Ã‚Â¯ÃƒÂ©Ã¢â" w:eastAsia="仿宋_GB2312" w:cs="仿宋_GB2312"/>
          <w:color w:val="000000"/>
          <w:sz w:val="32"/>
          <w:szCs w:val="32"/>
          <w:shd w:val="clear" w:color="auto" w:fill="FFFFFF"/>
          <w:lang w:val="en-US" w:eastAsia="zh-CN"/>
        </w:rPr>
        <w:t>国资</w:t>
      </w:r>
      <w:r>
        <w:rPr>
          <w:rFonts w:hint="eastAsia" w:ascii="仿宋_GB2312" w:hAnsi="ÃƒÂ¥Ã‚Â¾Ã‚Â®ÃƒÂ¨Ã‚Â½Ã‚Â¯ÃƒÂ©Ã¢â" w:eastAsia="仿宋_GB2312" w:cs="仿宋_GB2312"/>
          <w:color w:val="000000"/>
          <w:sz w:val="32"/>
          <w:szCs w:val="32"/>
          <w:shd w:val="clear" w:color="auto" w:fill="FFFFFF"/>
        </w:rPr>
        <w:t>局受理依申请公开2件次，全部按时限要求办结。本年度无因政府信息公开申请提起行政复议、行政诉讼情况。</w:t>
      </w:r>
    </w:p>
    <w:p>
      <w:pPr>
        <w:pStyle w:val="4"/>
        <w:widowControl/>
        <w:shd w:val="clear" w:color="auto" w:fill="FFFFFF"/>
        <w:spacing w:before="0" w:beforeAutospacing="0" w:after="0" w:afterAutospacing="0" w:line="600" w:lineRule="exact"/>
        <w:ind w:firstLine="640" w:firstLineChars="200"/>
        <w:jc w:val="both"/>
        <w:rPr>
          <w:rStyle w:val="7"/>
          <w:rFonts w:ascii="楷体_GB2312" w:hAnsi="楷体" w:eastAsia="楷体_GB2312" w:cs="楷体"/>
          <w:b w:val="0"/>
          <w:bCs/>
          <w:color w:val="000000"/>
          <w:sz w:val="32"/>
          <w:szCs w:val="32"/>
          <w:shd w:val="clear" w:color="auto" w:fill="FFFFFF"/>
        </w:rPr>
      </w:pPr>
      <w:r>
        <w:rPr>
          <w:rStyle w:val="7"/>
          <w:rFonts w:hint="eastAsia" w:ascii="楷体_GB2312" w:hAnsi="楷体" w:eastAsia="楷体_GB2312" w:cs="楷体"/>
          <w:b w:val="0"/>
          <w:bCs/>
          <w:color w:val="000000"/>
          <w:sz w:val="32"/>
          <w:szCs w:val="32"/>
          <w:shd w:val="clear" w:color="auto" w:fill="FFFFFF"/>
        </w:rPr>
        <w:t>（</w:t>
      </w:r>
      <w:r>
        <w:rPr>
          <w:rStyle w:val="7"/>
          <w:rFonts w:hint="eastAsia" w:ascii="楷体_GB2312" w:hAnsi="楷体" w:eastAsia="楷体_GB2312" w:cs="楷体"/>
          <w:b w:val="0"/>
          <w:bCs/>
          <w:color w:val="000000"/>
          <w:sz w:val="32"/>
          <w:szCs w:val="32"/>
          <w:shd w:val="clear" w:color="auto" w:fill="FFFFFF"/>
          <w:lang w:val="en-US" w:eastAsia="zh-CN"/>
        </w:rPr>
        <w:t>三</w:t>
      </w:r>
      <w:r>
        <w:rPr>
          <w:rStyle w:val="7"/>
          <w:rFonts w:hint="eastAsia" w:ascii="楷体_GB2312" w:hAnsi="楷体" w:eastAsia="楷体_GB2312" w:cs="楷体"/>
          <w:b w:val="0"/>
          <w:bCs/>
          <w:color w:val="000000"/>
          <w:sz w:val="32"/>
          <w:szCs w:val="32"/>
          <w:shd w:val="clear" w:color="auto" w:fill="FFFFFF"/>
        </w:rPr>
        <w:t>）政府信息管理情况</w:t>
      </w:r>
    </w:p>
    <w:p>
      <w:pPr>
        <w:pStyle w:val="4"/>
        <w:widowControl/>
        <w:shd w:val="clear" w:color="auto" w:fill="FFFFFF"/>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强化组织领导，动态调整</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仿宋_GB2312" w:eastAsia="仿宋_GB2312" w:cs="仿宋_GB2312"/>
          <w:color w:val="000000"/>
          <w:sz w:val="32"/>
          <w:szCs w:val="32"/>
          <w:shd w:val="clear" w:color="auto" w:fill="FFFFFF"/>
        </w:rPr>
        <w:t>政务公开工作领导小组职责和组成人员，形成“主要领导亲自抓、分管领导具体抓、机关科室合力抓、专人负责抓落实”的工作机制，形</w:t>
      </w:r>
      <w:r>
        <w:rPr>
          <w:rFonts w:hint="eastAsia" w:ascii="仿宋_GB2312" w:hAnsi="仿宋_GB2312" w:eastAsia="仿宋_GB2312" w:cs="仿宋_GB2312"/>
          <w:sz w:val="32"/>
          <w:szCs w:val="32"/>
          <w:shd w:val="clear" w:color="auto" w:fill="FFFFFF"/>
        </w:rPr>
        <w:t>成</w:t>
      </w:r>
      <w:r>
        <w:rPr>
          <w:rFonts w:hint="eastAsia" w:ascii="仿宋_GB2312" w:hAnsi="仿宋_GB2312" w:eastAsia="仿宋_GB2312" w:cs="仿宋_GB2312"/>
          <w:sz w:val="32"/>
          <w:szCs w:val="32"/>
          <w:shd w:val="clear" w:color="auto" w:fill="FFFFFF"/>
          <w:lang w:bidi="ar"/>
        </w:rPr>
        <w:t>责任到科室、落实到人头的工作成效，确保政府信息公开工作落到实处。</w:t>
      </w:r>
      <w:r>
        <w:rPr>
          <w:rFonts w:hint="eastAsia" w:ascii="仿宋_GB2312" w:hAnsi="ÃƒÂ¥Ã‚Â¾Ã‚Â®ÃƒÂ¨Ã‚Â½Ã‚Â¯ÃƒÂ©Ã¢â" w:eastAsia="仿宋_GB2312" w:cs="仿宋_GB2312"/>
          <w:color w:val="000000"/>
          <w:sz w:val="32"/>
          <w:szCs w:val="32"/>
          <w:shd w:val="clear" w:color="auto" w:fill="FFFFFF"/>
        </w:rPr>
        <w:t>严格把关政府信息公开内容审查，滕州市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ÃƒÂ¥Ã‚Â¾Ã‚Â®ÃƒÂ¨Ã‚Â½Ã‚Â¯ÃƒÂ©Ã¢â" w:eastAsia="仿宋_GB2312" w:cs="仿宋_GB2312"/>
          <w:color w:val="000000"/>
          <w:sz w:val="32"/>
          <w:szCs w:val="32"/>
          <w:shd w:val="clear" w:color="auto" w:fill="FFFFFF"/>
        </w:rPr>
        <w:t>2021年度无违反规定和失职泄密情况。</w:t>
      </w:r>
    </w:p>
    <w:p>
      <w:pPr>
        <w:pStyle w:val="4"/>
        <w:widowControl/>
        <w:shd w:val="clear" w:color="auto" w:fill="FFFFFF"/>
        <w:spacing w:before="0" w:beforeAutospacing="0" w:after="0" w:afterAutospacing="0" w:line="600" w:lineRule="exact"/>
        <w:ind w:firstLine="640" w:firstLineChars="200"/>
        <w:jc w:val="both"/>
        <w:rPr>
          <w:rStyle w:val="7"/>
          <w:rFonts w:hint="eastAsia" w:ascii="楷体_GB2312" w:hAnsi="楷体" w:eastAsia="楷体_GB2312" w:cs="楷体"/>
          <w:b w:val="0"/>
          <w:bCs/>
          <w:color w:val="000000"/>
          <w:sz w:val="32"/>
          <w:szCs w:val="32"/>
          <w:shd w:val="clear" w:color="auto" w:fill="FFFFFF"/>
        </w:rPr>
      </w:pPr>
      <w:r>
        <w:rPr>
          <w:rStyle w:val="7"/>
          <w:rFonts w:hint="eastAsia" w:ascii="楷体_GB2312" w:hAnsi="楷体" w:eastAsia="楷体_GB2312" w:cs="楷体"/>
          <w:b w:val="0"/>
          <w:bCs/>
          <w:color w:val="000000"/>
          <w:sz w:val="32"/>
          <w:szCs w:val="32"/>
          <w:shd w:val="clear" w:color="auto" w:fill="FFFFFF"/>
        </w:rPr>
        <w:t>（</w:t>
      </w:r>
      <w:r>
        <w:rPr>
          <w:rStyle w:val="7"/>
          <w:rFonts w:hint="eastAsia" w:ascii="楷体_GB2312" w:hAnsi="楷体" w:eastAsia="楷体_GB2312" w:cs="楷体"/>
          <w:b w:val="0"/>
          <w:bCs/>
          <w:color w:val="000000"/>
          <w:sz w:val="32"/>
          <w:szCs w:val="32"/>
          <w:shd w:val="clear" w:color="auto" w:fill="FFFFFF"/>
          <w:lang w:val="en-US" w:eastAsia="zh-CN"/>
        </w:rPr>
        <w:t>四</w:t>
      </w:r>
      <w:r>
        <w:rPr>
          <w:rStyle w:val="7"/>
          <w:rFonts w:hint="eastAsia" w:ascii="楷体_GB2312" w:hAnsi="楷体" w:eastAsia="楷体_GB2312" w:cs="楷体"/>
          <w:b w:val="0"/>
          <w:bCs/>
          <w:color w:val="000000"/>
          <w:sz w:val="32"/>
          <w:szCs w:val="32"/>
          <w:shd w:val="clear" w:color="auto" w:fill="FFFFFF"/>
        </w:rPr>
        <w:t>）政府信息平台建设情况</w:t>
      </w:r>
    </w:p>
    <w:p>
      <w:pPr>
        <w:pStyle w:val="4"/>
        <w:widowControl/>
        <w:shd w:val="clear" w:color="auto" w:fill="FFFFFF"/>
        <w:spacing w:before="0" w:beforeAutospacing="0" w:after="0" w:afterAutospacing="0" w:line="600" w:lineRule="exact"/>
        <w:ind w:firstLine="640" w:firstLineChars="200"/>
        <w:jc w:val="both"/>
        <w:rPr>
          <w:rFonts w:ascii="ÃƒÂ¥Ã‚Â¾Ã‚Â®ÃƒÂ¨Ã‚Â½Ã‚Â¯ÃƒÂ©Ã¢â" w:hAnsi="ÃƒÂ¥Ã‚Â¾Ã‚Â®ÃƒÂ¨Ã‚Â½Ã‚Â¯ÃƒÂ©Ã¢â" w:eastAsia="ÃƒÂ¥Ã‚Â¾Ã‚Â®ÃƒÂ¨Ã‚Â½Ã‚Â¯ÃƒÂ©Ã¢â" w:cs="ÃƒÂ¥Ã‚Â¾Ã‚Â®ÃƒÂ¨Ã‚Â½Ã‚Â¯ÃƒÂ©Ã¢â"/>
          <w:sz w:val="32"/>
          <w:szCs w:val="32"/>
        </w:rPr>
      </w:pPr>
      <w:r>
        <w:rPr>
          <w:rFonts w:ascii="仿宋_GB2312" w:hAnsi="宋体" w:eastAsia="仿宋_GB2312" w:cs="仿宋_GB2312"/>
          <w:sz w:val="32"/>
          <w:szCs w:val="32"/>
          <w:shd w:val="clear" w:color="auto" w:fill="FFFFFF"/>
        </w:rPr>
        <w:t>按照上级对政府信息平台建设工作的要求，完善政府信息公开制度，</w:t>
      </w:r>
      <w:r>
        <w:rPr>
          <w:rFonts w:hint="eastAsia" w:ascii="仿宋_GB2312" w:hAnsi="仿宋_GB2312" w:eastAsia="仿宋_GB2312" w:cs="仿宋_GB2312"/>
          <w:sz w:val="32"/>
          <w:szCs w:val="32"/>
          <w:shd w:val="clear" w:color="auto" w:fill="FFFFFF"/>
          <w:lang w:bidi="ar"/>
        </w:rPr>
        <w:t>加大信息平台公开力度，</w:t>
      </w:r>
      <w:r>
        <w:rPr>
          <w:rFonts w:ascii="仿宋_GB2312" w:hAnsi="仿宋_GB2312" w:eastAsia="仿宋_GB2312" w:cs="仿宋_GB2312"/>
          <w:sz w:val="32"/>
          <w:szCs w:val="32"/>
          <w:shd w:val="clear" w:color="auto" w:fill="FFFFFF"/>
          <w:lang w:bidi="ar"/>
        </w:rPr>
        <w:t>常态化推进信息公开</w:t>
      </w:r>
      <w:r>
        <w:rPr>
          <w:rFonts w:hint="eastAsia" w:ascii="仿宋_GB2312" w:hAnsi="仿宋_GB2312" w:eastAsia="仿宋_GB2312" w:cs="仿宋_GB2312"/>
          <w:sz w:val="32"/>
          <w:szCs w:val="32"/>
          <w:shd w:val="clear" w:color="auto" w:fill="FFFFFF"/>
          <w:lang w:bidi="ar"/>
        </w:rPr>
        <w:t>，及时更新公布信息，为群众解疑，便于群众查阅办理，与群众形成良好互动。</w:t>
      </w:r>
      <w:r>
        <w:rPr>
          <w:rFonts w:ascii="仿宋_GB2312" w:hAnsi="宋体" w:eastAsia="仿宋_GB2312" w:cs="仿宋_GB2312"/>
          <w:sz w:val="32"/>
          <w:szCs w:val="32"/>
          <w:shd w:val="clear" w:color="auto" w:fill="FFFFFF"/>
        </w:rPr>
        <w:t>安排专人负责信息公开的编辑、审核与发布。</w:t>
      </w:r>
      <w:r>
        <w:rPr>
          <w:rFonts w:hint="eastAsia" w:ascii="仿宋_GB2312" w:hAnsi="ÃƒÂ¥Ã‚Â¾Ã‚Â®ÃƒÂ¨Ã‚Â½Ã‚Â¯ÃƒÂ©Ã¢â" w:eastAsia="仿宋_GB2312" w:cs="仿宋_GB2312"/>
          <w:sz w:val="32"/>
          <w:szCs w:val="32"/>
          <w:shd w:val="clear" w:color="auto" w:fill="FFFFFF"/>
        </w:rPr>
        <w:t>做好</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ÃƒÂ¥Ã‚Â¾Ã‚Â®ÃƒÂ¨Ã‚Â½Ã‚Â¯ÃƒÂ©Ã¢â" w:eastAsia="仿宋_GB2312" w:cs="仿宋_GB2312"/>
          <w:sz w:val="32"/>
          <w:szCs w:val="32"/>
          <w:shd w:val="clear" w:color="auto" w:fill="FFFFFF"/>
        </w:rPr>
        <w:t>网站与滕州政务信息公开网站联动推荐关系，做到多平台、多栏目、多渠道同步更新。</w:t>
      </w:r>
    </w:p>
    <w:p>
      <w:pPr>
        <w:pStyle w:val="4"/>
        <w:widowControl/>
        <w:shd w:val="clear" w:color="auto" w:fill="FFFFFF"/>
        <w:spacing w:before="0" w:beforeAutospacing="0" w:after="0" w:afterAutospacing="0" w:line="600" w:lineRule="exact"/>
        <w:ind w:firstLine="640" w:firstLineChars="200"/>
        <w:jc w:val="both"/>
        <w:rPr>
          <w:rStyle w:val="7"/>
          <w:rFonts w:ascii="楷体" w:hAnsi="楷体" w:eastAsia="楷体" w:cs="楷体"/>
          <w:b w:val="0"/>
          <w:bCs/>
          <w:color w:val="000000"/>
          <w:sz w:val="32"/>
          <w:szCs w:val="32"/>
          <w:shd w:val="clear" w:color="auto" w:fill="FFFFFF"/>
        </w:rPr>
      </w:pPr>
      <w:r>
        <w:rPr>
          <w:rStyle w:val="7"/>
          <w:rFonts w:hint="eastAsia" w:ascii="楷体_GB2312" w:hAnsi="楷体" w:eastAsia="楷体_GB2312" w:cs="楷体"/>
          <w:b w:val="0"/>
          <w:bCs/>
          <w:color w:val="000000"/>
          <w:sz w:val="32"/>
          <w:szCs w:val="32"/>
          <w:shd w:val="clear" w:color="auto" w:fill="FFFFFF"/>
        </w:rPr>
        <w:t>（</w:t>
      </w:r>
      <w:r>
        <w:rPr>
          <w:rStyle w:val="7"/>
          <w:rFonts w:hint="eastAsia" w:ascii="楷体_GB2312" w:hAnsi="楷体" w:eastAsia="楷体_GB2312" w:cs="楷体"/>
          <w:b w:val="0"/>
          <w:bCs/>
          <w:color w:val="000000"/>
          <w:sz w:val="32"/>
          <w:szCs w:val="32"/>
          <w:shd w:val="clear" w:color="auto" w:fill="FFFFFF"/>
          <w:lang w:val="en-US" w:eastAsia="zh-CN"/>
        </w:rPr>
        <w:t>五</w:t>
      </w:r>
      <w:r>
        <w:rPr>
          <w:rStyle w:val="7"/>
          <w:rFonts w:hint="eastAsia" w:ascii="楷体_GB2312" w:hAnsi="楷体" w:eastAsia="楷体_GB2312" w:cs="楷体"/>
          <w:b w:val="0"/>
          <w:bCs/>
          <w:color w:val="000000"/>
          <w:sz w:val="32"/>
          <w:szCs w:val="32"/>
          <w:shd w:val="clear" w:color="auto" w:fill="FFFFFF"/>
        </w:rPr>
        <w:t>）监督保障情况</w:t>
      </w:r>
      <w:r>
        <w:rPr>
          <w:rStyle w:val="7"/>
          <w:rFonts w:hint="eastAsia" w:ascii="楷体" w:hAnsi="楷体" w:eastAsia="楷体" w:cs="楷体"/>
          <w:b w:val="0"/>
          <w:bCs/>
          <w:color w:val="000000"/>
          <w:sz w:val="32"/>
          <w:szCs w:val="32"/>
          <w:shd w:val="clear" w:color="auto" w:fill="FFFFFF"/>
        </w:rPr>
        <w:t>　</w:t>
      </w:r>
    </w:p>
    <w:p>
      <w:pPr>
        <w:pStyle w:val="4"/>
        <w:widowControl/>
        <w:shd w:val="clear" w:color="auto" w:fill="FFFFFF"/>
        <w:spacing w:before="0" w:beforeAutospacing="0" w:after="0" w:afterAutospacing="0" w:line="600" w:lineRule="exact"/>
        <w:ind w:firstLine="640" w:firstLineChars="200"/>
        <w:jc w:val="both"/>
        <w:rPr>
          <w:rFonts w:hint="eastAsia" w:ascii="仿宋_GB2312" w:hAnsi="ÃƒÂ¥Ã‚Â¾Ã‚Â®ÃƒÂ¨Ã‚Â½Ã‚Â¯ÃƒÂ©Ã¢â" w:eastAsia="仿宋_GB2312" w:cs="仿宋_GB2312"/>
          <w:color w:val="000000"/>
          <w:sz w:val="32"/>
          <w:szCs w:val="32"/>
          <w:shd w:val="clear" w:color="auto" w:fill="FFFFFF"/>
        </w:rPr>
      </w:pPr>
      <w:r>
        <w:rPr>
          <w:rFonts w:hint="eastAsia" w:ascii="仿宋_GB2312" w:hAnsi="ÃƒÂ¥Ã‚Â¾Ã‚Â®ÃƒÂ¨Ã‚Â½Ã‚Â¯ÃƒÂ©Ã¢â" w:eastAsia="仿宋_GB2312" w:cs="仿宋_GB2312"/>
          <w:color w:val="000000"/>
          <w:sz w:val="32"/>
          <w:szCs w:val="32"/>
          <w:shd w:val="clear" w:color="auto" w:fill="FFFFFF"/>
        </w:rPr>
        <w:t>根据工作部署要求，</w:t>
      </w:r>
      <w:r>
        <w:rPr>
          <w:rFonts w:ascii="仿宋_GB2312" w:hAnsi="宋体" w:eastAsia="仿宋_GB2312" w:cs="仿宋_GB2312"/>
          <w:color w:val="000000"/>
          <w:sz w:val="32"/>
          <w:szCs w:val="32"/>
          <w:shd w:val="clear" w:color="auto" w:fill="FFFFFF"/>
        </w:rPr>
        <w:t>积极做好相关政务公开保障工作</w:t>
      </w:r>
      <w:r>
        <w:rPr>
          <w:rFonts w:hint="eastAsia" w:ascii="仿宋_GB2312" w:hAnsi="宋体" w:eastAsia="仿宋_GB2312" w:cs="仿宋_GB2312"/>
          <w:color w:val="000000"/>
          <w:sz w:val="32"/>
          <w:szCs w:val="32"/>
          <w:shd w:val="clear" w:color="auto" w:fill="FFFFFF"/>
        </w:rPr>
        <w:t>。</w:t>
      </w:r>
      <w:r>
        <w:rPr>
          <w:rFonts w:hint="eastAsia" w:ascii="仿宋_GB2312" w:hAnsi="ÃƒÂ¥Ã‚Â¾Ã‚Â®ÃƒÂ¨Ã‚Â½Ã‚Â¯ÃƒÂ©Ã¢â" w:eastAsia="仿宋_GB2312" w:cs="仿宋_GB2312"/>
          <w:color w:val="000000"/>
          <w:sz w:val="32"/>
          <w:szCs w:val="32"/>
          <w:shd w:val="clear" w:color="auto" w:fill="FFFFFF"/>
        </w:rPr>
        <w:t>严格按照信息发布流程，</w:t>
      </w:r>
      <w:r>
        <w:rPr>
          <w:rFonts w:hint="eastAsia" w:ascii="仿宋_GB2312" w:hAnsi="仿宋_GB2312" w:eastAsia="仿宋_GB2312" w:cs="仿宋_GB2312"/>
          <w:color w:val="000000"/>
          <w:sz w:val="32"/>
          <w:szCs w:val="32"/>
          <w:shd w:val="clear" w:color="auto" w:fill="FFFFFF"/>
          <w:lang w:bidi="ar"/>
        </w:rPr>
        <w:t>加大及时更新自查力度，不定期整改，</w:t>
      </w:r>
      <w:r>
        <w:rPr>
          <w:rFonts w:hint="eastAsia" w:ascii="仿宋_GB2312" w:hAnsi="ÃƒÂ¥Ã‚Â¾Ã‚Â®ÃƒÂ¨Ã‚Â½Ã‚Â¯ÃƒÂ©Ã¢â" w:eastAsia="仿宋_GB2312" w:cs="仿宋_GB2312"/>
          <w:color w:val="000000"/>
          <w:sz w:val="32"/>
          <w:szCs w:val="32"/>
          <w:shd w:val="clear" w:color="auto" w:fill="FFFFFF"/>
        </w:rPr>
        <w:t>研究制定公开考核、评议、责任追究和监督检查办法，推进和规范政府信息公开工作。</w:t>
      </w:r>
    </w:p>
    <w:p>
      <w:pPr>
        <w:widowControl/>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c>
          <w:tcPr>
            <w:tcW w:w="2206" w:type="dxa"/>
            <w:tcBorders>
              <w:top w:val="nil"/>
              <w:left w:val="nil"/>
              <w:bottom w:val="single" w:color="auto" w:sz="8" w:space="0"/>
              <w:right w:val="single" w:color="auto" w:sz="8" w:space="0"/>
            </w:tcBorders>
            <w:noWrap w:val="0"/>
            <w:vAlign w:val="center"/>
          </w:tcPr>
          <w:p>
            <w:pPr>
              <w:widowControl/>
              <w:jc w:val="center"/>
              <w:rPr>
                <w:rFonts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eastAsia="仿宋_GB2312" w:cs="Calibri"/>
                <w:color w:val="000000"/>
                <w:kern w:val="0"/>
                <w:szCs w:val="21"/>
              </w:rPr>
            </w:pPr>
            <w:r>
              <w:rPr>
                <w:rFonts w:hint="eastAsia" w:ascii="仿宋_GB2312" w:eastAsia="仿宋_GB2312" w:cs="Calibri"/>
                <w:color w:val="000000"/>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hAnsi="宋体" w:eastAsia="仿宋_GB2312" w:cs="宋体"/>
                <w:color w:val="000000"/>
                <w:kern w:val="0"/>
                <w:szCs w:val="21"/>
              </w:rPr>
            </w:pPr>
            <w:r>
              <w:rPr>
                <w:rFonts w:hint="eastAsia" w:ascii="仿宋_GB2312" w:hAnsi="宋体" w:eastAsia="仿宋_GB2312" w:cs="宋体"/>
                <w:color w:val="000000"/>
                <w:kern w:val="0"/>
                <w:szCs w:val="21"/>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center"/>
              <w:rPr>
                <w:rFonts w:hint="eastAsia" w:ascii="仿宋_GB2312" w:eastAsia="仿宋_GB2312" w:cs="Calibri"/>
                <w:color w:val="000000"/>
                <w:kern w:val="0"/>
                <w:szCs w:val="21"/>
              </w:rPr>
            </w:pPr>
            <w:r>
              <w:rPr>
                <w:rFonts w:hint="eastAsia" w:ascii="仿宋_GB2312" w:eastAsia="仿宋_GB2312" w:cs="Calibri"/>
                <w:color w:val="000000"/>
                <w:kern w:val="0"/>
                <w:szCs w:val="21"/>
              </w:rPr>
              <w:t>0</w:t>
            </w:r>
          </w:p>
        </w:tc>
      </w:tr>
    </w:tbl>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jc w:val="left"/>
        <w:rPr>
          <w:rFonts w:ascii="宋体" w:hAnsi="宋体" w:cs="宋体"/>
          <w:color w:val="000000"/>
          <w:kern w:val="0"/>
          <w:sz w:val="20"/>
          <w:szCs w:val="20"/>
        </w:rPr>
      </w:pPr>
    </w:p>
    <w:p>
      <w:pPr>
        <w:widowControl/>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jc w:val="center"/>
              <w:rPr>
                <w:rFonts w:ascii="仿宋_GB2312" w:hAnsi="Times New Roman" w:eastAsia="仿宋_GB2312"/>
                <w:szCs w:val="21"/>
              </w:rPr>
            </w:pPr>
          </w:p>
        </w:tc>
        <w:tc>
          <w:tcPr>
            <w:tcW w:w="829" w:type="dxa"/>
            <w:vMerge w:val="continue"/>
            <w:noWrap w:val="0"/>
            <w:tcMar>
              <w:left w:w="108" w:type="dxa"/>
              <w:right w:w="108" w:type="dxa"/>
            </w:tcMar>
            <w:vAlign w:val="center"/>
          </w:tcPr>
          <w:p>
            <w:pPr>
              <w:jc w:val="center"/>
              <w:rPr>
                <w:rFonts w:ascii="黑体" w:hAnsi="黑体" w:eastAsia="黑体"/>
                <w:szCs w:val="21"/>
              </w:rPr>
            </w:pPr>
          </w:p>
        </w:tc>
        <w:tc>
          <w:tcPr>
            <w:tcW w:w="567"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2</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ind w:left="-107" w:leftChars="-51"/>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200" w:lineRule="exact"/>
              <w:jc w:val="center"/>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spacing w:line="200" w:lineRule="exact"/>
              <w:rPr>
                <w:rFonts w:ascii="黑体" w:hAnsi="黑体" w:eastAsia="黑体"/>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3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708"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567"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c>
          <w:tcPr>
            <w:tcW w:w="851" w:type="dxa"/>
            <w:noWrap w:val="0"/>
            <w:tcMar>
              <w:left w:w="108" w:type="dxa"/>
              <w:right w:w="108" w:type="dxa"/>
            </w:tcMar>
            <w:vAlign w:val="center"/>
          </w:tcPr>
          <w:p>
            <w:pPr>
              <w:widowControl/>
              <w:jc w:val="center"/>
              <w:rPr>
                <w:rFonts w:hint="eastAsia" w:ascii="仿宋" w:hAnsi="仿宋" w:eastAsia="仿宋" w:cs="仿宋"/>
                <w:sz w:val="20"/>
                <w:szCs w:val="20"/>
              </w:rPr>
            </w:pPr>
            <w:r>
              <w:rPr>
                <w:rFonts w:hint="eastAsia" w:ascii="仿宋" w:hAnsi="仿宋" w:eastAsia="仿宋" w:cs="仿宋"/>
                <w:kern w:val="0"/>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restart"/>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noWrap w:val="0"/>
            <w:tcMar>
              <w:left w:w="108" w:type="dxa"/>
              <w:right w:w="108" w:type="dxa"/>
            </w:tcMar>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1701" w:type="dxa"/>
            <w:vMerge w:val="continue"/>
            <w:noWrap w:val="0"/>
            <w:tcMar>
              <w:left w:w="108" w:type="dxa"/>
              <w:right w:w="108" w:type="dxa"/>
            </w:tcMar>
            <w:vAlign w:val="center"/>
          </w:tcPr>
          <w:p>
            <w:pPr>
              <w:widowControl/>
              <w:spacing w:line="300" w:lineRule="exact"/>
              <w:rPr>
                <w:rFonts w:ascii="黑体" w:hAnsi="黑体" w:eastAsia="黑体"/>
                <w:kern w:val="0"/>
                <w:szCs w:val="21"/>
              </w:rPr>
            </w:pPr>
          </w:p>
        </w:tc>
        <w:tc>
          <w:tcPr>
            <w:tcW w:w="2976" w:type="dxa"/>
            <w:noWrap w:val="0"/>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rPr>
                <w:rFonts w:ascii="黑体" w:hAnsi="黑体" w:eastAsia="黑体"/>
                <w:szCs w:val="21"/>
              </w:rPr>
            </w:pPr>
          </w:p>
        </w:tc>
        <w:tc>
          <w:tcPr>
            <w:tcW w:w="4677" w:type="dxa"/>
            <w:gridSpan w:val="2"/>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line="200" w:lineRule="exact"/>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3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708"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567"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c>
          <w:tcPr>
            <w:tcW w:w="851" w:type="dxa"/>
            <w:noWrap w:val="0"/>
            <w:tcMar>
              <w:left w:w="108" w:type="dxa"/>
              <w:right w:w="108" w:type="dxa"/>
            </w:tcMar>
            <w:vAlign w:val="center"/>
          </w:tcPr>
          <w:p>
            <w:pPr>
              <w:widowControl/>
              <w:spacing w:after="180"/>
              <w:jc w:val="center"/>
              <w:rPr>
                <w:rFonts w:hint="eastAsia" w:ascii="仿宋" w:hAnsi="仿宋" w:eastAsia="仿宋" w:cs="仿宋"/>
                <w:sz w:val="20"/>
                <w:szCs w:val="20"/>
              </w:rPr>
            </w:pPr>
            <w:r>
              <w:rPr>
                <w:rFonts w:hint="eastAsia" w:ascii="仿宋" w:hAnsi="仿宋" w:eastAsia="仿宋" w:cs="仿宋"/>
                <w:sz w:val="20"/>
                <w:szCs w:val="20"/>
              </w:rPr>
              <w:t>0</w:t>
            </w:r>
          </w:p>
        </w:tc>
      </w:tr>
    </w:tbl>
    <w:p>
      <w:pPr>
        <w:keepNext w:val="0"/>
        <w:keepLines w:val="0"/>
        <w:pageBreakBefore w:val="0"/>
        <w:widowControl/>
        <w:kinsoku/>
        <w:wordWrap/>
        <w:overflowPunct/>
        <w:topLinePunct w:val="0"/>
        <w:autoSpaceDE/>
        <w:autoSpaceDN/>
        <w:bidi w:val="0"/>
        <w:adjustRightInd/>
        <w:snapToGrid/>
        <w:spacing w:after="0" w:line="600" w:lineRule="exact"/>
        <w:ind w:firstLine="640" w:firstLineChars="200"/>
        <w:jc w:val="left"/>
        <w:textAlignment w:val="auto"/>
        <w:rPr>
          <w:rFonts w:ascii="宋体" w:hAnsi="宋体" w:cs="宋体"/>
          <w:color w:val="000000"/>
          <w:kern w:val="0"/>
          <w:sz w:val="20"/>
          <w:szCs w:val="20"/>
        </w:rPr>
      </w:pPr>
      <w:r>
        <w:rPr>
          <w:rFonts w:hint="eastAsia" w:ascii="黑体" w:hAnsi="黑体" w:eastAsia="黑体" w:cs="宋体"/>
          <w:color w:val="000000"/>
          <w:kern w:val="0"/>
          <w:sz w:val="32"/>
          <w:szCs w:val="32"/>
        </w:rPr>
        <w:t>四、政府信息公开行政复议、行政诉讼情况</w:t>
      </w:r>
    </w:p>
    <w:tbl>
      <w:tblPr>
        <w:tblStyle w:val="5"/>
        <w:tblW w:w="9071" w:type="dxa"/>
        <w:jc w:val="center"/>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04" w:type="dxa"/>
            <w:vMerge w:val="restart"/>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尚未审结</w:t>
            </w:r>
          </w:p>
        </w:tc>
        <w:tc>
          <w:tcPr>
            <w:tcW w:w="658" w:type="dxa"/>
            <w:vMerge w:val="restar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c>
          <w:tcPr>
            <w:tcW w:w="2970"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vAlign w:val="center"/>
          </w:tcPr>
          <w:p>
            <w:pPr>
              <w:widowControl/>
              <w:jc w:val="left"/>
              <w:rPr>
                <w:rFonts w:ascii="宋体" w:hAnsi="宋体" w:cs="宋体"/>
                <w:kern w:val="0"/>
                <w:sz w:val="24"/>
                <w:szCs w:val="24"/>
              </w:rPr>
            </w:pPr>
          </w:p>
        </w:tc>
        <w:tc>
          <w:tcPr>
            <w:tcW w:w="604" w:type="dxa"/>
            <w:vMerge w:val="continue"/>
            <w:tcBorders>
              <w:top w:val="nil"/>
              <w:left w:val="nil"/>
              <w:bottom w:val="single" w:color="auto" w:sz="8" w:space="0"/>
              <w:right w:val="single" w:color="auto" w:sz="8" w:space="0"/>
            </w:tcBorders>
            <w:noWrap w:val="0"/>
            <w:vAlign w:val="center"/>
          </w:tcPr>
          <w:p>
            <w:pPr>
              <w:widowControl/>
              <w:jc w:val="left"/>
              <w:rPr>
                <w:rFonts w:ascii="宋体" w:hAnsi="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szCs w:val="24"/>
              </w:rPr>
            </w:pPr>
          </w:p>
        </w:tc>
        <w:tc>
          <w:tcPr>
            <w:tcW w:w="604"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szCs w:val="24"/>
              </w:rPr>
            </w:pPr>
          </w:p>
        </w:tc>
        <w:tc>
          <w:tcPr>
            <w:tcW w:w="658" w:type="dxa"/>
            <w:vMerge w:val="continue"/>
            <w:tcBorders>
              <w:top w:val="single" w:color="auto" w:sz="8" w:space="0"/>
              <w:left w:val="nil"/>
              <w:bottom w:val="single" w:color="auto" w:sz="8" w:space="0"/>
              <w:right w:val="single" w:color="auto" w:sz="8" w:space="0"/>
            </w:tcBorders>
            <w:noWrap w:val="0"/>
            <w:vAlign w:val="center"/>
          </w:tcPr>
          <w:p>
            <w:pPr>
              <w:widowControl/>
              <w:jc w:val="left"/>
              <w:rPr>
                <w:rFonts w:ascii="宋体" w:hAnsi="宋体" w:cs="宋体"/>
                <w:kern w:val="0"/>
                <w:sz w:val="24"/>
                <w:szCs w:val="24"/>
              </w:rPr>
            </w:pP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其他结果</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尚未审结</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其他结果</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942" w:hRule="atLeast"/>
          <w:jc w:val="center"/>
        </w:trPr>
        <w:tc>
          <w:tcPr>
            <w:tcW w:w="60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5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550"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5"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606"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r>
    </w:tbl>
    <w:p>
      <w:pPr>
        <w:widowControl/>
        <w:spacing w:after="0"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五、存在的主要问题及改进情况</w:t>
      </w:r>
    </w:p>
    <w:p>
      <w:pPr>
        <w:widowControl/>
        <w:shd w:val="clear" w:color="auto" w:fill="FFFFFF"/>
        <w:spacing w:after="0" w:line="600" w:lineRule="exact"/>
        <w:ind w:firstLine="640" w:firstLineChars="200"/>
        <w:rPr>
          <w:rFonts w:ascii="仿宋_GB2312" w:hAnsi="宋体" w:eastAsia="仿宋_GB2312" w:cs="仿宋_GB2312"/>
          <w:color w:val="000000"/>
          <w:sz w:val="31"/>
          <w:szCs w:val="31"/>
          <w:shd w:val="clear" w:color="auto" w:fill="FFFFFF"/>
        </w:rPr>
      </w:pPr>
      <w:r>
        <w:rPr>
          <w:rFonts w:hint="eastAsia" w:ascii="仿宋_GB2312" w:hAnsi="仿宋_GB2312" w:eastAsia="仿宋_GB2312" w:cs="仿宋_GB2312"/>
          <w:color w:val="000000"/>
          <w:kern w:val="0"/>
          <w:sz w:val="32"/>
          <w:szCs w:val="32"/>
          <w:shd w:val="clear" w:color="auto" w:fill="FFFFFF"/>
          <w:lang w:bidi="ar"/>
        </w:rPr>
        <w:t>2021年度</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仿宋_GB2312" w:eastAsia="仿宋_GB2312" w:cs="仿宋_GB2312"/>
          <w:color w:val="000000"/>
          <w:kern w:val="0"/>
          <w:sz w:val="32"/>
          <w:szCs w:val="32"/>
          <w:shd w:val="clear" w:color="auto" w:fill="FFFFFF"/>
          <w:lang w:bidi="ar"/>
        </w:rPr>
        <w:t>政府信息公开工作虽然取得了一定的成效，但还存在一些不足，主要表现在：</w:t>
      </w:r>
      <w:r>
        <w:rPr>
          <w:rFonts w:hint="eastAsia" w:ascii="仿宋_GB2312" w:hAnsi="仿宋_GB2312" w:eastAsia="仿宋_GB2312" w:cs="仿宋_GB2312"/>
          <w:b/>
          <w:bCs/>
          <w:color w:val="000000"/>
          <w:kern w:val="0"/>
          <w:sz w:val="32"/>
          <w:szCs w:val="32"/>
          <w:shd w:val="clear" w:color="auto" w:fill="FFFFFF"/>
          <w:lang w:bidi="ar"/>
        </w:rPr>
        <w:t>一是</w:t>
      </w:r>
      <w:r>
        <w:rPr>
          <w:rFonts w:hint="eastAsia" w:ascii="仿宋_GB2312" w:hAnsi="仿宋_GB2312" w:eastAsia="仿宋_GB2312" w:cs="仿宋_GB2312"/>
          <w:color w:val="000000"/>
          <w:kern w:val="0"/>
          <w:sz w:val="32"/>
          <w:szCs w:val="32"/>
          <w:shd w:val="clear" w:color="auto" w:fill="FFFFFF"/>
          <w:lang w:bidi="ar"/>
        </w:rPr>
        <w:t>公开内容和公开形式还有待于进一步丰富；</w:t>
      </w:r>
      <w:r>
        <w:rPr>
          <w:rFonts w:hint="eastAsia" w:ascii="仿宋_GB2312" w:hAnsi="仿宋_GB2312" w:eastAsia="仿宋_GB2312" w:cs="仿宋_GB2312"/>
          <w:b/>
          <w:bCs/>
          <w:color w:val="000000"/>
          <w:kern w:val="0"/>
          <w:sz w:val="32"/>
          <w:szCs w:val="32"/>
          <w:shd w:val="clear" w:color="auto" w:fill="FFFFFF"/>
          <w:lang w:bidi="ar"/>
        </w:rPr>
        <w:t>二是</w:t>
      </w:r>
      <w:r>
        <w:rPr>
          <w:rFonts w:ascii="仿宋_GB2312" w:hAnsi="宋体" w:eastAsia="仿宋_GB2312" w:cs="仿宋_GB2312"/>
          <w:color w:val="000000"/>
          <w:sz w:val="31"/>
          <w:szCs w:val="31"/>
          <w:shd w:val="clear" w:color="auto" w:fill="FFFFFF"/>
        </w:rPr>
        <w:t>个别栏目信息更新不</w:t>
      </w:r>
      <w:r>
        <w:rPr>
          <w:rFonts w:hint="eastAsia" w:ascii="仿宋_GB2312" w:hAnsi="宋体" w:eastAsia="仿宋_GB2312" w:cs="仿宋_GB2312"/>
          <w:color w:val="000000"/>
          <w:sz w:val="31"/>
          <w:szCs w:val="31"/>
          <w:shd w:val="clear" w:color="auto" w:fill="FFFFFF"/>
          <w:lang w:val="en-US" w:eastAsia="zh-CN"/>
        </w:rPr>
        <w:t>够</w:t>
      </w:r>
      <w:r>
        <w:rPr>
          <w:rFonts w:ascii="仿宋_GB2312" w:hAnsi="宋体" w:eastAsia="仿宋_GB2312" w:cs="仿宋_GB2312"/>
          <w:color w:val="000000"/>
          <w:sz w:val="31"/>
          <w:szCs w:val="31"/>
          <w:shd w:val="clear" w:color="auto" w:fill="FFFFFF"/>
        </w:rPr>
        <w:t>及时。</w:t>
      </w:r>
    </w:p>
    <w:p>
      <w:pPr>
        <w:widowControl/>
        <w:shd w:val="clear" w:color="auto" w:fill="FFFFFF"/>
        <w:spacing w:after="0" w:line="600" w:lineRule="exact"/>
        <w:ind w:firstLine="640" w:firstLineChars="200"/>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bidi="ar"/>
        </w:rPr>
        <w:t>2022年，</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仿宋_GB2312" w:eastAsia="仿宋_GB2312" w:cs="仿宋_GB2312"/>
          <w:color w:val="000000"/>
          <w:kern w:val="0"/>
          <w:sz w:val="32"/>
          <w:szCs w:val="32"/>
          <w:shd w:val="clear" w:color="auto" w:fill="FFFFFF"/>
          <w:lang w:bidi="ar"/>
        </w:rPr>
        <w:t>将按照工作部署的统一要求，进一步强化组织领导，完善公开制度，扎实加强载体建设，规范公开内容。重点做好以下工作：</w:t>
      </w:r>
      <w:r>
        <w:rPr>
          <w:rFonts w:hint="eastAsia" w:ascii="仿宋_GB2312" w:hAnsi="仿宋_GB2312" w:eastAsia="仿宋_GB2312" w:cs="仿宋_GB2312"/>
          <w:b/>
          <w:bCs/>
          <w:color w:val="000000"/>
          <w:kern w:val="0"/>
          <w:sz w:val="32"/>
          <w:szCs w:val="32"/>
          <w:shd w:val="clear" w:color="auto" w:fill="FFFFFF"/>
          <w:lang w:bidi="ar"/>
        </w:rPr>
        <w:t>一是</w:t>
      </w:r>
      <w:r>
        <w:rPr>
          <w:rFonts w:hint="eastAsia" w:ascii="仿宋_GB2312" w:hAnsi="仿宋_GB2312" w:eastAsia="仿宋_GB2312" w:cs="仿宋_GB2312"/>
          <w:color w:val="000000"/>
          <w:kern w:val="0"/>
          <w:sz w:val="32"/>
          <w:szCs w:val="32"/>
          <w:shd w:val="clear" w:color="auto" w:fill="FFFFFF"/>
          <w:lang w:bidi="ar"/>
        </w:rPr>
        <w:t>进一步加强领导，不断健全和完善政务公开制度，梳理所掌握的公开信息规范公开内容，提高公开质量，及时维护更新；</w:t>
      </w:r>
      <w:r>
        <w:rPr>
          <w:rFonts w:hint="eastAsia" w:ascii="仿宋_GB2312" w:hAnsi="仿宋_GB2312" w:eastAsia="仿宋_GB2312" w:cs="仿宋_GB2312"/>
          <w:b/>
          <w:bCs/>
          <w:color w:val="000000"/>
          <w:kern w:val="0"/>
          <w:sz w:val="32"/>
          <w:szCs w:val="32"/>
          <w:shd w:val="clear" w:color="auto" w:fill="FFFFFF"/>
          <w:lang w:bidi="ar"/>
        </w:rPr>
        <w:t>二是</w:t>
      </w:r>
      <w:r>
        <w:rPr>
          <w:rFonts w:hint="eastAsia" w:ascii="仿宋_GB2312" w:hAnsi="仿宋_GB2312" w:eastAsia="仿宋_GB2312" w:cs="仿宋_GB2312"/>
          <w:color w:val="000000"/>
          <w:kern w:val="0"/>
          <w:sz w:val="32"/>
          <w:szCs w:val="32"/>
          <w:shd w:val="clear" w:color="auto" w:fill="FFFFFF"/>
          <w:lang w:bidi="ar"/>
        </w:rPr>
        <w:t>进一步充实公开内容和形式，按照“以公开为原则，不公开为例外”的总体要求，完善信息公开目录，创新公开形式，确保政府信息公开工作稳步推进。</w:t>
      </w:r>
    </w:p>
    <w:p>
      <w:pPr>
        <w:keepNext w:val="0"/>
        <w:keepLines w:val="0"/>
        <w:pageBreakBefore w:val="0"/>
        <w:widowControl/>
        <w:kinsoku/>
        <w:wordWrap/>
        <w:overflowPunct/>
        <w:topLinePunct w:val="0"/>
        <w:autoSpaceDE/>
        <w:autoSpaceDN/>
        <w:bidi w:val="0"/>
        <w:adjustRightInd/>
        <w:snapToGrid/>
        <w:spacing w:after="0" w:line="60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六、其他需要报告的事项</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1</w:t>
      </w:r>
      <w:r>
        <w:rPr>
          <w:rFonts w:hint="eastAsia" w:ascii="仿宋_GB2312" w:eastAsia="仿宋_GB2312"/>
          <w:sz w:val="32"/>
          <w:szCs w:val="32"/>
          <w:highlight w:val="none"/>
          <w:lang w:val="en-US" w:eastAsia="zh-CN"/>
        </w:rPr>
        <w:t>.</w:t>
      </w:r>
      <w:r>
        <w:rPr>
          <w:rFonts w:hint="eastAsia" w:ascii="仿宋_GB2312" w:hAnsi="ÃƒÂ¥Ã‚Â¾Ã‚Â®ÃƒÂ¨Ã‚Â½Ã‚Â¯ÃƒÂ©Ã¢â" w:eastAsia="仿宋_GB2312" w:cs="仿宋_GB2312"/>
          <w:color w:val="000000"/>
          <w:sz w:val="32"/>
          <w:szCs w:val="32"/>
          <w:shd w:val="clear" w:color="auto" w:fill="FFFFFF"/>
          <w:lang w:val="en-US" w:eastAsia="zh-CN"/>
        </w:rPr>
        <w:t>无任何</w:t>
      </w:r>
      <w:r>
        <w:rPr>
          <w:rFonts w:ascii="仿宋_GB2312" w:eastAsia="仿宋_GB2312"/>
          <w:sz w:val="32"/>
          <w:szCs w:val="32"/>
          <w:highlight w:val="none"/>
        </w:rPr>
        <w:t>收取信息处理费</w:t>
      </w:r>
      <w:r>
        <w:rPr>
          <w:rFonts w:hint="eastAsia" w:ascii="仿宋_GB2312" w:eastAsia="仿宋_GB2312"/>
          <w:sz w:val="32"/>
          <w:szCs w:val="32"/>
          <w:highlight w:val="none"/>
          <w:lang w:val="en-US" w:eastAsia="zh-CN"/>
        </w:rPr>
        <w:t>等情况</w:t>
      </w:r>
      <w:r>
        <w:rPr>
          <w:rFonts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rPr>
      </w:pPr>
      <w:r>
        <w:rPr>
          <w:rFonts w:hint="eastAsia" w:ascii="仿宋_GB2312" w:eastAsia="仿宋_GB2312"/>
          <w:sz w:val="32"/>
          <w:szCs w:val="32"/>
          <w:highlight w:val="none"/>
        </w:rPr>
        <w:t>2</w:t>
      </w:r>
      <w:r>
        <w:rPr>
          <w:rFonts w:ascii="仿宋_GB2312" w:eastAsia="仿宋_GB2312"/>
          <w:sz w:val="32"/>
          <w:szCs w:val="32"/>
          <w:highlight w:val="none"/>
        </w:rPr>
        <w:t>.</w:t>
      </w:r>
      <w:r>
        <w:rPr>
          <w:rFonts w:ascii="仿宋_GB2312" w:hAnsi="宋体" w:eastAsia="仿宋_GB2312" w:cs="仿宋_GB2312"/>
          <w:color w:val="00000A"/>
          <w:sz w:val="32"/>
          <w:szCs w:val="32"/>
          <w:shd w:val="clear" w:color="auto" w:fill="FFFFFF"/>
        </w:rPr>
        <w:t>202</w:t>
      </w:r>
      <w:r>
        <w:rPr>
          <w:rFonts w:hint="eastAsia" w:ascii="仿宋_GB2312" w:hAnsi="宋体" w:eastAsia="仿宋_GB2312" w:cs="仿宋_GB2312"/>
          <w:color w:val="00000A"/>
          <w:sz w:val="32"/>
          <w:szCs w:val="32"/>
          <w:shd w:val="clear" w:color="auto" w:fill="FFFFFF"/>
        </w:rPr>
        <w:t>1</w:t>
      </w:r>
      <w:r>
        <w:rPr>
          <w:rFonts w:hint="eastAsia" w:ascii="仿宋_GB2312" w:hAnsi="宋体" w:eastAsia="仿宋_GB2312" w:cs="仿宋_GB2312"/>
          <w:color w:val="000000"/>
          <w:sz w:val="32"/>
          <w:szCs w:val="32"/>
          <w:shd w:val="clear" w:color="auto" w:fill="FFFFFF"/>
        </w:rPr>
        <w:t>年，</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国资局认真</w:t>
      </w:r>
      <w:r>
        <w:rPr>
          <w:rFonts w:hint="eastAsia" w:ascii="仿宋_GB2312" w:eastAsia="仿宋_GB2312"/>
          <w:sz w:val="32"/>
          <w:szCs w:val="32"/>
          <w:highlight w:val="none"/>
          <w:lang w:val="en-US" w:eastAsia="zh-CN"/>
        </w:rPr>
        <w:t>按照上级部门的工作任务、时间节点开展工作</w:t>
      </w:r>
      <w:r>
        <w:rPr>
          <w:rFonts w:ascii="仿宋_GB2312" w:eastAsia="仿宋_GB2312"/>
          <w:sz w:val="32"/>
          <w:szCs w:val="32"/>
          <w:highlight w:val="none"/>
        </w:rPr>
        <w:t>；</w:t>
      </w:r>
    </w:p>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仿宋_GB2312" w:eastAsia="仿宋_GB2312"/>
          <w:sz w:val="32"/>
          <w:szCs w:val="32"/>
          <w:highlight w:val="none"/>
        </w:rPr>
      </w:pPr>
      <w:r>
        <w:rPr>
          <w:rFonts w:ascii="仿宋_GB2312" w:eastAsia="仿宋_GB2312"/>
          <w:sz w:val="32"/>
          <w:szCs w:val="32"/>
          <w:highlight w:val="none"/>
        </w:rPr>
        <w:t>3.</w:t>
      </w:r>
      <w:r>
        <w:rPr>
          <w:rFonts w:ascii="仿宋_GB2312" w:hAnsi="宋体" w:eastAsia="仿宋_GB2312" w:cs="仿宋_GB2312"/>
          <w:color w:val="00000A"/>
          <w:sz w:val="32"/>
          <w:szCs w:val="32"/>
          <w:shd w:val="clear" w:color="auto" w:fill="FFFFFF"/>
        </w:rPr>
        <w:t>202</w:t>
      </w:r>
      <w:r>
        <w:rPr>
          <w:rFonts w:hint="eastAsia" w:ascii="仿宋_GB2312" w:hAnsi="宋体" w:eastAsia="仿宋_GB2312" w:cs="仿宋_GB2312"/>
          <w:color w:val="00000A"/>
          <w:sz w:val="32"/>
          <w:szCs w:val="32"/>
          <w:shd w:val="clear" w:color="auto" w:fill="FFFFFF"/>
        </w:rPr>
        <w:t>1</w:t>
      </w:r>
      <w:r>
        <w:rPr>
          <w:rFonts w:hint="eastAsia" w:ascii="仿宋_GB2312" w:hAnsi="宋体" w:eastAsia="仿宋_GB2312" w:cs="仿宋_GB2312"/>
          <w:color w:val="000000"/>
          <w:sz w:val="32"/>
          <w:szCs w:val="32"/>
          <w:shd w:val="clear" w:color="auto" w:fill="FFFFFF"/>
        </w:rPr>
        <w:t>年，</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hAnsi="宋体" w:eastAsia="仿宋_GB2312" w:cs="仿宋_GB2312"/>
          <w:color w:val="000000"/>
          <w:sz w:val="32"/>
          <w:szCs w:val="32"/>
          <w:shd w:val="clear" w:color="auto" w:fill="FFFFFF"/>
        </w:rPr>
        <w:t>未办理人大建议、政协提案</w:t>
      </w:r>
      <w:r>
        <w:rPr>
          <w:rFonts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4.</w:t>
      </w:r>
      <w:r>
        <w:rPr>
          <w:rFonts w:hint="eastAsia" w:ascii="仿宋_GB2312" w:eastAsia="仿宋_GB2312"/>
          <w:sz w:val="32"/>
          <w:szCs w:val="32"/>
          <w:highlight w:val="none"/>
          <w:lang w:val="en-US" w:eastAsia="zh-CN"/>
        </w:rPr>
        <w:t>2021年，</w:t>
      </w:r>
      <w:r>
        <w:rPr>
          <w:rFonts w:hint="eastAsia" w:ascii="仿宋_GB2312" w:hAnsi="ÃƒÂ¥Ã‚Â¾Ã‚Â®ÃƒÂ¨Ã‚Â½Ã‚Â¯ÃƒÂ©Ã¢â" w:eastAsia="仿宋_GB2312" w:cs="仿宋_GB2312"/>
          <w:color w:val="000000"/>
          <w:sz w:val="32"/>
          <w:szCs w:val="32"/>
          <w:shd w:val="clear" w:color="auto" w:fill="FFFFFF"/>
        </w:rPr>
        <w:t>滕州市</w:t>
      </w:r>
      <w:r>
        <w:rPr>
          <w:rFonts w:hint="eastAsia" w:ascii="仿宋_GB2312" w:hAnsi="ÃƒÂ¥Ã‚Â¾Ã‚Â®ÃƒÂ¨Ã‚Â½Ã‚Â¯ÃƒÂ©Ã¢â" w:eastAsia="仿宋_GB2312" w:cs="仿宋_GB2312"/>
          <w:color w:val="000000"/>
          <w:sz w:val="32"/>
          <w:szCs w:val="32"/>
          <w:shd w:val="clear" w:color="auto" w:fill="FFFFFF"/>
          <w:lang w:val="en-US" w:eastAsia="zh-CN"/>
        </w:rPr>
        <w:t>国资局</w:t>
      </w:r>
      <w:r>
        <w:rPr>
          <w:rFonts w:hint="eastAsia" w:ascii="仿宋_GB2312" w:eastAsia="仿宋_GB2312"/>
          <w:sz w:val="32"/>
          <w:szCs w:val="32"/>
          <w:highlight w:val="none"/>
          <w:lang w:val="en-US" w:eastAsia="zh-CN"/>
        </w:rPr>
        <w:t>采取线上线下相结合等方式，不断</w:t>
      </w:r>
      <w:r>
        <w:rPr>
          <w:rFonts w:hint="eastAsia" w:ascii="仿宋_GB2312" w:hAnsi="仿宋_GB2312" w:eastAsia="仿宋_GB2312" w:cs="仿宋_GB2312"/>
          <w:color w:val="000000"/>
          <w:kern w:val="0"/>
          <w:sz w:val="32"/>
          <w:szCs w:val="32"/>
          <w:shd w:val="clear" w:color="auto" w:fill="FFFFFF"/>
          <w:lang w:bidi="ar"/>
        </w:rPr>
        <w:t>创新公开形式，</w:t>
      </w:r>
      <w:r>
        <w:rPr>
          <w:rFonts w:hint="eastAsia" w:ascii="仿宋_GB2312" w:hAnsi="仿宋_GB2312" w:eastAsia="仿宋_GB2312" w:cs="仿宋_GB2312"/>
          <w:color w:val="000000"/>
          <w:kern w:val="0"/>
          <w:sz w:val="32"/>
          <w:szCs w:val="32"/>
          <w:shd w:val="clear" w:color="auto" w:fill="FFFFFF"/>
          <w:lang w:val="en-US" w:eastAsia="zh-CN" w:bidi="ar"/>
        </w:rPr>
        <w:t>完善公开目录，保障信息公开工作的完整性</w:t>
      </w:r>
      <w:r>
        <w:rPr>
          <w:rFonts w:ascii="仿宋_GB2312" w:eastAsia="仿宋_GB2312"/>
          <w:sz w:val="32"/>
          <w:szCs w:val="32"/>
          <w:highlight w:val="none"/>
        </w:rPr>
        <w:t>；</w:t>
      </w:r>
    </w:p>
    <w:p>
      <w:pPr>
        <w:keepNext w:val="0"/>
        <w:keepLines w:val="0"/>
        <w:pageBreakBefore w:val="0"/>
        <w:kinsoku/>
        <w:wordWrap/>
        <w:overflowPunct/>
        <w:topLinePunct w:val="0"/>
        <w:autoSpaceDE/>
        <w:autoSpaceDN/>
        <w:bidi w:val="0"/>
        <w:adjustRightInd/>
        <w:snapToGrid/>
        <w:spacing w:after="0" w:line="600" w:lineRule="exact"/>
        <w:ind w:firstLine="640" w:firstLineChars="200"/>
        <w:textAlignment w:val="auto"/>
        <w:rPr>
          <w:rFonts w:ascii="仿宋_GB2312" w:eastAsia="仿宋_GB2312"/>
          <w:sz w:val="32"/>
          <w:szCs w:val="32"/>
          <w:highlight w:val="none"/>
        </w:rPr>
      </w:pPr>
      <w:r>
        <w:rPr>
          <w:rFonts w:ascii="仿宋_GB2312" w:eastAsia="仿宋_GB2312"/>
          <w:sz w:val="32"/>
          <w:szCs w:val="32"/>
          <w:highlight w:val="none"/>
        </w:rPr>
        <w:t>5.</w:t>
      </w:r>
      <w:r>
        <w:rPr>
          <w:rFonts w:hint="eastAsia" w:ascii="仿宋_GB2312" w:eastAsia="仿宋_GB2312"/>
          <w:sz w:val="32"/>
          <w:szCs w:val="32"/>
          <w:highlight w:val="none"/>
          <w:lang w:val="en-US" w:eastAsia="zh-CN"/>
        </w:rPr>
        <w:t>无</w:t>
      </w:r>
      <w:r>
        <w:rPr>
          <w:rFonts w:ascii="仿宋_GB2312" w:eastAsia="仿宋_GB2312"/>
          <w:sz w:val="32"/>
          <w:szCs w:val="32"/>
          <w:highlight w:val="none"/>
        </w:rPr>
        <w:t>政府信息公开工作年度报告数据统计</w:t>
      </w:r>
      <w:r>
        <w:rPr>
          <w:rFonts w:hint="eastAsia" w:ascii="仿宋_GB2312" w:eastAsia="仿宋_GB2312"/>
          <w:sz w:val="32"/>
          <w:szCs w:val="32"/>
          <w:highlight w:val="none"/>
          <w:lang w:val="en-US" w:eastAsia="zh-CN"/>
        </w:rPr>
        <w:t>中</w:t>
      </w:r>
      <w:r>
        <w:rPr>
          <w:rFonts w:ascii="仿宋_GB2312" w:eastAsia="仿宋_GB2312"/>
          <w:sz w:val="32"/>
          <w:szCs w:val="32"/>
          <w:highlight w:val="none"/>
        </w:rPr>
        <w:t>需要说明的事项；</w:t>
      </w:r>
    </w:p>
    <w:p>
      <w:pPr>
        <w:ind w:firstLine="640" w:firstLineChars="200"/>
        <w:rPr>
          <w:rFonts w:hint="eastAsia" w:eastAsia="仿宋_GB2312"/>
          <w:lang w:eastAsia="zh-CN"/>
        </w:rPr>
      </w:pPr>
      <w:r>
        <w:rPr>
          <w:rFonts w:ascii="仿宋_GB2312" w:eastAsia="仿宋_GB2312"/>
          <w:sz w:val="32"/>
          <w:szCs w:val="32"/>
          <w:highlight w:val="none"/>
        </w:rPr>
        <w:t>6.</w:t>
      </w:r>
      <w:r>
        <w:rPr>
          <w:rFonts w:hint="eastAsia" w:ascii="仿宋_GB2312" w:hAnsi="ÃƒÂ¥Ã‚Â¾Ã‚Â®ÃƒÂ¨Ã‚Â½Ã‚Â¯ÃƒÂ©Ã¢â" w:eastAsia="仿宋_GB2312" w:cs="仿宋_GB2312"/>
          <w:color w:val="000000"/>
          <w:sz w:val="32"/>
          <w:szCs w:val="32"/>
          <w:shd w:val="clear" w:color="auto" w:fill="FFFFFF"/>
          <w:lang w:val="en-US" w:eastAsia="zh-CN"/>
        </w:rPr>
        <w:t>无</w:t>
      </w:r>
      <w:r>
        <w:rPr>
          <w:rFonts w:ascii="仿宋_GB2312" w:eastAsia="仿宋_GB2312"/>
          <w:sz w:val="32"/>
          <w:szCs w:val="32"/>
          <w:highlight w:val="none"/>
        </w:rPr>
        <w:t>其他</w:t>
      </w:r>
      <w:r>
        <w:rPr>
          <w:rFonts w:hint="eastAsia" w:ascii="仿宋_GB2312" w:eastAsia="仿宋_GB2312"/>
          <w:sz w:val="32"/>
          <w:szCs w:val="32"/>
          <w:highlight w:val="none"/>
          <w:lang w:val="en-US" w:eastAsia="zh-CN"/>
        </w:rPr>
        <w:t>需要报告</w:t>
      </w:r>
      <w:r>
        <w:rPr>
          <w:rFonts w:ascii="仿宋_GB2312" w:eastAsia="仿宋_GB2312"/>
          <w:sz w:val="32"/>
          <w:szCs w:val="32"/>
          <w:highlight w:val="none"/>
        </w:rPr>
        <w:t>事项</w:t>
      </w:r>
      <w:r>
        <w:rPr>
          <w:rFonts w:hint="eastAsia" w:ascii="仿宋_GB2312" w:eastAsia="仿宋_GB2312"/>
          <w:sz w:val="32"/>
          <w:szCs w:val="32"/>
          <w:highlight w:val="none"/>
          <w:lang w:eastAsia="zh-CN"/>
        </w:rPr>
        <w:t>。</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ÃƒÂ¥Ã‚Â¾Ã‚Â®ÃƒÂ¨Ã‚Â½Ã‚Â¯ÃƒÂ©Ã¢â">
    <w:altName w:val="Segoe Print"/>
    <w:panose1 w:val="00000000000000000000"/>
    <w:charset w:val="00"/>
    <w:family w:val="auto"/>
    <w:pitch w:val="default"/>
    <w:sig w:usb0="00000000" w:usb1="00000000" w:usb2="00000000" w:usb3="00000000" w:csb0="00040001" w:csb1="00000000"/>
  </w:font>
  <w:font w:name="Ã¥Â¾Â®Ã¨Â½Â¯Ã©â€ºâ€¦Ã©Â»â€˜">
    <w:altName w:val="Segoe Print"/>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30963"/>
    <w:rsid w:val="57C30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2022-01-19T08:53:00Z</dcterms:created>
  <dc:creator>Administrator</dc:creator>
  <cp:lastModifiedBy>Administrator</cp:lastModifiedBy>
  <cp:lastPrinted>2022-01-19T08:54:42Z</cp:lastPrinted>
  <dcterms:modified xsi:type="dcterms:W3CDTF">2022-01-19T08:58:57Z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0B0C1999D0D6455EAB74729F753233A9</vt:lpwstr>
  </property>
</Properties>
</file>