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2050" type="#_x0000_t64" style="position:absolute;left:0;text-align:left;margin-left:48pt;margin-top:-21pt;width:305.25pt;height:73.5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527839" w:rsidRPr="00527839" w:rsidRDefault="00527839" w:rsidP="00527839">
                  <w:pPr>
                    <w:jc w:val="center"/>
                    <w:rPr>
                      <w:rFonts w:ascii="黑体" w:eastAsia="黑体" w:hAnsi="黑体"/>
                      <w:sz w:val="44"/>
                      <w:szCs w:val="44"/>
                    </w:rPr>
                  </w:pPr>
                  <w:r w:rsidRPr="00527839">
                    <w:rPr>
                      <w:rFonts w:ascii="黑体" w:eastAsia="黑体" w:hAnsi="黑体" w:hint="eastAsia"/>
                      <w:sz w:val="44"/>
                      <w:szCs w:val="44"/>
                    </w:rPr>
                    <w:t>总体情况</w:t>
                  </w:r>
                </w:p>
              </w:txbxContent>
            </v:textbox>
          </v:shape>
        </w:pic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1729A4" w:rsidRPr="00E33276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微软雅黑" w:eastAsia="微软雅黑" w:hAnsi="微软雅黑" w:cs="Arial"/>
          <w:kern w:val="0"/>
          <w:sz w:val="24"/>
          <w:szCs w:val="24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 xml:space="preserve">2020年，湿地管委会高度重视政府信息公开工作，认真学习《中华人民共和国政府信息公开条例》和省、市政府信息公开工作会议精神，完善信息公开组织机构建设，遵循公开、公平、便民的原则，深化政府信息公开内容，规范政府信息公开程序，切实保障群众的知情权、参与权和监督权。 </w: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2051" type="#_x0000_t116" style="position:absolute;left:0;text-align:left;margin-left:69.75pt;margin-top:2.1pt;width:264pt;height:51.75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527839" w:rsidRPr="00527839" w:rsidRDefault="00527839" w:rsidP="00E33276">
                  <w:pPr>
                    <w:jc w:val="center"/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政府信息主动公开情况</w:t>
                  </w:r>
                </w:p>
              </w:txbxContent>
            </v:textbox>
          </v:shape>
        </w:pic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1729A4" w:rsidRPr="00E33276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微软雅黑" w:eastAsia="微软雅黑" w:hAnsi="微软雅黑" w:cs="Arial"/>
          <w:kern w:val="0"/>
          <w:sz w:val="32"/>
          <w:szCs w:val="32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pict>
          <v:shape id="_x0000_s2052" type="#_x0000_t116" style="position:absolute;left:0;text-align:left;margin-left:81.75pt;margin-top:159.95pt;width:264pt;height:51.75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527839" w:rsidRPr="00527839" w:rsidRDefault="00527839" w:rsidP="00E33276">
                  <w:pPr>
                    <w:jc w:val="center"/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政府信息</w:t>
                  </w:r>
                  <w:r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依申请</w:t>
                  </w: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公开情况</w:t>
                  </w:r>
                </w:p>
              </w:txbxContent>
            </v:textbox>
          </v:shape>
        </w:pict>
      </w:r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主动公开政府信息75条，其中概况信息4条、政策文件6条、规划计划1条、工作信息56条、行政权力运行公开3条、政策解读回应5条。同时，还利用滕州微山湖湿地景区</w:t>
      </w:r>
      <w:proofErr w:type="gramStart"/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微信公众号</w:t>
      </w:r>
      <w:proofErr w:type="gramEnd"/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 xml:space="preserve">对景区工作进行报道和公开，并及时做好便民咨询工作。 </w: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1729A4" w:rsidRPr="00E33276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微软雅黑" w:eastAsia="微软雅黑" w:hAnsi="微软雅黑" w:cs="Arial"/>
          <w:kern w:val="0"/>
          <w:sz w:val="32"/>
          <w:szCs w:val="32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 xml:space="preserve">微山湖湿地管委会本年度无政府信息依申请公开情况；无因政府信息公开申请提起行政复议、行政诉讼情况。 </w: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lastRenderedPageBreak/>
        <w:pict>
          <v:shape id="_x0000_s2053" type="#_x0000_t116" style="position:absolute;left:0;text-align:left;margin-left:66pt;margin-top:4.5pt;width:264pt;height:51.75pt;z-index:251661312" fillcolor="#9bbb59 [3206]" strokecolor="#f2f2f2 [3041]" strokeweight="3pt">
            <v:shadow on="t" type="perspective" color="#4e6128 [1606]" opacity=".5" offset="1pt" offset2="-1pt"/>
            <v:textbox>
              <w:txbxContent>
                <w:p w:rsidR="00527839" w:rsidRPr="00527839" w:rsidRDefault="00527839" w:rsidP="00E33276">
                  <w:pPr>
                    <w:jc w:val="center"/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政府信息</w:t>
                  </w:r>
                  <w:r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管理</w:t>
                  </w: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情况</w:t>
                  </w:r>
                </w:p>
              </w:txbxContent>
            </v:textbox>
          </v:shape>
        </w:pict>
      </w: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:rsidR="001729A4" w:rsidRPr="00E33276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微软雅黑" w:eastAsia="微软雅黑" w:hAnsi="微软雅黑" w:cs="Arial"/>
          <w:kern w:val="0"/>
          <w:sz w:val="32"/>
          <w:szCs w:val="32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形成“主要领导亲自抓、分管领导具体抓、各科室合力抓、专人负责抓落实”的工作机制，认真落实“决策、执行、管理、服务、结果公开”，将“五公开”纳入办文、办事和办会程序。及时上</w:t>
      </w:r>
      <w:proofErr w:type="gramStart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传工作</w:t>
      </w:r>
      <w:proofErr w:type="gramEnd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动态、避免出现空白栏目，扎实做好信息上</w:t>
      </w:r>
      <w:proofErr w:type="gramStart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传维护</w:t>
      </w:r>
      <w:proofErr w:type="gramEnd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工作并定期对公开内容进行严格把关和梳理。</w: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pict>
          <v:shape id="_x0000_s2054" type="#_x0000_t116" style="position:absolute;left:0;text-align:left;margin-left:81.75pt;margin-top:-3.9pt;width:264pt;height:51.75pt;z-index:251662336" fillcolor="#9bbb59 [3206]" strokecolor="#f2f2f2 [3041]" strokeweight="3pt">
            <v:shadow on="t" type="perspective" color="#4e6128 [1606]" opacity=".5" offset="1pt" offset2="-1pt"/>
            <v:textbox>
              <w:txbxContent>
                <w:p w:rsidR="00527839" w:rsidRPr="00527839" w:rsidRDefault="00527839" w:rsidP="00E33276">
                  <w:pPr>
                    <w:jc w:val="center"/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政府信息</w:t>
                  </w:r>
                  <w:r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平台建设</w:t>
                  </w: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情况</w:t>
                  </w:r>
                </w:p>
              </w:txbxContent>
            </v:textbox>
          </v:shape>
        </w:pic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1729A4" w:rsidRPr="00E33276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微软雅黑" w:eastAsia="微软雅黑" w:hAnsi="微软雅黑" w:cs="Arial"/>
          <w:kern w:val="0"/>
          <w:sz w:val="32"/>
          <w:szCs w:val="32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pict>
          <v:shape id="_x0000_s2055" type="#_x0000_t116" style="position:absolute;left:0;text-align:left;margin-left:87pt;margin-top:126.2pt;width:264pt;height:51.75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527839" w:rsidRPr="00527839" w:rsidRDefault="00527839" w:rsidP="00E33276">
                  <w:pPr>
                    <w:jc w:val="center"/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监督保障</w:t>
                  </w:r>
                  <w:r w:rsidRPr="00527839"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情况</w:t>
                  </w:r>
                </w:p>
              </w:txbxContent>
            </v:textbox>
          </v:shape>
        </w:pict>
      </w:r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 xml:space="preserve">加强网站内容建设，规范栏目设置，健全用户信息保护制度，强化信息搜索、办理服务功能，做好政务公开网站与滕州微山湖湿地管委会网站联动关系，做到多平台、多栏目、多渠道同步更新。 </w:t>
      </w:r>
    </w:p>
    <w:p w:rsidR="00527839" w:rsidRDefault="00527839" w:rsidP="00527839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1729A4" w:rsidRPr="001729A4" w:rsidRDefault="001729A4" w:rsidP="0052783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:rsidR="001729A4" w:rsidRPr="00E33276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微软雅黑" w:eastAsia="微软雅黑" w:hAnsi="微软雅黑" w:cs="Arial"/>
          <w:kern w:val="0"/>
          <w:sz w:val="32"/>
          <w:szCs w:val="32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做好信息公开和宣传经费保障工作，严格按照信息发布流程开展工作，本部门参与滕州市绩效考核指标体系，研究制定公开考核、评议、责任追究和监督检查办法，参加市级</w:t>
      </w: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lastRenderedPageBreak/>
        <w:t>信息公开培训，推进和规范政府信息公开工作。微山湖湿地管委会2020年度无违反规定和失泄密情况。</w: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pict>
          <v:shape id="_x0000_s2056" type="#_x0000_t116" style="position:absolute;left:0;text-align:left;margin-left:1in;margin-top:12.85pt;width:264pt;height:51.75pt;z-index:251664384" fillcolor="#9bbb59 [3206]" strokecolor="#f2f2f2 [3041]" strokeweight="3pt">
            <v:shadow on="t" type="perspective" color="#4e6128 [1606]" opacity=".5" offset="1pt" offset2="-1pt"/>
            <v:textbox>
              <w:txbxContent>
                <w:p w:rsidR="00527839" w:rsidRPr="00527839" w:rsidRDefault="00527839" w:rsidP="00E33276">
                  <w:pPr>
                    <w:jc w:val="center"/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</w:pPr>
                  <w:r>
                    <w:rPr>
                      <w:rFonts w:ascii="幼圆" w:eastAsia="幼圆" w:hint="eastAsia"/>
                      <w:b/>
                      <w:color w:val="943634" w:themeColor="accent2" w:themeShade="BF"/>
                      <w:sz w:val="32"/>
                      <w:szCs w:val="32"/>
                    </w:rPr>
                    <w:t>建议提案办理结果公开情况</w:t>
                  </w:r>
                </w:p>
              </w:txbxContent>
            </v:textbox>
          </v:shape>
        </w:pict>
      </w:r>
    </w:p>
    <w:p w:rsidR="00527839" w:rsidRDefault="00527839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1729A4" w:rsidRPr="001729A4" w:rsidRDefault="001729A4" w:rsidP="001729A4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滕州微山湖湿地管委会2020年度未办理建议提案。</w:t>
      </w: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 xml:space="preserve"> </w:t>
      </w:r>
    </w:p>
    <w:p w:rsidR="00527839" w:rsidRDefault="00431792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仿宋_GB2312" w:eastAsia="仿宋_GB2312" w:hAnsi="Arial" w:cs="Arial" w:hint="eastAsia"/>
          <w:b/>
          <w:bCs/>
          <w:kern w:val="0"/>
          <w:sz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pict>
          <v:roundrect id="_x0000_s2063" style="position:absolute;left:0;text-align:left;margin-left:93.75pt;margin-top:28pt;width:252.75pt;height:48pt;z-index:251670528" arcsize="10923f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  <v:textbox>
              <w:txbxContent>
                <w:p w:rsidR="00431792" w:rsidRPr="00E33276" w:rsidRDefault="00431792">
                  <w:pPr>
                    <w:rPr>
                      <w:rFonts w:ascii="幼圆" w:eastAsia="幼圆" w:hint="eastAsia"/>
                      <w:b/>
                      <w:sz w:val="32"/>
                      <w:szCs w:val="32"/>
                    </w:rPr>
                  </w:pPr>
                  <w:r w:rsidRPr="00E33276">
                    <w:rPr>
                      <w:rFonts w:ascii="幼圆" w:eastAsia="幼圆" w:hint="eastAsia"/>
                      <w:b/>
                      <w:sz w:val="32"/>
                      <w:szCs w:val="32"/>
                    </w:rPr>
                    <w:t>存在的主要问题及改进措施</w:t>
                  </w:r>
                </w:p>
              </w:txbxContent>
            </v:textbox>
          </v:roundrect>
        </w:pict>
      </w:r>
    </w:p>
    <w:p w:rsidR="00431792" w:rsidRDefault="00431792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E33276" w:rsidRDefault="00E33276" w:rsidP="00E33276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431792" w:rsidRDefault="00431792" w:rsidP="00E33276">
      <w:pPr>
        <w:widowControl/>
        <w:spacing w:before="100" w:beforeAutospacing="1" w:after="100" w:afterAutospacing="1" w:line="360" w:lineRule="atLeast"/>
        <w:jc w:val="left"/>
        <w:rPr>
          <w:rFonts w:ascii="仿宋_GB2312" w:eastAsia="仿宋_GB2312" w:hAnsi="Arial" w:cs="Arial" w:hint="eastAsia"/>
          <w:kern w:val="0"/>
          <w:sz w:val="32"/>
          <w:szCs w:val="32"/>
        </w:rPr>
      </w:pPr>
      <w:r>
        <w:rPr>
          <w:rFonts w:ascii="仿宋_GB2312" w:eastAsia="仿宋_GB2312" w:hAnsi="Arial" w:cs="Arial" w:hint="eastAsia"/>
          <w:noProof/>
          <w:kern w:val="0"/>
          <w:sz w:val="32"/>
          <w:szCs w:val="32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9" type="#_x0000_t15" style="position:absolute;margin-left:24.75pt;margin-top:-.35pt;width:144.75pt;height:41.25pt;z-index:251666432" fillcolor="#548dd4 [1951]">
            <v:textbox style="mso-next-textbox:#_x0000_s2059">
              <w:txbxContent>
                <w:p w:rsidR="00431792" w:rsidRPr="00431792" w:rsidRDefault="00431792" w:rsidP="00431792">
                  <w:pPr>
                    <w:jc w:val="center"/>
                    <w:rPr>
                      <w:rFonts w:ascii="黑体" w:eastAsia="黑体" w:hAnsi="黑体"/>
                      <w:color w:val="EAF1DD" w:themeColor="accent3" w:themeTint="33"/>
                      <w:sz w:val="32"/>
                      <w:szCs w:val="32"/>
                    </w:rPr>
                  </w:pPr>
                  <w:r w:rsidRPr="00431792">
                    <w:rPr>
                      <w:rFonts w:ascii="黑体" w:eastAsia="黑体" w:hAnsi="黑体" w:hint="eastAsia"/>
                      <w:color w:val="EAF1DD" w:themeColor="accent3" w:themeTint="33"/>
                      <w:sz w:val="32"/>
                      <w:szCs w:val="32"/>
                    </w:rPr>
                    <w:t>主要问题</w:t>
                  </w:r>
                </w:p>
              </w:txbxContent>
            </v:textbox>
          </v:shape>
        </w:pict>
      </w:r>
    </w:p>
    <w:p w:rsidR="00431792" w:rsidRPr="00E33276" w:rsidRDefault="00431792" w:rsidP="00E33276">
      <w:pPr>
        <w:widowControl/>
        <w:spacing w:before="100" w:beforeAutospacing="1" w:after="100" w:afterAutospacing="1" w:line="360" w:lineRule="atLeast"/>
        <w:ind w:firstLine="645"/>
        <w:jc w:val="left"/>
        <w:rPr>
          <w:rFonts w:ascii="微软雅黑" w:eastAsia="微软雅黑" w:hAnsi="微软雅黑" w:cs="Arial" w:hint="eastAsia"/>
          <w:kern w:val="0"/>
          <w:sz w:val="32"/>
          <w:szCs w:val="32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pict>
          <v:shape id="_x0000_s2060" type="#_x0000_t15" style="position:absolute;left:0;text-align:left;margin-left:24.75pt;margin-top:73.15pt;width:144.75pt;height:41.25pt;z-index:251667456" fillcolor="#548dd4 [1951]">
            <v:textbox>
              <w:txbxContent>
                <w:p w:rsidR="00431792" w:rsidRPr="00431792" w:rsidRDefault="00431792" w:rsidP="00431792">
                  <w:pPr>
                    <w:jc w:val="center"/>
                    <w:rPr>
                      <w:rFonts w:ascii="黑体" w:eastAsia="黑体" w:hAnsi="黑体"/>
                      <w:color w:val="EAF1DD" w:themeColor="accent3" w:themeTint="33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color w:val="EAF1DD" w:themeColor="accent3" w:themeTint="33"/>
                      <w:sz w:val="32"/>
                      <w:szCs w:val="32"/>
                    </w:rPr>
                    <w:t>改进措施</w:t>
                  </w:r>
                </w:p>
              </w:txbxContent>
            </v:textbox>
          </v:shape>
        </w:pict>
      </w:r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对信息公开重要性的认识有待提高；常态化管理有待加强；信息更新速度有待进一步提升。</w:t>
      </w:r>
    </w:p>
    <w:p w:rsidR="00431792" w:rsidRDefault="00431792" w:rsidP="00431792">
      <w:pPr>
        <w:rPr>
          <w:rFonts w:ascii="仿宋_GB2312" w:eastAsia="仿宋_GB2312" w:hAnsi="Arial" w:cs="Arial" w:hint="eastAsia"/>
          <w:kern w:val="0"/>
          <w:sz w:val="32"/>
          <w:szCs w:val="32"/>
        </w:rPr>
      </w:pPr>
    </w:p>
    <w:p w:rsidR="00431792" w:rsidRPr="00E33276" w:rsidRDefault="00431792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微软雅黑" w:eastAsia="微软雅黑" w:hAnsi="微软雅黑" w:cs="Arial" w:hint="eastAsia"/>
          <w:kern w:val="0"/>
          <w:sz w:val="32"/>
          <w:szCs w:val="32"/>
        </w:rPr>
      </w:pPr>
      <w:r w:rsidRPr="00431792">
        <w:rPr>
          <w:rFonts w:ascii="Malgun Gothic" w:eastAsia="Malgun Gothic" w:hAnsi="Malgun Gothic" w:cs="Arial" w:hint="eastAsia"/>
          <w:b/>
          <w:bCs/>
          <w:color w:val="00B050"/>
          <w:kern w:val="0"/>
          <w:sz w:val="32"/>
          <w:u w:val="single"/>
        </w:rPr>
        <w:t>01</w:t>
      </w:r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提高思想认识。加强宣传和培训，提高对政府信息公开工作的认识，严格按照相关条例和规定要求，努力做好政府信息公开工作。</w:t>
      </w:r>
    </w:p>
    <w:p w:rsidR="00431792" w:rsidRPr="00E33276" w:rsidRDefault="00431792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微软雅黑" w:eastAsia="微软雅黑" w:hAnsi="微软雅黑" w:cs="Arial" w:hint="eastAsia"/>
          <w:kern w:val="0"/>
          <w:sz w:val="32"/>
          <w:szCs w:val="32"/>
        </w:rPr>
      </w:pPr>
      <w:r w:rsidRPr="00431792">
        <w:rPr>
          <w:rFonts w:ascii="Malgun Gothic" w:eastAsia="Malgun Gothic" w:hAnsi="Malgun Gothic" w:cs="Arial" w:hint="eastAsia"/>
          <w:b/>
          <w:bCs/>
          <w:color w:val="00B050"/>
          <w:kern w:val="0"/>
          <w:sz w:val="32"/>
          <w:u w:val="single"/>
        </w:rPr>
        <w:lastRenderedPageBreak/>
        <w:t>0</w:t>
      </w:r>
      <w:r>
        <w:rPr>
          <w:rFonts w:ascii="Malgun Gothic" w:hAnsi="Malgun Gothic" w:cs="Arial" w:hint="eastAsia"/>
          <w:b/>
          <w:bCs/>
          <w:color w:val="00B050"/>
          <w:kern w:val="0"/>
          <w:sz w:val="32"/>
          <w:u w:val="single"/>
        </w:rPr>
        <w:t>2</w:t>
      </w:r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突出宣传重点。围绕“5A”级景区建设等方面的举措、成效，把握群众热点、难点问题，认真调查研究，改进工作措施，力争成功创建国家5A级景区。</w:t>
      </w:r>
    </w:p>
    <w:p w:rsidR="001729A4" w:rsidRPr="001729A4" w:rsidRDefault="00431792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Arial" w:eastAsia="宋体" w:hAnsi="Arial" w:cs="Arial"/>
          <w:kern w:val="0"/>
          <w:sz w:val="24"/>
          <w:szCs w:val="24"/>
        </w:rPr>
      </w:pPr>
      <w:r>
        <w:rPr>
          <w:rFonts w:ascii="仿宋_GB2312" w:eastAsia="仿宋_GB2312" w:hAnsi="Arial" w:cs="Arial" w:hint="eastAsia"/>
          <w:b/>
          <w:bCs/>
          <w:noProof/>
          <w:kern w:val="0"/>
          <w:sz w:val="32"/>
        </w:rPr>
        <w:pict>
          <v:roundrect id="_x0000_s2061" style="position:absolute;left:0;text-align:left;margin-left:123.75pt;margin-top:199.9pt;width:162.75pt;height:44.25pt;z-index:251668480" arcsize="10923f" fillcolor="#9bbb59 [3206]" strokecolor="#f2f2f2 [3041]" strokeweight="1pt">
            <v:fill color2="#4e6128 [1606]" angle="-135" focusposition="1" focussize="" focus="100%" type="gradient"/>
            <v:shadow on="t" type="perspective" color="#d6e3bc [1302]" opacity=".5" origin=",.5" offset="0,0" matrix=",-56756f,,.5"/>
            <v:textbox>
              <w:txbxContent>
                <w:p w:rsidR="00431792" w:rsidRPr="00431792" w:rsidRDefault="00431792" w:rsidP="00431792">
                  <w:pPr>
                    <w:jc w:val="center"/>
                    <w:rPr>
                      <w:rFonts w:ascii="幼圆" w:eastAsia="幼圆" w:hint="eastAsia"/>
                      <w:b/>
                      <w:sz w:val="44"/>
                      <w:szCs w:val="44"/>
                    </w:rPr>
                  </w:pPr>
                  <w:r w:rsidRPr="00431792">
                    <w:rPr>
                      <w:rFonts w:ascii="幼圆" w:eastAsia="幼圆" w:hint="eastAsia"/>
                      <w:b/>
                      <w:sz w:val="44"/>
                      <w:szCs w:val="44"/>
                    </w:rPr>
                    <w:t>其他事项</w:t>
                  </w:r>
                </w:p>
              </w:txbxContent>
            </v:textbox>
          </v:roundrect>
        </w:pict>
      </w:r>
      <w:r w:rsidRPr="00431792">
        <w:rPr>
          <w:rFonts w:ascii="Malgun Gothic" w:eastAsia="Malgun Gothic" w:hAnsi="Malgun Gothic" w:cs="Arial" w:hint="eastAsia"/>
          <w:b/>
          <w:bCs/>
          <w:color w:val="00B050"/>
          <w:kern w:val="0"/>
          <w:sz w:val="32"/>
          <w:u w:val="single"/>
        </w:rPr>
        <w:t>0</w:t>
      </w:r>
      <w:r>
        <w:rPr>
          <w:rFonts w:ascii="Malgun Gothic" w:hAnsi="Malgun Gothic" w:cs="Arial" w:hint="eastAsia"/>
          <w:b/>
          <w:bCs/>
          <w:color w:val="00B050"/>
          <w:kern w:val="0"/>
          <w:sz w:val="32"/>
          <w:u w:val="single"/>
        </w:rPr>
        <w:t>3</w:t>
      </w:r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强化信息时效。积极参与收集提供信息，加强对政府信息公开工作监督，提高管理和服务水平，对政府信息进行系统深入的梳理和分类，加快信息撰写、审查、发布速度，拓宽公开渠道、创新公开方法、丰富公开形式，对重大事件公开报道</w:t>
      </w:r>
      <w:proofErr w:type="gramStart"/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不</w:t>
      </w:r>
      <w:proofErr w:type="gramEnd"/>
      <w:r w:rsidR="001729A4"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 xml:space="preserve">滞后，力争做到为群众提供更加方便快捷的信息公开服务。 </w:t>
      </w:r>
    </w:p>
    <w:p w:rsidR="00431792" w:rsidRDefault="00431792" w:rsidP="001729A4">
      <w:pPr>
        <w:widowControl/>
        <w:spacing w:before="100" w:beforeAutospacing="1" w:after="100" w:afterAutospacing="1" w:line="360" w:lineRule="atLeast"/>
        <w:ind w:firstLine="420"/>
        <w:jc w:val="left"/>
        <w:rPr>
          <w:rFonts w:ascii="仿宋_GB2312" w:eastAsia="仿宋_GB2312" w:hAnsi="Arial" w:cs="Arial" w:hint="eastAsia"/>
          <w:b/>
          <w:bCs/>
          <w:kern w:val="0"/>
          <w:sz w:val="32"/>
        </w:rPr>
      </w:pPr>
    </w:p>
    <w:p w:rsidR="001729A4" w:rsidRPr="00E33276" w:rsidRDefault="001729A4" w:rsidP="00E33276">
      <w:pPr>
        <w:widowControl/>
        <w:spacing w:before="100" w:beforeAutospacing="1" w:after="100" w:afterAutospacing="1" w:line="360" w:lineRule="atLeast"/>
        <w:ind w:firstLineChars="200" w:firstLine="640"/>
        <w:jc w:val="left"/>
        <w:rPr>
          <w:rFonts w:ascii="微软雅黑" w:eastAsia="微软雅黑" w:hAnsi="微软雅黑" w:cs="Arial"/>
          <w:kern w:val="0"/>
          <w:sz w:val="32"/>
          <w:szCs w:val="32"/>
        </w:rPr>
      </w:pPr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如对本报告有任何疑问，请与滕州微山湖湿地管委会联系（地址：滕州市</w:t>
      </w:r>
      <w:proofErr w:type="gramStart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滨湖镇</w:t>
      </w:r>
      <w:proofErr w:type="gramEnd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经济开发区，电话：0632-2610567；电子邮箱：</w:t>
      </w:r>
      <w:proofErr w:type="spellStart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>weishanhushidi</w:t>
      </w:r>
      <w:proofErr w:type="spellEnd"/>
      <w:r w:rsidRPr="00E33276">
        <w:rPr>
          <w:rFonts w:ascii="微软雅黑" w:eastAsia="微软雅黑" w:hAnsi="微软雅黑" w:cs="Arial" w:hint="eastAsia"/>
          <w:kern w:val="0"/>
          <w:sz w:val="32"/>
          <w:szCs w:val="32"/>
        </w:rPr>
        <w:t xml:space="preserve">＠163.com）。 </w:t>
      </w:r>
    </w:p>
    <w:p w:rsidR="001729A4" w:rsidRPr="001729A4" w:rsidRDefault="001729A4" w:rsidP="00431792">
      <w:pPr>
        <w:widowControl/>
        <w:spacing w:before="100" w:beforeAutospacing="1" w:after="100" w:afterAutospacing="1" w:line="360" w:lineRule="atLeast"/>
        <w:ind w:right="645"/>
        <w:jc w:val="left"/>
        <w:rPr>
          <w:rFonts w:ascii="Arial" w:eastAsia="宋体" w:hAnsi="Arial" w:cs="Arial"/>
          <w:kern w:val="0"/>
          <w:sz w:val="24"/>
          <w:szCs w:val="24"/>
        </w:rPr>
      </w:pPr>
      <w:r w:rsidRPr="001729A4">
        <w:rPr>
          <w:rFonts w:ascii="仿宋_GB2312" w:eastAsia="仿宋_GB2312" w:hAnsi="Arial" w:cs="Arial" w:hint="eastAsia"/>
          <w:kern w:val="0"/>
          <w:sz w:val="32"/>
          <w:szCs w:val="32"/>
        </w:rPr>
        <w:t> </w:t>
      </w:r>
    </w:p>
    <w:p w:rsidR="00EA0B78" w:rsidRDefault="00EA0B78"/>
    <w:sectPr w:rsidR="00EA0B78" w:rsidSect="00EA0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E13" w:rsidRDefault="002B0E13" w:rsidP="001729A4">
      <w:r>
        <w:separator/>
      </w:r>
    </w:p>
  </w:endnote>
  <w:endnote w:type="continuationSeparator" w:id="0">
    <w:p w:rsidR="002B0E13" w:rsidRDefault="002B0E13" w:rsidP="00172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E13" w:rsidRDefault="002B0E13" w:rsidP="001729A4">
      <w:r>
        <w:separator/>
      </w:r>
    </w:p>
  </w:footnote>
  <w:footnote w:type="continuationSeparator" w:id="0">
    <w:p w:rsidR="002B0E13" w:rsidRDefault="002B0E13" w:rsidP="001729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>
      <o:colormenu v:ext="edit" fillcolor="none [195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9A4"/>
    <w:rsid w:val="001411DC"/>
    <w:rsid w:val="001729A4"/>
    <w:rsid w:val="002B0E13"/>
    <w:rsid w:val="00431792"/>
    <w:rsid w:val="00527839"/>
    <w:rsid w:val="00DC4DDA"/>
    <w:rsid w:val="00E33276"/>
    <w:rsid w:val="00EA0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1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9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9A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729A4"/>
    <w:pPr>
      <w:widowControl/>
      <w:spacing w:before="100" w:beforeAutospacing="1" w:after="100" w:afterAutospacing="1" w:line="36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1729A4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4317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317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2021-05-27T03:43:00Z</dcterms:created>
  <dcterms:modified xsi:type="dcterms:W3CDTF">2021-05-27T04:11:00Z</dcterms:modified>
</cp:coreProperties>
</file>