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滕州市人力资源和社会保障局</w:t>
      </w:r>
    </w:p>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2020年政府信息公开工作年度报告</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中华人民共和国政府信息公开条例》、《国务院办公厅政府信息与政务公开办公室关于政府信息公开工作年度报告有关事项的通知》（国办公开办函〔2020〕60号）和《山东省政府信息公开办法》以及枣庄、滕州有关文件要求，结合我局实际，编制并向社会公布滕州市人力资源和社会保障局（以下简称市人社局）2020年政府信息公开工作年度报告。本年度报告中所列数据的统计期限自2020年1月1日起，至2020年12月31日止。</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一、总体情况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市人社局按照市委、市政府的统一部署，认真贯彻落实《中华人民共和国政府信息公开条例》和省、市关于政府信息公开工作的要求，紧扣本单位的工作实际，加强门户网站、政务新媒体信息公开力度，优化政务服务机制，提高工作效率，不断提升政府信息公开工作力度和实效，政府信息公开水平实现新的突破。</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（一）政府信息主动公开情况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市人社局始终坚持“以公开为常态、不公开为例外”的原则，从聚焦中心工作加强信息公开、聚焦“六稳”“六保”工作加强政策解读回应等方面，持续深化人社领域政府信息公开，通过市政府信息公开专栏、局门户网站、微信公众号等多种渠道，主动做好政府信息主动公开工作。截止2020年12月31日，主动公开政府信息667条。其中，通过市政府信息公开专栏主动公开政府信息259条，通过局网站主动公开政府信息314条，通过微信公众号主动公开政府信息94条。</w:t>
      </w:r>
    </w:p>
    <w:p>
      <w:pPr>
        <w:rPr>
          <w:rFonts w:hint="eastAsia" w:ascii="仿宋" w:hAnsi="仿宋" w:eastAsia="仿宋" w:cs="仿宋"/>
          <w:sz w:val="32"/>
          <w:szCs w:val="32"/>
        </w:rPr>
      </w:pPr>
      <w:r>
        <w:rPr>
          <w:rFonts w:hint="eastAsia" w:ascii="仿宋" w:hAnsi="仿宋" w:eastAsia="仿宋" w:cs="仿宋"/>
          <w:color w:val="333333"/>
          <w:sz w:val="32"/>
          <w:szCs w:val="32"/>
          <w:shd w:val="clear" w:color="auto" w:fill="FFFFFF"/>
          <w:lang w:eastAsia="zh-CN"/>
        </w:rPr>
        <w:drawing>
          <wp:inline distT="0" distB="0" distL="114300" distR="114300">
            <wp:extent cx="5269865" cy="3534410"/>
            <wp:effectExtent l="0" t="0" r="6985" b="8890"/>
            <wp:docPr id="2" name="图片 2" descr="16214137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621413744(1)"/>
                    <pic:cNvPicPr>
                      <a:picLocks noChangeAspect="1"/>
                    </pic:cNvPicPr>
                  </pic:nvPicPr>
                  <pic:blipFill>
                    <a:blip r:embed="rId4"/>
                    <a:stretch>
                      <a:fillRect/>
                    </a:stretch>
                  </pic:blipFill>
                  <pic:spPr>
                    <a:xfrm>
                      <a:off x="0" y="0"/>
                      <a:ext cx="5269865" cy="3534410"/>
                    </a:xfrm>
                    <a:prstGeom prst="rect">
                      <a:avLst/>
                    </a:prstGeom>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及时公开机构概况。根据《中华人民共和国政府信息公开条例》第二十条第（二）款要求，及时更新机关职能、机构设置、办公地址、办公时间、联系方式等，并在市政府信息公开专栏和局机关网站公布。</w:t>
      </w:r>
    </w:p>
    <w:p>
      <w:pPr>
        <w:rPr>
          <w:rFonts w:hint="eastAsia" w:ascii="仿宋" w:hAnsi="仿宋" w:eastAsia="仿宋" w:cs="仿宋"/>
          <w:sz w:val="32"/>
          <w:szCs w:val="32"/>
        </w:rPr>
      </w:pPr>
      <w:r>
        <w:rPr>
          <w:sz w:val="32"/>
          <w:szCs w:val="32"/>
        </w:rPr>
        <w:drawing>
          <wp:inline distT="0" distB="0" distL="114300" distR="114300">
            <wp:extent cx="5264785" cy="1826260"/>
            <wp:effectExtent l="0" t="0" r="12065" b="2540"/>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tretch>
                      <a:fillRect/>
                    </a:stretch>
                  </pic:blipFill>
                  <pic:spPr>
                    <a:xfrm>
                      <a:off x="0" y="0"/>
                      <a:ext cx="5264785" cy="1826260"/>
                    </a:xfrm>
                    <a:prstGeom prst="rect">
                      <a:avLst/>
                    </a:prstGeom>
                    <a:noFill/>
                    <a:ln>
                      <a:noFill/>
                    </a:ln>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及时公开社保、就业领域信息。根据《中华人民共和国政府信息公开条例》第二十条第（十一）款要求，结合滕州市实际，及时公开发布稳岗就业、社会保障等方面的经办流程、政策制度等，细化公开内容，让公众看得懂。</w:t>
      </w:r>
    </w:p>
    <w:p>
      <w:pPr>
        <w:rPr>
          <w:rFonts w:hint="eastAsia" w:ascii="仿宋" w:hAnsi="仿宋" w:eastAsia="仿宋" w:cs="仿宋"/>
          <w:sz w:val="32"/>
          <w:szCs w:val="32"/>
        </w:rPr>
      </w:pPr>
      <w:r>
        <w:rPr>
          <w:sz w:val="32"/>
          <w:szCs w:val="32"/>
        </w:rPr>
        <w:drawing>
          <wp:inline distT="0" distB="0" distL="114300" distR="114300">
            <wp:extent cx="5271770" cy="3362325"/>
            <wp:effectExtent l="0" t="0" r="5080" b="9525"/>
            <wp:docPr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pic:cNvPicPr>
                      <a:picLocks noChangeAspect="1"/>
                    </pic:cNvPicPr>
                  </pic:nvPicPr>
                  <pic:blipFill>
                    <a:blip r:embed="rId6"/>
                    <a:stretch>
                      <a:fillRect/>
                    </a:stretch>
                  </pic:blipFill>
                  <pic:spPr>
                    <a:xfrm>
                      <a:off x="0" y="0"/>
                      <a:ext cx="5271770" cy="3362325"/>
                    </a:xfrm>
                    <a:prstGeom prst="rect">
                      <a:avLst/>
                    </a:prstGeom>
                    <a:noFill/>
                    <a:ln>
                      <a:noFill/>
                    </a:ln>
                  </pic:spPr>
                </pic:pic>
              </a:graphicData>
            </a:graphic>
          </wp:inline>
        </w:drawing>
      </w:r>
    </w:p>
    <w:p>
      <w:pPr>
        <w:ind w:firstLine="640" w:firstLineChars="200"/>
        <w:rPr>
          <w:rFonts w:hint="eastAsia" w:ascii="仿宋" w:hAnsi="仿宋" w:eastAsia="仿宋" w:cs="仿宋"/>
          <w:sz w:val="32"/>
          <w:szCs w:val="32"/>
        </w:rPr>
      </w:pPr>
      <w:r>
        <w:rPr>
          <w:rFonts w:hint="eastAsia" w:ascii="仿宋" w:hAnsi="仿宋" w:eastAsia="仿宋" w:cs="仿宋"/>
          <w:sz w:val="32"/>
          <w:szCs w:val="32"/>
        </w:rPr>
        <w:t>3</w:t>
      </w:r>
      <w:r>
        <w:rPr>
          <w:rFonts w:hint="eastAsia" w:ascii="仿宋" w:hAnsi="仿宋" w:eastAsia="仿宋" w:cs="仿宋"/>
          <w:sz w:val="32"/>
          <w:szCs w:val="32"/>
          <w:lang w:eastAsia="zh-CN"/>
        </w:rPr>
        <w:t>、</w:t>
      </w:r>
      <w:r>
        <w:rPr>
          <w:rFonts w:hint="eastAsia" w:ascii="仿宋" w:hAnsi="仿宋" w:eastAsia="仿宋" w:cs="仿宋"/>
          <w:sz w:val="32"/>
          <w:szCs w:val="32"/>
        </w:rPr>
        <w:t>推进行政权力运行公开。一是动态公开政府工作报告进展情况。对政府工作报告中的人社重点工作和民生实事项目，建立工作台账，在政府信息公开专栏主动公开，方便社会公众知晓。二是公开行政执法信息。公开行政执法主体、服务指南、行政处罚事项目录等，公布行政执法流程图，及时公示行政执法结果信息。三是公开“双随机、一公开”监管信息。制定2020年“双随机、一公开”监管随机抽查事项清单，拟定年度抽查计划，及时公开抽查结果信息。</w:t>
      </w:r>
    </w:p>
    <w:p>
      <w:pPr>
        <w:rPr>
          <w:rFonts w:hint="eastAsia" w:ascii="仿宋" w:hAnsi="仿宋" w:eastAsia="仿宋" w:cs="仿宋"/>
          <w:sz w:val="32"/>
          <w:szCs w:val="32"/>
        </w:rPr>
      </w:pPr>
      <w:r>
        <w:drawing>
          <wp:inline distT="0" distB="0" distL="114300" distR="114300">
            <wp:extent cx="5272405" cy="3295650"/>
            <wp:effectExtent l="0" t="0" r="4445" b="0"/>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pic:cNvPicPr>
                  </pic:nvPicPr>
                  <pic:blipFill>
                    <a:blip r:embed="rId7"/>
                    <a:stretch>
                      <a:fillRect/>
                    </a:stretch>
                  </pic:blipFill>
                  <pic:spPr>
                    <a:xfrm>
                      <a:off x="0" y="0"/>
                      <a:ext cx="5272405" cy="3295650"/>
                    </a:xfrm>
                    <a:prstGeom prst="rect">
                      <a:avLst/>
                    </a:prstGeom>
                    <a:noFill/>
                    <a:ln>
                      <a:noFill/>
                    </a:ln>
                  </pic:spPr>
                </pic:pic>
              </a:graphicData>
            </a:graphic>
          </wp:inline>
        </w:drawing>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（二）政府信息依申请公开情况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1</w:t>
      </w:r>
      <w:r>
        <w:rPr>
          <w:rFonts w:hint="eastAsia" w:ascii="仿宋" w:hAnsi="仿宋" w:eastAsia="仿宋" w:cs="仿宋"/>
          <w:sz w:val="32"/>
          <w:szCs w:val="32"/>
          <w:lang w:eastAsia="zh-CN"/>
        </w:rPr>
        <w:t>、</w:t>
      </w:r>
      <w:r>
        <w:rPr>
          <w:rFonts w:hint="eastAsia" w:ascii="仿宋" w:hAnsi="仿宋" w:eastAsia="仿宋" w:cs="仿宋"/>
          <w:sz w:val="32"/>
          <w:szCs w:val="32"/>
        </w:rPr>
        <w:t>公开概况。2020年，滕州市人社局共受理7件政府信息公开申请，结转上年政府信息公开申请1件，均为自然人提交。</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w:t>
      </w:r>
      <w:r>
        <w:rPr>
          <w:rFonts w:hint="eastAsia" w:ascii="仿宋" w:hAnsi="仿宋" w:eastAsia="仿宋" w:cs="仿宋"/>
          <w:sz w:val="32"/>
          <w:szCs w:val="32"/>
          <w:lang w:eastAsia="zh-CN"/>
        </w:rPr>
        <w:t>、</w:t>
      </w:r>
      <w:r>
        <w:rPr>
          <w:rFonts w:hint="eastAsia" w:ascii="仿宋" w:hAnsi="仿宋" w:eastAsia="仿宋" w:cs="仿宋"/>
          <w:sz w:val="32"/>
          <w:szCs w:val="32"/>
        </w:rPr>
        <w:t>处理情况。共答复政府信息公开申请8件，按时办结8件，按时办结率100%。其中，予以公开2件，不予公开1件，本机关不掌握相关政府信息的5件。</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（三）建议提案办理公开情况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度未办理人大建议，办理政协提案17个，主要涉及人才队伍建设、农民工权益维护等方面。市人社局按照政协提案办理要求，加强组织领导，强化工作措施，规范办理程序，圆满完成了各项提案办理工作，实现办复率、面复率和满意率3个100％，得到了政协委员们的普遍认可和高度评价，取得了良好成效。</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（四）政府信息管理情况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全面梳理了门户网站政务公开目录，收集、整理各类政务公开信息，并确定政府门户网站上的政务公开目录，按照目录要求收集公开信息并在网上公开。同时，严格遵循“谁公开、谁审查、谁负责”原则，确保了政务信息公开工作扎实有效开展。健全完善信息公开保密审查制度，提高政府信息公开工作的规范化水平。</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（五）政府信息平台建设情况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结合自身实际情况，从制度建设入手，完善政府信息公开制度，明确政府信息公开的职责、范围、方式和操作流程。将信息公开的内容和速率作为信息公开工作的核心，安排人员负责公开信息的编辑、审核与发布。同时积极构建微信公众号等新媒体宣传工作新格局，先后策划推出社保网上办理指南、社保卡办卡进度查询、养老金发放查询、招聘求职等特色栏目，极大的方便了参保群众。“滕州市人社局”微信公众号关注量达到25.4万人，总阅读量244.1万人次，单篇平均阅读量5300人次。</w:t>
      </w:r>
    </w:p>
    <w:p>
      <w:pPr>
        <w:ind w:firstLine="640" w:firstLineChars="200"/>
        <w:rPr>
          <w:rFonts w:hint="eastAsia" w:ascii="楷体" w:hAnsi="楷体" w:eastAsia="楷体" w:cs="楷体"/>
          <w:sz w:val="32"/>
          <w:szCs w:val="32"/>
        </w:rPr>
      </w:pPr>
      <w:r>
        <w:rPr>
          <w:rFonts w:hint="eastAsia" w:ascii="楷体" w:hAnsi="楷体" w:eastAsia="楷体" w:cs="楷体"/>
          <w:sz w:val="32"/>
          <w:szCs w:val="32"/>
        </w:rPr>
        <w:t>（六）监督保障情况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根据全市政府信息公开工作统一部署和要求，进一步强化信息公开工作的组织领导，加强了由主要领导任组长，分管领导任副组长，有关科室负责人为成员。同时依托局信息中心，由局信息中心人员兼职负责政府信息公开工作的开展，协调和落实。</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2020年，市人社局未发生因政府信息公开审查不当或保密审查机构未履行保密审查职责而引起的失泄密情况。2020年度未进行社会评议，未发生责任追究情况。</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二、主动公开政府信息情况</w:t>
      </w:r>
    </w:p>
    <w:tbl>
      <w:tblPr>
        <w:tblStyle w:val="2"/>
        <w:tblW w:w="8640" w:type="dxa"/>
        <w:jc w:val="center"/>
        <w:tblLayout w:type="fixed"/>
        <w:tblCellMar>
          <w:top w:w="0" w:type="dxa"/>
          <w:left w:w="0" w:type="dxa"/>
          <w:bottom w:w="0" w:type="dxa"/>
          <w:right w:w="0" w:type="dxa"/>
        </w:tblCellMar>
      </w:tblPr>
      <w:tblGrid>
        <w:gridCol w:w="2847"/>
        <w:gridCol w:w="2165"/>
        <w:gridCol w:w="1630"/>
        <w:gridCol w:w="1998"/>
      </w:tblGrid>
      <w:tr>
        <w:tblPrEx>
          <w:tblCellMar>
            <w:top w:w="0" w:type="dxa"/>
            <w:left w:w="0" w:type="dxa"/>
            <w:bottom w:w="0" w:type="dxa"/>
            <w:right w:w="0" w:type="dxa"/>
          </w:tblCellMar>
        </w:tblPrEx>
        <w:trPr>
          <w:trHeight w:val="506" w:hRule="atLeast"/>
          <w:jc w:val="center"/>
        </w:trPr>
        <w:tc>
          <w:tcPr>
            <w:tcW w:w="8640"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第二十条第（一）项</w:t>
            </w:r>
          </w:p>
        </w:tc>
      </w:tr>
      <w:tr>
        <w:tblPrEx>
          <w:tblCellMar>
            <w:top w:w="0" w:type="dxa"/>
            <w:left w:w="0" w:type="dxa"/>
            <w:bottom w:w="0" w:type="dxa"/>
            <w:right w:w="0" w:type="dxa"/>
          </w:tblCellMar>
        </w:tblPrEx>
        <w:trPr>
          <w:trHeight w:val="886"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本年新</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kern w:val="0"/>
                <w:sz w:val="24"/>
                <w:szCs w:val="24"/>
              </w:rPr>
              <w:t>制作数量</w:t>
            </w:r>
          </w:p>
        </w:tc>
        <w:tc>
          <w:tcPr>
            <w:tcW w:w="1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本年新</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kern w:val="0"/>
                <w:sz w:val="24"/>
                <w:szCs w:val="24"/>
              </w:rPr>
              <w:t>公开数量</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对外公开总数量</w:t>
            </w:r>
          </w:p>
        </w:tc>
      </w:tr>
      <w:tr>
        <w:tblPrEx>
          <w:tblCellMar>
            <w:top w:w="0" w:type="dxa"/>
            <w:left w:w="0" w:type="dxa"/>
            <w:bottom w:w="0" w:type="dxa"/>
            <w:right w:w="0" w:type="dxa"/>
          </w:tblCellMar>
        </w:tblPrEx>
        <w:trPr>
          <w:trHeight w:val="534"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规章</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83"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规范性文件</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92"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第二十条第（五）项</w:t>
            </w:r>
          </w:p>
        </w:tc>
      </w:tr>
      <w:tr>
        <w:tblPrEx>
          <w:tblCellMar>
            <w:top w:w="0" w:type="dxa"/>
            <w:left w:w="0" w:type="dxa"/>
            <w:bottom w:w="0" w:type="dxa"/>
            <w:right w:w="0" w:type="dxa"/>
          </w:tblCellMar>
        </w:tblPrEx>
        <w:trPr>
          <w:trHeight w:val="643"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上一年项目数量</w:t>
            </w:r>
          </w:p>
        </w:tc>
        <w:tc>
          <w:tcPr>
            <w:tcW w:w="1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本年增/减</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处理决定数量</w:t>
            </w:r>
          </w:p>
        </w:tc>
      </w:tr>
      <w:tr>
        <w:tblPrEx>
          <w:tblCellMar>
            <w:top w:w="0" w:type="dxa"/>
            <w:left w:w="0" w:type="dxa"/>
            <w:bottom w:w="0" w:type="dxa"/>
            <w:right w:w="0" w:type="dxa"/>
          </w:tblCellMar>
        </w:tblPrEx>
        <w:trPr>
          <w:trHeight w:val="539"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行政许可</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560"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其他对外管理服务事项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19"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第二十条第（六）项</w:t>
            </w:r>
          </w:p>
        </w:tc>
      </w:tr>
      <w:tr>
        <w:tblPrEx>
          <w:tblCellMar>
            <w:top w:w="0" w:type="dxa"/>
            <w:left w:w="0" w:type="dxa"/>
            <w:bottom w:w="0" w:type="dxa"/>
            <w:right w:w="0" w:type="dxa"/>
          </w:tblCellMar>
        </w:tblPrEx>
        <w:trPr>
          <w:trHeight w:val="643"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上一年项目数量</w:t>
            </w:r>
          </w:p>
        </w:tc>
        <w:tc>
          <w:tcPr>
            <w:tcW w:w="163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本年增/减</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处理决定数量</w:t>
            </w:r>
          </w:p>
        </w:tc>
      </w:tr>
      <w:tr>
        <w:tblPrEx>
          <w:tblCellMar>
            <w:top w:w="0" w:type="dxa"/>
            <w:left w:w="0" w:type="dxa"/>
            <w:bottom w:w="0" w:type="dxa"/>
            <w:right w:w="0" w:type="dxa"/>
          </w:tblCellMar>
        </w:tblPrEx>
        <w:trPr>
          <w:trHeight w:val="442"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行政处罚</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9</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-3</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22"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行政强制</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630"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1998"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486"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第二十条第（八）项</w:t>
            </w:r>
          </w:p>
        </w:tc>
      </w:tr>
      <w:tr>
        <w:tblPrEx>
          <w:tblCellMar>
            <w:top w:w="0" w:type="dxa"/>
            <w:left w:w="0" w:type="dxa"/>
            <w:bottom w:w="0" w:type="dxa"/>
            <w:right w:w="0" w:type="dxa"/>
          </w:tblCellMar>
        </w:tblPrEx>
        <w:trPr>
          <w:trHeight w:val="327"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上一年项目数量</w:t>
            </w:r>
          </w:p>
        </w:tc>
        <w:tc>
          <w:tcPr>
            <w:tcW w:w="362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本年增/减</w:t>
            </w:r>
          </w:p>
        </w:tc>
      </w:tr>
      <w:tr>
        <w:tblPrEx>
          <w:tblCellMar>
            <w:top w:w="0" w:type="dxa"/>
            <w:left w:w="0" w:type="dxa"/>
            <w:bottom w:w="0" w:type="dxa"/>
            <w:right w:w="0" w:type="dxa"/>
          </w:tblCellMar>
        </w:tblPrEx>
        <w:trPr>
          <w:trHeight w:val="561"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行政事业性收费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w:t>
            </w:r>
          </w:p>
        </w:tc>
        <w:tc>
          <w:tcPr>
            <w:tcW w:w="362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r>
      <w:tr>
        <w:tblPrEx>
          <w:tblCellMar>
            <w:top w:w="0" w:type="dxa"/>
            <w:left w:w="0" w:type="dxa"/>
            <w:bottom w:w="0" w:type="dxa"/>
            <w:right w:w="0" w:type="dxa"/>
          </w:tblCellMar>
        </w:tblPrEx>
        <w:trPr>
          <w:trHeight w:val="488" w:hRule="atLeast"/>
          <w:jc w:val="center"/>
        </w:trPr>
        <w:tc>
          <w:tcPr>
            <w:tcW w:w="8640"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第二十条第（九）项</w:t>
            </w:r>
          </w:p>
        </w:tc>
      </w:tr>
      <w:tr>
        <w:tblPrEx>
          <w:tblCellMar>
            <w:top w:w="0" w:type="dxa"/>
            <w:left w:w="0" w:type="dxa"/>
            <w:bottom w:w="0" w:type="dxa"/>
            <w:right w:w="0" w:type="dxa"/>
          </w:tblCellMar>
        </w:tblPrEx>
        <w:trPr>
          <w:trHeight w:val="595"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信息内容</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采购项目数量</w:t>
            </w:r>
          </w:p>
        </w:tc>
        <w:tc>
          <w:tcPr>
            <w:tcW w:w="3628"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采购总金额</w:t>
            </w:r>
          </w:p>
        </w:tc>
      </w:tr>
      <w:tr>
        <w:tblPrEx>
          <w:tblCellMar>
            <w:top w:w="0" w:type="dxa"/>
            <w:left w:w="0" w:type="dxa"/>
            <w:bottom w:w="0" w:type="dxa"/>
            <w:right w:w="0" w:type="dxa"/>
          </w:tblCellMar>
        </w:tblPrEx>
        <w:trPr>
          <w:trHeight w:val="569" w:hRule="atLeast"/>
          <w:jc w:val="center"/>
        </w:trPr>
        <w:tc>
          <w:tcPr>
            <w:tcW w:w="2847"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政府集中采购</w:t>
            </w:r>
          </w:p>
        </w:tc>
        <w:tc>
          <w:tcPr>
            <w:tcW w:w="21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0</w:t>
            </w:r>
          </w:p>
        </w:tc>
        <w:tc>
          <w:tcPr>
            <w:tcW w:w="3628"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2"/>
        <w:tblW w:w="9135" w:type="dxa"/>
        <w:jc w:val="center"/>
        <w:tblLayout w:type="autofit"/>
        <w:tblCellMar>
          <w:top w:w="0" w:type="dxa"/>
          <w:left w:w="0" w:type="dxa"/>
          <w:bottom w:w="0" w:type="dxa"/>
          <w:right w:w="0" w:type="dxa"/>
        </w:tblCellMar>
      </w:tblPr>
      <w:tblGrid>
        <w:gridCol w:w="696"/>
        <w:gridCol w:w="936"/>
        <w:gridCol w:w="2184"/>
        <w:gridCol w:w="714"/>
        <w:gridCol w:w="741"/>
        <w:gridCol w:w="741"/>
        <w:gridCol w:w="860"/>
        <w:gridCol w:w="881"/>
        <w:gridCol w:w="699"/>
        <w:gridCol w:w="683"/>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7</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7</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2</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2</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1</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5</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cstheme="minorEastAsia"/>
                <w:kern w:val="0"/>
                <w:sz w:val="24"/>
                <w:szCs w:val="24"/>
                <w:lang w:val="en-US" w:eastAsia="zh-CN"/>
              </w:rPr>
              <w:t>5</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8</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复议后起诉</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hint="eastAsia" w:asciiTheme="minorEastAsia" w:hAnsiTheme="minorEastAsia" w:eastAsiaTheme="minorEastAsia" w:cstheme="minorEastAsia"/>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color w:val="000000"/>
                <w:kern w:val="0"/>
                <w:sz w:val="24"/>
                <w:szCs w:val="24"/>
              </w:rPr>
              <w:t>总计</w:t>
            </w:r>
          </w:p>
        </w:tc>
      </w:tr>
      <w:tr>
        <w:tblPrEx>
          <w:tblCellMar>
            <w:top w:w="0" w:type="dxa"/>
            <w:left w:w="0" w:type="dxa"/>
            <w:bottom w:w="0" w:type="dxa"/>
            <w:right w:w="0" w:type="dxa"/>
          </w:tblCellMar>
        </w:tblPrEx>
        <w:trPr>
          <w:trHeight w:val="942"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0</w:t>
            </w:r>
          </w:p>
        </w:tc>
      </w:tr>
    </w:tbl>
    <w:p>
      <w:pPr>
        <w:ind w:firstLine="640" w:firstLineChars="200"/>
        <w:rPr>
          <w:rFonts w:hint="eastAsia" w:ascii="黑体" w:hAnsi="黑体" w:eastAsia="黑体" w:cs="黑体"/>
          <w:sz w:val="32"/>
          <w:szCs w:val="32"/>
        </w:rPr>
      </w:pPr>
      <w:r>
        <w:rPr>
          <w:rFonts w:hint="eastAsia" w:ascii="黑体" w:hAnsi="黑体" w:eastAsia="黑体" w:cs="黑体"/>
          <w:sz w:val="32"/>
          <w:szCs w:val="32"/>
        </w:rPr>
        <w:t>五、存在的主要问题及改进情况</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我局2020年信息公开工作还存在一些问题，有待进一步提高。一是信息动态公开发布不够及时；二是政务公开工作规范性有待加强；三是政务公开工作力量薄弱。</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下一步，我局将采取以下措施加以改进：</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一是加大信息公开力度。</w:t>
      </w:r>
      <w:r>
        <w:rPr>
          <w:rFonts w:hint="eastAsia" w:ascii="仿宋" w:hAnsi="仿宋" w:eastAsia="仿宋" w:cs="仿宋"/>
          <w:sz w:val="32"/>
          <w:szCs w:val="32"/>
        </w:rPr>
        <w:t>积极建立主动公开文件台账，定期核对、定期通报主动公开情况，确保“应公开尽公开”。同时提高政务信息发布的实效性，及时发布相关政务公开信息。</w:t>
      </w:r>
      <w:bookmarkStart w:id="0" w:name="_GoBack"/>
      <w:bookmarkEnd w:id="0"/>
    </w:p>
    <w:p>
      <w:pPr>
        <w:ind w:firstLine="640" w:firstLineChars="200"/>
        <w:rPr>
          <w:rFonts w:hint="eastAsia" w:ascii="仿宋" w:hAnsi="仿宋" w:eastAsia="仿宋" w:cs="仿宋"/>
          <w:sz w:val="32"/>
          <w:szCs w:val="32"/>
        </w:rPr>
      </w:pPr>
      <w:r>
        <w:rPr>
          <w:rFonts w:hint="eastAsia" w:ascii="楷体" w:hAnsi="楷体" w:eastAsia="楷体" w:cs="楷体"/>
          <w:sz w:val="32"/>
          <w:szCs w:val="32"/>
        </w:rPr>
        <w:t>二是规范依信息公开制度。</w:t>
      </w:r>
      <w:r>
        <w:rPr>
          <w:rFonts w:hint="eastAsia" w:ascii="仿宋" w:hAnsi="仿宋" w:eastAsia="仿宋" w:cs="仿宋"/>
          <w:sz w:val="32"/>
          <w:szCs w:val="32"/>
        </w:rPr>
        <w:t>进一步完善信息公开制度建设，建立健全信息公开工作长效机制，把政务信息公开工作作为长期的动态工作落到实处，确保公开信息的及时性、准确性和有效性；</w:t>
      </w:r>
    </w:p>
    <w:p>
      <w:pPr>
        <w:ind w:firstLine="640" w:firstLineChars="200"/>
        <w:rPr>
          <w:rFonts w:hint="eastAsia" w:ascii="仿宋" w:hAnsi="仿宋" w:eastAsia="仿宋" w:cs="仿宋"/>
          <w:sz w:val="32"/>
          <w:szCs w:val="32"/>
        </w:rPr>
      </w:pPr>
      <w:r>
        <w:rPr>
          <w:rFonts w:hint="eastAsia" w:ascii="楷体" w:hAnsi="楷体" w:eastAsia="楷体" w:cs="楷体"/>
          <w:sz w:val="32"/>
          <w:szCs w:val="32"/>
        </w:rPr>
        <w:t>三是加强信息队伍建设。</w:t>
      </w:r>
      <w:r>
        <w:rPr>
          <w:rFonts w:hint="eastAsia" w:ascii="仿宋" w:hAnsi="仿宋" w:eastAsia="仿宋" w:cs="仿宋"/>
          <w:sz w:val="32"/>
          <w:szCs w:val="32"/>
        </w:rPr>
        <w:t>积极参加上级组织的政务公开工作培训班，组织召开人社系统信息工作和政务公开工作座谈会，及时传达培训班精神和有关政务公开知识，提高政务工作者的业务能力和实际操作能力，规范操作程序，提高信息公开的工作水平。</w:t>
      </w:r>
    </w:p>
    <w:p>
      <w:pPr>
        <w:ind w:firstLine="640" w:firstLineChars="200"/>
        <w:rPr>
          <w:rFonts w:hint="eastAsia" w:ascii="黑体" w:hAnsi="黑体" w:eastAsia="黑体" w:cs="黑体"/>
          <w:sz w:val="32"/>
          <w:szCs w:val="32"/>
        </w:rPr>
      </w:pPr>
      <w:r>
        <w:rPr>
          <w:rFonts w:hint="eastAsia" w:ascii="黑体" w:hAnsi="黑体" w:eastAsia="黑体" w:cs="黑体"/>
          <w:sz w:val="32"/>
          <w:szCs w:val="32"/>
        </w:rPr>
        <w:t>六、其他需要报告的事项</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本报告的电子版可在“中国滕州网”（www.tengzhou.gov.cn）网站查询和下载。如对本报告有任何疑问，请与滕州市人力资源和社会保障局信息中心联系。（地址：山东省滕州市学院中路1066号人社局506房间，联系电话：0632—5516297，电子邮箱：tzrsjxxzx@zz.shandong.cn）</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滕州市人力资源和社会保障局</w:t>
      </w:r>
    </w:p>
    <w:p>
      <w:p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　　　　　　　　　　　　　</w:t>
      </w:r>
      <w:r>
        <w:rPr>
          <w:rFonts w:hint="eastAsia" w:ascii="仿宋" w:hAnsi="仿宋" w:eastAsia="仿宋" w:cs="仿宋"/>
          <w:sz w:val="32"/>
          <w:szCs w:val="32"/>
        </w:rPr>
        <w:t>2021年1月29日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67CED"/>
    <w:rsid w:val="04F67CED"/>
    <w:rsid w:val="06BF51D2"/>
    <w:rsid w:val="5E4F2D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3200</Words>
  <Characters>3343</Characters>
  <Lines>0</Lines>
  <Paragraphs>0</Paragraphs>
  <TotalTime>57</TotalTime>
  <ScaleCrop>false</ScaleCrop>
  <LinksUpToDate>false</LinksUpToDate>
  <CharactersWithSpaces>3366</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2021-05-19T08:45:00Z</dcterms:created>
  <dc:creator>甘波</dc:creator>
  <cp:lastModifiedBy>甘波</cp:lastModifiedBy>
  <dcterms:modified xsi:type="dcterms:W3CDTF">2021-05-24T02:07:58Z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