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right"/>
        <w:textAlignment w:val="auto"/>
        <w:rPr>
          <w:rFonts w:hint="eastAsia" w:ascii="方正小标宋简体" w:hAnsi="方正小标宋简体" w:eastAsia="方正小标宋简体" w:cs="方正小标宋简体"/>
          <w:color w:val="auto"/>
          <w:kern w:val="2"/>
          <w:sz w:val="44"/>
          <w:szCs w:val="44"/>
          <w:lang w:val="en-US" w:eastAsia="zh-CN" w:bidi="ar-SA"/>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滕州市人民政府办公室2020年政府信息公开工作年度报告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按照《中华人民共和国政府信息公开条例》和《国务院办公厅政府信息与政务公开办公室关于政府信息公开工作年度报告有关事项的通知》（国办公开办函〔</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〕60号）</w:t>
      </w:r>
      <w:r>
        <w:rPr>
          <w:rFonts w:hint="eastAsia" w:ascii="仿宋_GB2312" w:eastAsia="仿宋_GB2312" w:cstheme="minorBidi"/>
          <w:kern w:val="2"/>
          <w:sz w:val="32"/>
          <w:szCs w:val="32"/>
          <w:lang w:val="en-US" w:eastAsia="zh-CN" w:bidi="ar-SA"/>
        </w:rPr>
        <w:t>以及</w:t>
      </w:r>
      <w:r>
        <w:rPr>
          <w:rFonts w:hint="eastAsia" w:ascii="仿宋_GB2312" w:eastAsia="仿宋_GB2312" w:hAnsiTheme="minorHAnsi" w:cstheme="minorBidi"/>
          <w:kern w:val="2"/>
          <w:sz w:val="32"/>
          <w:szCs w:val="32"/>
          <w:lang w:val="en-US" w:eastAsia="zh-CN" w:bidi="ar-SA"/>
        </w:rPr>
        <w:t>有关文件要求，</w:t>
      </w:r>
      <w:r>
        <w:rPr>
          <w:rFonts w:hint="eastAsia" w:ascii="仿宋_GB2312" w:eastAsia="仿宋_GB2312" w:cstheme="minorBidi"/>
          <w:kern w:val="2"/>
          <w:sz w:val="32"/>
          <w:szCs w:val="32"/>
          <w:lang w:val="en-US" w:eastAsia="zh-CN" w:bidi="ar-SA"/>
        </w:rPr>
        <w:t>结合</w:t>
      </w:r>
      <w:r>
        <w:rPr>
          <w:rFonts w:hint="eastAsia" w:ascii="仿宋_GB2312" w:eastAsia="仿宋_GB2312" w:hAnsiTheme="minorHAnsi" w:cstheme="minorBidi"/>
          <w:kern w:val="2"/>
          <w:sz w:val="32"/>
          <w:szCs w:val="32"/>
          <w:lang w:val="en-US" w:eastAsia="zh-CN" w:bidi="ar-SA"/>
        </w:rPr>
        <w:t xml:space="preserve">滕州市人民政府办公室2020年度信息公开工作实际，编制了本报告。报告主要内容包括：主动公开政府信息情况、依申请公开政府信息情况、建议提案办理公开情况、政府信息公开工作存在的主要问题及改进情况等。现向社会公开滕州市人民政府办公室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年政府信息公开工作年度报告。本报告所列数据的统计时限自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年 1 月 1 日起至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 年 12 月 31 日止。</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i w:val="0"/>
          <w:caps w:val="0"/>
          <w:color w:val="333333"/>
          <w:spacing w:val="0"/>
          <w:sz w:val="32"/>
          <w:szCs w:val="32"/>
          <w:u w:val="none"/>
        </w:rPr>
      </w:pPr>
      <w:r>
        <w:rPr>
          <w:rFonts w:hint="eastAsia" w:ascii="仿宋_GB2312" w:eastAsia="仿宋_GB2312" w:hAnsiTheme="minorHAnsi" w:cstheme="minorBidi"/>
          <w:kern w:val="2"/>
          <w:sz w:val="32"/>
          <w:szCs w:val="32"/>
          <w:lang w:val="en-US" w:eastAsia="zh-CN" w:bidi="ar-SA"/>
        </w:rPr>
        <w:t>2020年以来，在</w:t>
      </w:r>
      <w:r>
        <w:rPr>
          <w:rFonts w:hint="eastAsia" w:ascii="仿宋_GB2312" w:eastAsia="仿宋_GB2312" w:cstheme="minorBidi"/>
          <w:kern w:val="2"/>
          <w:sz w:val="32"/>
          <w:szCs w:val="32"/>
          <w:lang w:val="en-US" w:eastAsia="zh-CN" w:bidi="ar-SA"/>
        </w:rPr>
        <w:t>滕州</w:t>
      </w:r>
      <w:r>
        <w:rPr>
          <w:rFonts w:hint="eastAsia" w:ascii="仿宋_GB2312" w:eastAsia="仿宋_GB2312" w:hAnsiTheme="minorHAnsi" w:cstheme="minorBidi"/>
          <w:kern w:val="2"/>
          <w:sz w:val="32"/>
          <w:szCs w:val="32"/>
          <w:lang w:val="en-US" w:eastAsia="zh-CN" w:bidi="ar-SA"/>
        </w:rPr>
        <w:t>市委、市政府的正确领导下，</w:t>
      </w:r>
      <w:r>
        <w:rPr>
          <w:rFonts w:hint="eastAsia" w:ascii="仿宋_GB2312" w:eastAsia="仿宋_GB2312" w:cstheme="minorBidi"/>
          <w:kern w:val="2"/>
          <w:sz w:val="32"/>
          <w:szCs w:val="32"/>
          <w:lang w:val="en-US" w:eastAsia="zh-CN" w:bidi="ar-SA"/>
        </w:rPr>
        <w:t>政府</w:t>
      </w:r>
      <w:r>
        <w:rPr>
          <w:rFonts w:hint="eastAsia" w:ascii="仿宋_GB2312" w:eastAsia="仿宋_GB2312" w:hAnsiTheme="minorHAnsi" w:cstheme="minorBidi"/>
          <w:kern w:val="2"/>
          <w:sz w:val="32"/>
          <w:szCs w:val="32"/>
          <w:lang w:val="en-US" w:eastAsia="zh-CN" w:bidi="ar-SA"/>
        </w:rPr>
        <w:t>办公室认真贯彻落实上级关于全面深化政务公开的有关部署，准确把握新时代政务公开工作的职责定位和面临的新形势，全面提升政务公开质量和实效，力促让公开成为自觉，让透明成为常态，有效保障了公民的知情权</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努力打造法治政府、创新政府、廉洁政府和服务型政府</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主动公开政府信息情况。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2020</w:t>
      </w:r>
      <w:r>
        <w:rPr>
          <w:rFonts w:hint="eastAsia" w:ascii="仿宋_GB2312" w:eastAsia="仿宋_GB2312" w:hAnsiTheme="minorHAnsi" w:cstheme="minorBidi"/>
          <w:kern w:val="2"/>
          <w:sz w:val="32"/>
          <w:szCs w:val="32"/>
          <w:highlight w:val="none"/>
          <w:lang w:val="en-US" w:eastAsia="zh-CN" w:bidi="ar-SA"/>
        </w:rPr>
        <w:t>年，</w:t>
      </w:r>
      <w:r>
        <w:rPr>
          <w:rFonts w:hint="eastAsia" w:ascii="仿宋_GB2312" w:eastAsia="仿宋_GB2312" w:cstheme="minorBidi"/>
          <w:kern w:val="2"/>
          <w:sz w:val="32"/>
          <w:szCs w:val="32"/>
          <w:highlight w:val="none"/>
          <w:lang w:val="en-US" w:eastAsia="zh-CN" w:bidi="ar-SA"/>
        </w:rPr>
        <w:t>政府办公室</w:t>
      </w:r>
      <w:r>
        <w:rPr>
          <w:rFonts w:hint="eastAsia" w:ascii="仿宋_GB2312" w:eastAsia="仿宋_GB2312" w:hAnsiTheme="minorHAnsi" w:cstheme="minorBidi"/>
          <w:kern w:val="2"/>
          <w:sz w:val="32"/>
          <w:szCs w:val="32"/>
          <w:highlight w:val="none"/>
          <w:lang w:val="en-US" w:eastAsia="zh-CN" w:bidi="ar-SA"/>
        </w:rPr>
        <w:t>主动公开基本信息共</w:t>
      </w:r>
      <w:r>
        <w:rPr>
          <w:rFonts w:hint="eastAsia" w:ascii="仿宋_GB2312" w:eastAsia="仿宋_GB2312" w:cstheme="minorBidi"/>
          <w:kern w:val="2"/>
          <w:sz w:val="32"/>
          <w:szCs w:val="32"/>
          <w:highlight w:val="none"/>
          <w:lang w:val="en-US" w:eastAsia="zh-CN" w:bidi="ar-SA"/>
        </w:rPr>
        <w:t>566</w:t>
      </w:r>
      <w:r>
        <w:rPr>
          <w:rFonts w:hint="eastAsia" w:ascii="仿宋_GB2312" w:eastAsia="仿宋_GB2312" w:hAnsiTheme="minorHAnsi" w:cstheme="minorBidi"/>
          <w:kern w:val="2"/>
          <w:sz w:val="32"/>
          <w:szCs w:val="32"/>
          <w:highlight w:val="none"/>
          <w:lang w:val="en-US" w:eastAsia="zh-CN" w:bidi="ar-SA"/>
        </w:rPr>
        <w:t>条。其中，概况信息类</w:t>
      </w:r>
      <w:r>
        <w:rPr>
          <w:rFonts w:hint="eastAsia" w:ascii="仿宋_GB2312" w:eastAsia="仿宋_GB2312" w:cstheme="minorBidi"/>
          <w:kern w:val="2"/>
          <w:sz w:val="32"/>
          <w:szCs w:val="32"/>
          <w:highlight w:val="none"/>
          <w:lang w:val="en-US" w:eastAsia="zh-CN" w:bidi="ar-SA"/>
        </w:rPr>
        <w:t>4</w:t>
      </w:r>
      <w:r>
        <w:rPr>
          <w:rFonts w:hint="eastAsia" w:ascii="仿宋_GB2312" w:eastAsia="仿宋_GB2312" w:hAnsiTheme="minorHAnsi" w:cstheme="minorBidi"/>
          <w:kern w:val="2"/>
          <w:sz w:val="32"/>
          <w:szCs w:val="32"/>
          <w:highlight w:val="none"/>
          <w:lang w:val="en-US" w:eastAsia="zh-CN" w:bidi="ar-SA"/>
        </w:rPr>
        <w:t>条，占总数的0.7</w:t>
      </w:r>
      <w:r>
        <w:rPr>
          <w:rFonts w:hint="eastAsia" w:ascii="仿宋_GB2312" w:eastAsia="仿宋_GB2312"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%；人事</w:t>
      </w:r>
      <w:r>
        <w:rPr>
          <w:rFonts w:hint="eastAsia" w:ascii="仿宋_GB2312" w:eastAsia="仿宋_GB2312" w:cstheme="minorBidi"/>
          <w:kern w:val="2"/>
          <w:sz w:val="32"/>
          <w:szCs w:val="32"/>
          <w:highlight w:val="none"/>
          <w:lang w:val="en-US" w:eastAsia="zh-CN" w:bidi="ar-SA"/>
        </w:rPr>
        <w:t>任免类19</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3.36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政策文件类51条，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9.02</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政府工作报告1条，占总数0.</w:t>
      </w:r>
      <w:r>
        <w:rPr>
          <w:rFonts w:hint="eastAsia" w:ascii="仿宋_GB2312" w:eastAsia="仿宋_GB2312" w:cstheme="minorBidi"/>
          <w:kern w:val="2"/>
          <w:sz w:val="32"/>
          <w:szCs w:val="32"/>
          <w:highlight w:val="none"/>
          <w:lang w:val="en-US" w:eastAsia="zh-CN" w:bidi="ar-SA"/>
        </w:rPr>
        <w:t>18</w:t>
      </w:r>
      <w:r>
        <w:rPr>
          <w:rFonts w:hint="eastAsia" w:ascii="仿宋_GB2312" w:eastAsia="仿宋_GB2312" w:hAnsiTheme="minorHAnsi" w:cstheme="minorBidi"/>
          <w:kern w:val="2"/>
          <w:sz w:val="32"/>
          <w:szCs w:val="32"/>
          <w:highlight w:val="none"/>
          <w:lang w:val="en-US" w:eastAsia="zh-CN" w:bidi="ar-SA"/>
        </w:rPr>
        <w:t>%；会议</w:t>
      </w:r>
      <w:r>
        <w:rPr>
          <w:rFonts w:hint="eastAsia" w:ascii="仿宋_GB2312" w:eastAsia="仿宋_GB2312" w:cstheme="minorBidi"/>
          <w:kern w:val="2"/>
          <w:sz w:val="32"/>
          <w:szCs w:val="32"/>
          <w:highlight w:val="none"/>
          <w:lang w:val="en-US" w:eastAsia="zh-CN" w:bidi="ar-SA"/>
        </w:rPr>
        <w:t>公开类17</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3.00</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政策解读类</w:t>
      </w:r>
      <w:r>
        <w:rPr>
          <w:rFonts w:hint="eastAsia" w:ascii="仿宋_GB2312" w:eastAsia="仿宋_GB2312" w:cstheme="minorBidi"/>
          <w:kern w:val="2"/>
          <w:sz w:val="32"/>
          <w:szCs w:val="32"/>
          <w:highlight w:val="none"/>
          <w:lang w:val="en-US" w:eastAsia="zh-CN" w:bidi="ar-SA"/>
        </w:rPr>
        <w:t>76</w:t>
      </w:r>
      <w:r>
        <w:rPr>
          <w:rFonts w:hint="eastAsia" w:ascii="仿宋_GB2312" w:eastAsia="仿宋_GB2312" w:hAnsiTheme="minorHAnsi" w:cstheme="minorBidi"/>
          <w:kern w:val="2"/>
          <w:sz w:val="32"/>
          <w:szCs w:val="32"/>
          <w:highlight w:val="none"/>
          <w:lang w:val="en-US" w:eastAsia="zh-CN" w:bidi="ar-SA"/>
        </w:rPr>
        <w:t>条，占总数</w:t>
      </w:r>
      <w:r>
        <w:rPr>
          <w:rFonts w:hint="eastAsia" w:ascii="仿宋_GB2312" w:eastAsia="仿宋_GB2312" w:cstheme="minorBidi"/>
          <w:kern w:val="2"/>
          <w:sz w:val="32"/>
          <w:szCs w:val="32"/>
          <w:highlight w:val="none"/>
          <w:lang w:val="en-US" w:eastAsia="zh-CN" w:bidi="ar-SA"/>
        </w:rPr>
        <w:t>的13.43</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政务公开机制保障类23</w:t>
      </w:r>
      <w:r>
        <w:rPr>
          <w:rFonts w:hint="eastAsia" w:ascii="仿宋_GB2312" w:eastAsia="仿宋_GB2312" w:hAnsiTheme="minorHAnsi" w:cstheme="minorBidi"/>
          <w:kern w:val="2"/>
          <w:sz w:val="32"/>
          <w:szCs w:val="32"/>
          <w:highlight w:val="none"/>
          <w:lang w:val="en-US" w:eastAsia="zh-CN" w:bidi="ar-SA"/>
        </w:rPr>
        <w:t>条，占总数</w:t>
      </w:r>
      <w:r>
        <w:rPr>
          <w:rFonts w:hint="eastAsia" w:ascii="仿宋_GB2312" w:eastAsia="仿宋_GB2312" w:cstheme="minorBidi"/>
          <w:kern w:val="2"/>
          <w:sz w:val="32"/>
          <w:szCs w:val="32"/>
          <w:highlight w:val="none"/>
          <w:lang w:val="en-US" w:eastAsia="zh-CN" w:bidi="ar-SA"/>
        </w:rPr>
        <w:t>的4.06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。公共企事业单位类23条，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的4.06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各领域基层政务公开标准目录类26条，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4.59</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；重点领域类53条，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9.36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 行政权力运行类17条，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3.00</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 xml:space="preserve">； 市政府和政府办公室主动公开目录2条， </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0.35</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；另外因政府公报页面改版，补充上传政府公报类信息254条，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44.88</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cstheme="minorBidi"/>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heme="minorBidi"/>
          <w:kern w:val="2"/>
          <w:sz w:val="32"/>
          <w:szCs w:val="32"/>
          <w:highlight w:val="none"/>
          <w:lang w:val="en-US" w:eastAsia="zh-CN" w:bidi="ar-SA"/>
        </w:rPr>
        <w:drawing>
          <wp:anchor distT="0" distB="0" distL="114300" distR="114300" simplePos="0" relativeHeight="251659264" behindDoc="0" locked="0" layoutInCell="1" allowOverlap="1">
            <wp:simplePos x="0" y="0"/>
            <wp:positionH relativeFrom="column">
              <wp:posOffset>135255</wp:posOffset>
            </wp:positionH>
            <wp:positionV relativeFrom="paragraph">
              <wp:posOffset>211455</wp:posOffset>
            </wp:positionV>
            <wp:extent cx="4871720" cy="3308350"/>
            <wp:effectExtent l="4445" t="5080" r="19685" b="584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年基本信息主动公开情况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stheme="minorBidi"/>
          <w:kern w:val="2"/>
          <w:sz w:val="32"/>
          <w:szCs w:val="32"/>
          <w:highlight w:val="none"/>
          <w:lang w:val="en-US" w:eastAsia="zh-CN" w:bidi="ar-SA"/>
        </w:rPr>
      </w:pPr>
      <w:r>
        <w:rPr>
          <w:rFonts w:hint="eastAsia" w:ascii="仿宋_GB2312" w:hAnsi="仿宋_GB2312" w:eastAsia="仿宋_GB2312" w:cs="仿宋_GB2312"/>
          <w:sz w:val="32"/>
          <w:szCs w:val="32"/>
          <w:lang w:eastAsia="zh-CN"/>
        </w:rPr>
        <w:t>创新公开形式，加强政民互动。</w:t>
      </w:r>
      <w:r>
        <w:rPr>
          <w:rFonts w:hint="eastAsia" w:ascii="仿宋_GB2312" w:hAnsi="仿宋_GB2312" w:eastAsia="仿宋_GB2312" w:cs="仿宋_GB2312"/>
          <w:sz w:val="32"/>
          <w:szCs w:val="32"/>
          <w:lang w:val="en-US" w:eastAsia="zh-CN"/>
        </w:rPr>
        <w:t>2020年政府办公室</w:t>
      </w:r>
      <w:r>
        <w:rPr>
          <w:rFonts w:hint="eastAsia" w:ascii="仿宋_GB2312" w:hAnsi="仿宋_GB2312" w:eastAsia="仿宋_GB2312" w:cs="仿宋_GB2312"/>
          <w:sz w:val="32"/>
          <w:szCs w:val="32"/>
          <w:lang w:eastAsia="zh-CN"/>
        </w:rPr>
        <w:t>运用图解、视频、音频等多种方式，以多形式易了解的形式公开政府信息，</w:t>
      </w:r>
      <w:r>
        <w:rPr>
          <w:rFonts w:hint="eastAsia" w:ascii="仿宋_GB2312" w:eastAsia="仿宋_GB2312" w:cstheme="minorBidi"/>
          <w:kern w:val="2"/>
          <w:sz w:val="32"/>
          <w:szCs w:val="32"/>
          <w:highlight w:val="none"/>
          <w:lang w:val="en-US" w:eastAsia="zh-CN" w:bidi="ar-SA"/>
        </w:rPr>
        <w:t>保障群众</w:t>
      </w:r>
      <w:r>
        <w:rPr>
          <w:rFonts w:hint="eastAsia" w:ascii="仿宋_GB2312" w:hAnsi="仿宋_GB2312" w:eastAsia="仿宋_GB2312" w:cs="仿宋_GB2312"/>
          <w:sz w:val="32"/>
          <w:szCs w:val="32"/>
          <w:lang w:eastAsia="zh-CN"/>
        </w:rPr>
        <w:t>“看得见、听得懂”</w:t>
      </w:r>
      <w:r>
        <w:rPr>
          <w:rFonts w:hint="eastAsia" w:ascii="仿宋_GB2312" w:eastAsia="仿宋_GB2312" w:cstheme="minorBidi"/>
          <w:kern w:val="2"/>
          <w:sz w:val="32"/>
          <w:szCs w:val="32"/>
          <w:highlight w:val="none"/>
          <w:lang w:val="en-US" w:eastAsia="zh-CN" w:bidi="ar-SA"/>
        </w:rPr>
        <w:t>“能理解”。在政策和会议解读方面，做到政策文件、会议公开与解读材料同步审批、同步发布、及时关联。</w:t>
      </w:r>
      <w:r>
        <w:rPr>
          <w:rFonts w:hint="eastAsia" w:ascii="仿宋_GB2312" w:hAnsi="仿宋_GB2312" w:eastAsia="仿宋_GB2312" w:cs="仿宋_GB2312"/>
          <w:sz w:val="32"/>
          <w:szCs w:val="32"/>
          <w:lang w:eastAsia="zh-CN"/>
        </w:rPr>
        <w:t>全年解读会议</w:t>
      </w:r>
      <w:r>
        <w:rPr>
          <w:rFonts w:hint="eastAsia" w:ascii="仿宋_GB2312" w:hAnsi="仿宋_GB2312" w:eastAsia="仿宋_GB2312" w:cs="仿宋_GB2312"/>
          <w:sz w:val="32"/>
          <w:szCs w:val="32"/>
          <w:lang w:val="en-US" w:eastAsia="zh-CN"/>
        </w:rPr>
        <w:t>17次，解读政策59篇，其中</w:t>
      </w:r>
      <w:r>
        <w:rPr>
          <w:rFonts w:hint="eastAsia" w:ascii="仿宋_GB2312" w:eastAsia="仿宋_GB2312" w:cstheme="minorBidi"/>
          <w:kern w:val="2"/>
          <w:sz w:val="32"/>
          <w:szCs w:val="32"/>
          <w:highlight w:val="none"/>
          <w:lang w:val="en-US" w:eastAsia="zh-CN" w:bidi="ar-SA"/>
        </w:rPr>
        <w:t>文字解读20篇，市政府领导解读4篇，图文解读10篇，简明问答4篇，音频解读16篇，视频解读2篇，部门主要负责人解读3篇，</w:t>
      </w:r>
      <w:r>
        <w:rPr>
          <w:rFonts w:hint="eastAsia" w:ascii="仿宋_GB2312" w:hAnsi="仿宋_GB2312" w:eastAsia="仿宋_GB2312" w:cs="仿宋_GB2312"/>
          <w:sz w:val="32"/>
          <w:szCs w:val="32"/>
          <w:lang w:eastAsia="zh-CN"/>
        </w:rPr>
        <w:t>为社会公众提供了更加高效、优质的信息公开服务。</w:t>
      </w:r>
    </w:p>
    <w:p>
      <w:pPr>
        <w:pStyle w:val="2"/>
        <w:ind w:left="0" w:leftChars="0" w:firstLine="1280" w:firstLineChars="400"/>
        <w:jc w:val="both"/>
        <w:rPr>
          <w:rFonts w:hint="default" w:ascii="仿宋_GB2312" w:eastAsia="仿宋_GB2312" w:cstheme="minorBidi"/>
          <w:kern w:val="2"/>
          <w:sz w:val="32"/>
          <w:szCs w:val="32"/>
          <w:highlight w:val="none"/>
          <w:lang w:val="en-US" w:eastAsia="zh-CN" w:bidi="ar-SA"/>
        </w:rPr>
      </w:pPr>
      <w:r>
        <w:rPr>
          <w:rFonts w:hint="default" w:ascii="仿宋_GB2312" w:eastAsia="仿宋_GB2312" w:cstheme="minorBidi"/>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284480</wp:posOffset>
            </wp:positionH>
            <wp:positionV relativeFrom="paragraph">
              <wp:posOffset>116205</wp:posOffset>
            </wp:positionV>
            <wp:extent cx="5074920" cy="4171315"/>
            <wp:effectExtent l="5080" t="4445" r="6350" b="1524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w:t>
      </w:r>
      <w:r>
        <w:rPr>
          <w:rFonts w:hint="eastAsia" w:cstheme="minorBidi"/>
          <w:b/>
          <w:bCs/>
          <w:kern w:val="2"/>
          <w:sz w:val="32"/>
          <w:szCs w:val="32"/>
          <w:highlight w:val="none"/>
          <w:lang w:val="en-US" w:eastAsia="zh-CN" w:bidi="ar-SA"/>
        </w:rPr>
        <w:t>政策解读情况</w:t>
      </w:r>
    </w:p>
    <w:p>
      <w:pPr>
        <w:pStyle w:val="2"/>
        <w:ind w:left="0" w:leftChars="0" w:firstLine="0" w:firstLineChars="0"/>
        <w:rPr>
          <w:rFonts w:hint="default"/>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_GB2312" w:hAnsi="楷体_GB2312" w:eastAsia="楷体_GB2312" w:cs="楷体_GB2312"/>
          <w:color w:val="333333"/>
          <w:sz w:val="32"/>
          <w:szCs w:val="32"/>
          <w:shd w:val="clear" w:color="auto" w:fill="FFFFFF"/>
        </w:rPr>
        <w:t>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2020年，滕州市人民政府办公室共受理39件政府信息公开申请，</w:t>
      </w:r>
      <w:r>
        <w:rPr>
          <w:rFonts w:hint="eastAsia" w:ascii="仿宋_GB2312" w:eastAsia="仿宋_GB2312"/>
          <w:color w:val="000000"/>
          <w:sz w:val="32"/>
          <w:szCs w:val="32"/>
          <w:lang w:eastAsia="zh-CN"/>
        </w:rPr>
        <w:t>其中信函邮寄</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件、滕州平台</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件、上级协查</w:t>
      </w:r>
      <w:r>
        <w:rPr>
          <w:rFonts w:hint="eastAsia" w:ascii="仿宋_GB2312" w:eastAsia="仿宋_GB2312"/>
          <w:color w:val="000000"/>
          <w:sz w:val="32"/>
          <w:szCs w:val="32"/>
          <w:lang w:val="en-US" w:eastAsia="zh-CN"/>
        </w:rPr>
        <w:t>2件，</w:t>
      </w:r>
      <w:r>
        <w:rPr>
          <w:rFonts w:hint="eastAsia" w:ascii="仿宋_GB2312" w:eastAsia="仿宋_GB2312"/>
          <w:color w:val="000000"/>
          <w:sz w:val="32"/>
          <w:szCs w:val="32"/>
          <w:lang w:eastAsia="zh-CN"/>
        </w:rPr>
        <w:t>已全部办结。</w:t>
      </w:r>
      <w:r>
        <w:rPr>
          <w:rFonts w:hint="eastAsia" w:ascii="仿宋_GB2312" w:eastAsia="仿宋_GB2312" w:hAnsiTheme="minorHAnsi" w:cstheme="minorBidi"/>
          <w:kern w:val="2"/>
          <w:sz w:val="32"/>
          <w:szCs w:val="32"/>
          <w:highlight w:val="none"/>
          <w:lang w:val="en-US" w:eastAsia="zh-CN" w:bidi="ar-SA"/>
        </w:rPr>
        <w:t>其中予以公开</w:t>
      </w:r>
      <w:r>
        <w:rPr>
          <w:rFonts w:hint="eastAsia" w:ascii="仿宋_GB2312" w:eastAsia="仿宋_GB2312" w:cstheme="minorBidi"/>
          <w:kern w:val="2"/>
          <w:sz w:val="32"/>
          <w:szCs w:val="32"/>
          <w:highlight w:val="none"/>
          <w:lang w:val="en-US" w:eastAsia="zh-CN" w:bidi="ar-SA"/>
        </w:rPr>
        <w:t>17</w:t>
      </w:r>
      <w:r>
        <w:rPr>
          <w:rFonts w:hint="eastAsia" w:ascii="仿宋_GB2312" w:eastAsia="仿宋_GB2312" w:hAnsiTheme="minorHAnsi" w:cstheme="minorBidi"/>
          <w:kern w:val="2"/>
          <w:sz w:val="32"/>
          <w:szCs w:val="32"/>
          <w:highlight w:val="none"/>
          <w:lang w:val="en-US" w:eastAsia="zh-CN" w:bidi="ar-SA"/>
        </w:rPr>
        <w:t>件，无法提供</w:t>
      </w:r>
      <w:r>
        <w:rPr>
          <w:rFonts w:hint="eastAsia" w:ascii="仿宋_GB2312" w:eastAsia="仿宋_GB2312" w:cstheme="minorBidi"/>
          <w:kern w:val="2"/>
          <w:sz w:val="32"/>
          <w:szCs w:val="32"/>
          <w:highlight w:val="none"/>
          <w:lang w:val="en-US" w:eastAsia="zh-CN" w:bidi="ar-SA"/>
        </w:rPr>
        <w:t>11</w:t>
      </w:r>
      <w:r>
        <w:rPr>
          <w:rFonts w:hint="eastAsia" w:ascii="仿宋_GB2312" w:eastAsia="仿宋_GB2312" w:hAnsiTheme="minorHAnsi" w:cstheme="minorBidi"/>
          <w:kern w:val="2"/>
          <w:sz w:val="32"/>
          <w:szCs w:val="32"/>
          <w:highlight w:val="none"/>
          <w:lang w:val="en-US" w:eastAsia="zh-CN" w:bidi="ar-SA"/>
        </w:rPr>
        <w:t>件，不予处理</w:t>
      </w:r>
      <w:r>
        <w:rPr>
          <w:rFonts w:hint="eastAsia" w:ascii="仿宋_GB2312" w:eastAsia="仿宋_GB2312"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件，</w:t>
      </w:r>
      <w:r>
        <w:rPr>
          <w:rFonts w:hint="eastAsia" w:ascii="仿宋_GB2312" w:eastAsia="仿宋_GB2312" w:cstheme="minorBidi"/>
          <w:kern w:val="2"/>
          <w:sz w:val="32"/>
          <w:szCs w:val="32"/>
          <w:highlight w:val="none"/>
          <w:lang w:val="en-US" w:eastAsia="zh-CN" w:bidi="ar-SA"/>
        </w:rPr>
        <w:t>其他处理10件</w:t>
      </w:r>
      <w:r>
        <w:rPr>
          <w:rFonts w:hint="eastAsia" w:ascii="仿宋_GB2312" w:hAnsi="仿宋_GB2312" w:eastAsia="仿宋_GB2312" w:cs="仿宋_GB2312"/>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eastAsia="仿宋_GB2312"/>
          <w:color w:val="000000"/>
          <w:sz w:val="32"/>
          <w:szCs w:val="32"/>
          <w:lang w:val="en-US" w:eastAsia="zh-CN"/>
        </w:rPr>
        <w:t>2020 年，政府办公室未发生因信息公开被行政复议或行政诉讼的情况。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38735</wp:posOffset>
            </wp:positionH>
            <wp:positionV relativeFrom="paragraph">
              <wp:posOffset>30480</wp:posOffset>
            </wp:positionV>
            <wp:extent cx="5209540" cy="3865245"/>
            <wp:effectExtent l="4445" t="4445" r="5715" b="546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楷体" w:hAnsi="楷体" w:eastAsia="楷体" w:cs="楷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楷体_GB2312" w:hAnsi="楷体_GB2312" w:eastAsia="楷体_GB2312" w:cs="楷体_GB2312"/>
          <w:color w:val="333333"/>
          <w:sz w:val="32"/>
          <w:szCs w:val="32"/>
          <w:shd w:val="clear" w:color="auto" w:fill="FFFFFF"/>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eastAsia="zh-CN"/>
        </w:rPr>
        <w:t>（三）建议提案办理公开</w:t>
      </w:r>
      <w:r>
        <w:rPr>
          <w:rFonts w:hint="eastAsia" w:ascii="楷体_GB2312" w:hAnsi="楷体_GB2312" w:eastAsia="楷体_GB2312" w:cs="楷体_GB2312"/>
          <w:color w:val="333333"/>
          <w:sz w:val="32"/>
          <w:szCs w:val="32"/>
          <w:shd w:val="clear" w:color="auto" w:fill="FFFFFF"/>
        </w:rPr>
        <w:t>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960" w:firstLineChars="3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2020年，政府办公室未办理人大建议政协提案。</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仿宋_GB2312" w:eastAsia="仿宋_GB2312"/>
          <w:color w:val="000000"/>
          <w:sz w:val="32"/>
          <w:szCs w:val="32"/>
          <w:lang w:val="en-US" w:eastAsia="zh-CN"/>
        </w:rPr>
        <w:t>一方面严格落实公文公开属性源头认定机制，各部门报请市政府或市政府办公室发文的，须明确标识主动公开、依申请公开、不予公开属性，并同步报送政策解读稿件。另一方面按照信息公开时限要求，将市政府门户网站栏目保障分解到各科室，</w:t>
      </w:r>
      <w:r>
        <w:rPr>
          <w:rFonts w:hint="eastAsia" w:ascii="仿宋_GB2312" w:hAnsi="仿宋_GB2312" w:eastAsia="仿宋_GB2312" w:cs="仿宋_GB2312"/>
          <w:spacing w:val="-11"/>
          <w:sz w:val="32"/>
          <w:szCs w:val="32"/>
        </w:rPr>
        <w:t>确保信息上传及时、避免出现空白栏目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w:t>
      </w:r>
      <w:r>
        <w:rPr>
          <w:rFonts w:hint="eastAsia" w:ascii="仿宋_GB2312" w:hAnsi="仿宋_GB2312" w:eastAsia="仿宋_GB2312" w:cs="仿宋_GB2312"/>
          <w:spacing w:val="-11"/>
          <w:sz w:val="32"/>
          <w:szCs w:val="32"/>
        </w:rPr>
        <w:t>做好信息上传维护工作</w:t>
      </w:r>
      <w:r>
        <w:rPr>
          <w:rFonts w:hint="eastAsia" w:ascii="仿宋_GB2312" w:eastAsia="仿宋_GB2312"/>
          <w:color w:val="000000"/>
          <w:sz w:val="32"/>
          <w:szCs w:val="32"/>
          <w:lang w:val="en-US"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2020年，在做好信息保障的同时，根据实际需求，及时调整信息公开目录，确保目录设置合理，使政府办公室信息公开专栏真正发挥好作用。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kern w:val="2"/>
          <w:sz w:val="32"/>
          <w:szCs w:val="32"/>
          <w:lang w:val="en-US" w:eastAsia="zh-CN" w:bidi="ar-SA"/>
        </w:rPr>
        <w:t>（六）监督保障情况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b/>
          <w:bCs/>
          <w:color w:val="auto"/>
          <w:sz w:val="32"/>
          <w:szCs w:val="32"/>
          <w:lang w:val="en-US" w:eastAsia="zh-CN"/>
        </w:rPr>
        <w:t>一是</w:t>
      </w:r>
      <w:r>
        <w:rPr>
          <w:rFonts w:hint="eastAsia" w:ascii="仿宋_GB2312" w:eastAsia="仿宋_GB2312"/>
          <w:color w:val="auto"/>
          <w:sz w:val="32"/>
          <w:szCs w:val="32"/>
          <w:lang w:val="en-US" w:eastAsia="zh-CN"/>
        </w:rPr>
        <w:t>调整了政务公开领导小组，明确了政策文件公开解读流程，确保政务公开日常工作有序推进。</w:t>
      </w:r>
      <w:r>
        <w:rPr>
          <w:rFonts w:hint="eastAsia" w:ascii="仿宋_GB2312" w:eastAsia="仿宋_GB2312"/>
          <w:b/>
          <w:bCs/>
          <w:color w:val="auto"/>
          <w:sz w:val="32"/>
          <w:szCs w:val="32"/>
          <w:lang w:val="en-US" w:eastAsia="zh-CN"/>
        </w:rPr>
        <w:t>二是</w:t>
      </w:r>
      <w:r>
        <w:rPr>
          <w:rFonts w:hint="eastAsia" w:ascii="仿宋_GB2312" w:eastAsia="仿宋_GB2312" w:hAnsiTheme="minorHAnsi" w:cstheme="minorBidi"/>
          <w:kern w:val="2"/>
          <w:sz w:val="32"/>
          <w:szCs w:val="32"/>
          <w:lang w:val="en-US" w:eastAsia="zh-CN" w:bidi="ar-SA"/>
        </w:rPr>
        <w:t>完善了政府信息公开保密审查规定，坚持“谁审查谁负责”“先审核后公开”和“一事一审”的原则，对拟公开政府信息进行严格的保密审查。</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年，</w:t>
      </w:r>
      <w:r>
        <w:rPr>
          <w:rFonts w:hint="eastAsia" w:ascii="仿宋_GB2312" w:eastAsia="仿宋_GB2312" w:cstheme="minorBidi"/>
          <w:kern w:val="2"/>
          <w:sz w:val="32"/>
          <w:szCs w:val="32"/>
          <w:lang w:val="en-US" w:eastAsia="zh-CN" w:bidi="ar-SA"/>
        </w:rPr>
        <w:t>政府办公室</w:t>
      </w:r>
      <w:r>
        <w:rPr>
          <w:rFonts w:hint="eastAsia" w:ascii="仿宋_GB2312" w:eastAsia="仿宋_GB2312" w:hAnsiTheme="minorHAnsi" w:cstheme="minorBidi"/>
          <w:kern w:val="2"/>
          <w:sz w:val="32"/>
          <w:szCs w:val="32"/>
          <w:lang w:val="en-US" w:eastAsia="zh-CN" w:bidi="ar-SA"/>
        </w:rPr>
        <w:t>未发生因政府信息公开审查不当或保密审查机构未履行保密审查职责而引起的失泄密情况。</w:t>
      </w:r>
      <w:r>
        <w:rPr>
          <w:rFonts w:hint="eastAsia" w:ascii="仿宋_GB2312" w:eastAsia="仿宋_GB2312" w:hAnsiTheme="minorHAnsi" w:cstheme="minorBidi"/>
          <w:b/>
          <w:bCs/>
          <w:kern w:val="2"/>
          <w:sz w:val="32"/>
          <w:szCs w:val="32"/>
          <w:lang w:val="en-US" w:eastAsia="zh-CN" w:bidi="ar-SA"/>
        </w:rPr>
        <w:t>三是</w:t>
      </w:r>
      <w:r>
        <w:rPr>
          <w:rFonts w:hint="eastAsia" w:ascii="仿宋_GB2312" w:hAnsi="仿宋_GB2312" w:eastAsia="仿宋_GB2312" w:cs="仿宋_GB2312"/>
          <w:sz w:val="32"/>
          <w:szCs w:val="32"/>
          <w:lang w:val="en-US" w:eastAsia="zh-CN"/>
        </w:rPr>
        <w:t>政务公开工作已纳入滕州市绩效考核指标体系。市政府办公室制定了2020年滕州市政务公开考核标准细则，</w:t>
      </w:r>
      <w:r>
        <w:rPr>
          <w:rFonts w:hint="eastAsia" w:ascii="仿宋_GB2312" w:eastAsia="仿宋_GB2312"/>
          <w:sz w:val="32"/>
          <w:szCs w:val="32"/>
          <w:lang w:eastAsia="zh-CN"/>
        </w:rPr>
        <w:t>并委托第三方机构评估，</w:t>
      </w:r>
      <w:r>
        <w:rPr>
          <w:rFonts w:hint="eastAsia" w:ascii="仿宋_GB2312" w:hAnsi="仿宋_GB2312" w:eastAsia="仿宋_GB2312" w:cs="仿宋_GB2312"/>
          <w:sz w:val="32"/>
          <w:szCs w:val="32"/>
        </w:rPr>
        <w:t>对公开效果</w:t>
      </w:r>
      <w:r>
        <w:rPr>
          <w:rFonts w:hint="eastAsia" w:ascii="仿宋_GB2312" w:hAnsi="仿宋_GB2312" w:eastAsia="仿宋_GB2312" w:cs="仿宋_GB2312"/>
          <w:sz w:val="32"/>
          <w:szCs w:val="32"/>
          <w:lang w:eastAsia="zh-CN"/>
        </w:rPr>
        <w:t>客观</w:t>
      </w:r>
      <w:r>
        <w:rPr>
          <w:rFonts w:hint="eastAsia" w:ascii="仿宋_GB2312" w:hAnsi="仿宋_GB2312" w:eastAsia="仿宋_GB2312" w:cs="仿宋_GB2312"/>
          <w:sz w:val="32"/>
          <w:szCs w:val="32"/>
        </w:rPr>
        <w:t>评价</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b/>
          <w:bCs/>
          <w:kern w:val="2"/>
          <w:sz w:val="32"/>
          <w:szCs w:val="32"/>
          <w:lang w:val="en-US" w:eastAsia="zh-CN" w:bidi="ar-SA"/>
        </w:rPr>
        <w:t>四是</w:t>
      </w:r>
      <w:r>
        <w:rPr>
          <w:rFonts w:hint="eastAsia" w:ascii="仿宋_GB2312" w:hAnsi="仿宋_GB2312" w:eastAsia="仿宋_GB2312" w:cs="仿宋_GB2312"/>
          <w:sz w:val="32"/>
          <w:szCs w:val="32"/>
          <w:lang w:val="en-US" w:eastAsia="zh-CN"/>
        </w:rPr>
        <w:t>2020年度未进行社会评议，未发生责任追究情况。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hAnsiTheme="minorHAnsi" w:cstheme="minorBidi"/>
          <w:kern w:val="2"/>
          <w:sz w:val="32"/>
          <w:szCs w:val="32"/>
          <w:lang w:val="en-US" w:eastAsia="zh-CN" w:bidi="ar-SA"/>
        </w:rPr>
      </w:pPr>
    </w:p>
    <w:p>
      <w:pPr>
        <w:pStyle w:val="5"/>
        <w:widowControl/>
        <w:shd w:val="clear" w:color="auto" w:fill="FFFFFF"/>
        <w:spacing w:beforeAutospacing="0" w:after="24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6"/>
        <w:tblW w:w="8620" w:type="dxa"/>
        <w:jc w:val="center"/>
        <w:shd w:val="clear" w:color="auto" w:fill="FFFFFF" w:themeFill="background1"/>
        <w:tblLayout w:type="fixed"/>
        <w:tblCellMar>
          <w:top w:w="0" w:type="dxa"/>
          <w:left w:w="0" w:type="dxa"/>
          <w:bottom w:w="0" w:type="dxa"/>
          <w:right w:w="0" w:type="dxa"/>
        </w:tblCellMar>
      </w:tblPr>
      <w:tblGrid>
        <w:gridCol w:w="3041"/>
        <w:gridCol w:w="17"/>
        <w:gridCol w:w="2073"/>
        <w:gridCol w:w="1489"/>
        <w:gridCol w:w="2000"/>
      </w:tblGrid>
      <w:tr>
        <w:tblPrEx>
          <w:shd w:val="clear" w:color="auto" w:fill="FFFFFF" w:themeFill="background1"/>
          <w:tblCellMar>
            <w:top w:w="0" w:type="dxa"/>
            <w:left w:w="0" w:type="dxa"/>
            <w:bottom w:w="0" w:type="dxa"/>
            <w:right w:w="0" w:type="dxa"/>
          </w:tblCellMar>
        </w:tblPrEx>
        <w:trPr>
          <w:trHeight w:val="716" w:hRule="atLeast"/>
          <w:jc w:val="center"/>
        </w:trPr>
        <w:tc>
          <w:tcPr>
            <w:tcW w:w="862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shd w:val="clear" w:color="auto" w:fill="FFFFFF" w:themeFill="background1"/>
          <w:tblCellMar>
            <w:top w:w="0" w:type="dxa"/>
            <w:left w:w="0" w:type="dxa"/>
            <w:bottom w:w="0" w:type="dxa"/>
            <w:right w:w="0" w:type="dxa"/>
          </w:tblCellMar>
        </w:tblPrEx>
        <w:trPr>
          <w:trHeight w:val="1034"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shd w:val="clear" w:color="auto" w:fill="FFFFFF" w:themeFill="background1"/>
          <w:tblCellMar>
            <w:top w:w="0" w:type="dxa"/>
            <w:left w:w="0" w:type="dxa"/>
            <w:bottom w:w="0" w:type="dxa"/>
            <w:right w:w="0" w:type="dxa"/>
          </w:tblCellMar>
        </w:tblPrEx>
        <w:trPr>
          <w:trHeight w:val="489"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9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3</w:t>
            </w:r>
          </w:p>
        </w:tc>
      </w:tr>
      <w:tr>
        <w:tblPrEx>
          <w:shd w:val="clear" w:color="auto" w:fill="FFFFFF" w:themeFill="background1"/>
          <w:tblCellMar>
            <w:top w:w="0" w:type="dxa"/>
            <w:left w:w="0" w:type="dxa"/>
            <w:bottom w:w="0" w:type="dxa"/>
            <w:right w:w="0" w:type="dxa"/>
          </w:tblCellMar>
        </w:tblPrEx>
        <w:trPr>
          <w:trHeight w:val="583"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shd w:val="clear" w:color="auto" w:fill="FFFFFF" w:themeFill="background1"/>
          <w:tblCellMar>
            <w:top w:w="0" w:type="dxa"/>
            <w:left w:w="0" w:type="dxa"/>
            <w:bottom w:w="0" w:type="dxa"/>
            <w:right w:w="0" w:type="dxa"/>
          </w:tblCellMar>
        </w:tblPrEx>
        <w:trPr>
          <w:trHeight w:val="558"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cstheme="minorEastAsia"/>
                <w:color w:val="000000"/>
                <w:kern w:val="0"/>
                <w:sz w:val="24"/>
                <w:lang w:eastAsia="zh-CN"/>
              </w:rPr>
              <w:t>上一年项目数量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eastAsia="zh-CN"/>
              </w:rPr>
              <w:t>本年增</w:t>
            </w:r>
            <w:r>
              <w:rPr>
                <w:rFonts w:hint="eastAsia" w:asciiTheme="minorEastAsia" w:hAnsiTheme="minorEastAsia" w:cstheme="minorEastAsia"/>
                <w:color w:val="000000"/>
                <w:kern w:val="0"/>
                <w:sz w:val="24"/>
                <w:lang w:val="en-US" w:eastAsia="zh-CN"/>
              </w:rPr>
              <w:t>/减</w:t>
            </w:r>
          </w:p>
        </w:tc>
        <w:tc>
          <w:tcPr>
            <w:tcW w:w="20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54"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66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603"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shd w:val="clear" w:color="auto" w:fill="FFFFFF" w:themeFill="background1"/>
          <w:tblCellMar>
            <w:top w:w="0" w:type="dxa"/>
            <w:left w:w="0" w:type="dxa"/>
            <w:bottom w:w="0" w:type="dxa"/>
            <w:right w:w="0" w:type="dxa"/>
          </w:tblCellMar>
        </w:tblPrEx>
        <w:trPr>
          <w:trHeight w:val="662"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eastAsia="zh-CN"/>
              </w:rPr>
              <w:t>上一年项目数量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lang w:eastAsia="zh-CN"/>
              </w:rPr>
              <w:t>本年增</w:t>
            </w:r>
            <w:r>
              <w:rPr>
                <w:rFonts w:hint="eastAsia" w:asciiTheme="minorEastAsia" w:hAnsiTheme="minorEastAsia" w:cstheme="minorEastAsia"/>
                <w:color w:val="000000"/>
                <w:kern w:val="0"/>
                <w:sz w:val="24"/>
                <w:lang w:val="en-US" w:eastAsia="zh-CN"/>
              </w:rPr>
              <w:t>/减</w:t>
            </w:r>
          </w:p>
        </w:tc>
        <w:tc>
          <w:tcPr>
            <w:tcW w:w="20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2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00"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76"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shd w:val="clear" w:color="auto" w:fill="FFFFFF" w:themeFill="background1"/>
          <w:tblCellMar>
            <w:top w:w="0" w:type="dxa"/>
            <w:left w:w="0" w:type="dxa"/>
            <w:bottom w:w="0" w:type="dxa"/>
            <w:right w:w="0" w:type="dxa"/>
          </w:tblCellMar>
        </w:tblPrEx>
        <w:trPr>
          <w:trHeight w:val="54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489"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shd w:val="clear" w:color="auto" w:fill="FFFFFF" w:themeFill="background1"/>
          <w:tblCellMar>
            <w:top w:w="0" w:type="dxa"/>
            <w:left w:w="0" w:type="dxa"/>
            <w:bottom w:w="0" w:type="dxa"/>
            <w:right w:w="0" w:type="dxa"/>
          </w:tblCellMar>
        </w:tblPrEx>
        <w:trPr>
          <w:trHeight w:val="537"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eastAsia="zh-CN"/>
              </w:rPr>
              <w:t>0</w:t>
            </w:r>
          </w:p>
        </w:tc>
        <w:tc>
          <w:tcPr>
            <w:tcW w:w="3489"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79"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shd w:val="clear" w:color="auto" w:fill="FFFFFF" w:themeFill="background1"/>
          <w:tblCellMar>
            <w:top w:w="0" w:type="dxa"/>
            <w:left w:w="0" w:type="dxa"/>
            <w:bottom w:w="0" w:type="dxa"/>
            <w:right w:w="0" w:type="dxa"/>
          </w:tblCellMar>
        </w:tblPrEx>
        <w:trPr>
          <w:trHeight w:val="521" w:hRule="atLeast"/>
          <w:jc w:val="center"/>
        </w:trPr>
        <w:tc>
          <w:tcPr>
            <w:tcW w:w="3058"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7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489"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shd w:val="clear" w:color="auto" w:fill="FFFFFF" w:themeFill="background1"/>
          <w:tblCellMar>
            <w:top w:w="0" w:type="dxa"/>
            <w:left w:w="0" w:type="dxa"/>
            <w:bottom w:w="0" w:type="dxa"/>
            <w:right w:w="0" w:type="dxa"/>
          </w:tblCellMar>
        </w:tblPrEx>
        <w:trPr>
          <w:trHeight w:val="594" w:hRule="atLeast"/>
          <w:jc w:val="center"/>
        </w:trPr>
        <w:tc>
          <w:tcPr>
            <w:tcW w:w="3058"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7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3489"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5"/>
        <w:widowControl/>
        <w:shd w:val="clear" w:color="auto" w:fill="FFFFFF"/>
        <w:spacing w:beforeAutospacing="0" w:after="240" w:afterAutospacing="0"/>
        <w:jc w:val="both"/>
        <w:rPr>
          <w:rFonts w:hint="eastAsia" w:ascii="黑体" w:hAnsi="黑体" w:eastAsia="黑体" w:cs="黑体"/>
          <w:b w:val="0"/>
          <w:bCs/>
          <w:color w:val="333333"/>
          <w:sz w:val="32"/>
          <w:szCs w:val="32"/>
          <w:shd w:val="clear" w:color="auto" w:fill="FFFFFF"/>
        </w:rPr>
      </w:pPr>
    </w:p>
    <w:p>
      <w:pPr>
        <w:pStyle w:val="5"/>
        <w:widowControl/>
        <w:shd w:val="clear" w:color="auto" w:fill="FFFFFF"/>
        <w:spacing w:beforeAutospacing="0" w:after="240" w:afterAutospacing="0"/>
        <w:jc w:val="both"/>
        <w:rPr>
          <w:rFonts w:hint="eastAsia" w:ascii="黑体" w:hAnsi="黑体" w:eastAsia="黑体" w:cs="黑体"/>
          <w:b w:val="0"/>
          <w:bCs/>
          <w:color w:val="333333"/>
          <w:sz w:val="32"/>
          <w:szCs w:val="32"/>
          <w:shd w:val="clear" w:color="auto" w:fill="FFFFFF"/>
        </w:rPr>
      </w:pPr>
    </w:p>
    <w:p>
      <w:pPr>
        <w:pStyle w:val="5"/>
        <w:widowControl/>
        <w:shd w:val="clear" w:color="auto" w:fill="FFFFFF"/>
        <w:spacing w:beforeAutospacing="0" w:after="240" w:afterAutospacing="0"/>
        <w:ind w:firstLine="320" w:firstLineChars="100"/>
        <w:jc w:val="both"/>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726"/>
        <w:gridCol w:w="691"/>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93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35</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16</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tabs>
                <w:tab w:val="center" w:pos="315"/>
                <w:tab w:val="left" w:pos="464"/>
              </w:tabs>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8</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36</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p>
        </w:tc>
      </w:tr>
    </w:tbl>
    <w:p>
      <w:pPr>
        <w:pStyle w:val="5"/>
        <w:widowControl/>
        <w:shd w:val="clear" w:color="auto" w:fill="FFFFFF"/>
        <w:spacing w:beforeAutospacing="0" w:afterAutospacing="0"/>
        <w:jc w:val="both"/>
        <w:rPr>
          <w:rFonts w:ascii="宋体" w:hAnsi="宋体" w:eastAsia="宋体" w:cs="宋体"/>
          <w:color w:val="333333"/>
        </w:rPr>
      </w:pPr>
    </w:p>
    <w:p>
      <w:pPr>
        <w:pStyle w:val="5"/>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5"/>
        <w:widowControl/>
        <w:shd w:val="clear" w:color="auto" w:fill="FFFFFF"/>
        <w:spacing w:beforeAutospacing="0" w:afterAutospacing="0"/>
        <w:ind w:firstLine="420"/>
        <w:jc w:val="both"/>
        <w:rPr>
          <w:rFonts w:ascii="宋体" w:hAnsi="宋体" w:eastAsia="宋体" w:cs="宋体"/>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widowControl/>
        <w:shd w:val="clear" w:color="auto" w:fill="FFFFFF"/>
        <w:jc w:val="center"/>
        <w:rPr>
          <w:rFonts w:ascii="宋体" w:hAnsi="宋体" w:eastAsia="宋体" w:cs="宋体"/>
          <w:color w:val="333333"/>
          <w:sz w:val="24"/>
        </w:rPr>
      </w:pP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针对政务公开工作中存在的公开意识有待提高、工作力量有待加强、工作水平有待提升问题，下一步，我们将采取多种措施，力促政务公开工作再上新台阶。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cstheme="minorBidi"/>
          <w:b w:val="0"/>
          <w:bCs/>
          <w:kern w:val="2"/>
          <w:sz w:val="32"/>
          <w:szCs w:val="32"/>
          <w:lang w:val="en-US" w:eastAsia="zh-CN" w:bidi="ar-SA"/>
        </w:rPr>
        <w:t>一是</w:t>
      </w:r>
      <w:r>
        <w:rPr>
          <w:rFonts w:hint="eastAsia" w:ascii="楷体_GB2312" w:eastAsia="楷体_GB2312" w:hAnsiTheme="minorHAnsi" w:cstheme="minorBidi"/>
          <w:b w:val="0"/>
          <w:bCs/>
          <w:kern w:val="2"/>
          <w:sz w:val="32"/>
          <w:szCs w:val="32"/>
          <w:lang w:val="en-US" w:eastAsia="zh-CN" w:bidi="ar-SA"/>
        </w:rPr>
        <w:t>进一步强化组织领导。</w:t>
      </w:r>
      <w:r>
        <w:rPr>
          <w:rFonts w:hint="eastAsia" w:ascii="仿宋_GB2312" w:eastAsia="仿宋_GB2312"/>
          <w:sz w:val="32"/>
          <w:szCs w:val="32"/>
        </w:rPr>
        <w:t>市政府办公室作为全市政务公开的主管部门，充分发挥好推进</w:t>
      </w:r>
      <w:r>
        <w:rPr>
          <w:rFonts w:hint="eastAsia" w:ascii="仿宋_GB2312" w:eastAsia="仿宋_GB2312"/>
          <w:sz w:val="32"/>
          <w:szCs w:val="32"/>
          <w:lang w:eastAsia="zh-CN"/>
        </w:rPr>
        <w:t>、</w:t>
      </w:r>
      <w:r>
        <w:rPr>
          <w:rFonts w:hint="eastAsia" w:ascii="仿宋_GB2312" w:eastAsia="仿宋_GB2312"/>
          <w:sz w:val="32"/>
          <w:szCs w:val="32"/>
        </w:rPr>
        <w:t>指导</w:t>
      </w:r>
      <w:r>
        <w:rPr>
          <w:rFonts w:hint="eastAsia" w:ascii="仿宋_GB2312" w:eastAsia="仿宋_GB2312"/>
          <w:sz w:val="32"/>
          <w:szCs w:val="32"/>
          <w:lang w:eastAsia="zh-CN"/>
        </w:rPr>
        <w:t>、</w:t>
      </w:r>
      <w:r>
        <w:rPr>
          <w:rFonts w:hint="eastAsia" w:ascii="仿宋_GB2312" w:eastAsia="仿宋_GB2312"/>
          <w:sz w:val="32"/>
          <w:szCs w:val="32"/>
        </w:rPr>
        <w:t>协调</w:t>
      </w:r>
      <w:r>
        <w:rPr>
          <w:rFonts w:hint="eastAsia" w:ascii="仿宋_GB2312" w:eastAsia="仿宋_GB2312"/>
          <w:sz w:val="32"/>
          <w:szCs w:val="32"/>
          <w:lang w:eastAsia="zh-CN"/>
        </w:rPr>
        <w:t>、</w:t>
      </w:r>
      <w:r>
        <w:rPr>
          <w:rFonts w:hint="eastAsia" w:ascii="仿宋_GB2312" w:eastAsia="仿宋_GB2312"/>
          <w:sz w:val="32"/>
          <w:szCs w:val="32"/>
        </w:rPr>
        <w:t>监督作用。</w:t>
      </w:r>
      <w:r>
        <w:rPr>
          <w:rFonts w:hint="eastAsia" w:ascii="仿宋_GB2312" w:eastAsia="仿宋_GB2312"/>
          <w:sz w:val="32"/>
          <w:szCs w:val="32"/>
          <w:lang w:eastAsia="zh-CN"/>
        </w:rPr>
        <w:t>二是</w:t>
      </w:r>
      <w:r>
        <w:rPr>
          <w:rFonts w:hint="eastAsia" w:ascii="楷体_GB2312" w:eastAsia="楷体_GB2312" w:hAnsiTheme="minorHAnsi" w:cstheme="minorBidi"/>
          <w:b w:val="0"/>
          <w:bCs/>
          <w:kern w:val="2"/>
          <w:sz w:val="32"/>
          <w:szCs w:val="32"/>
          <w:lang w:val="en-US" w:eastAsia="zh-CN" w:bidi="ar-SA"/>
        </w:rPr>
        <w:t>持续强化队伍建设。</w:t>
      </w:r>
      <w:r>
        <w:rPr>
          <w:rFonts w:hint="eastAsia" w:ascii="仿宋_GB2312" w:hAnsi="仿宋_GB2312" w:eastAsia="仿宋_GB2312" w:cs="仿宋_GB2312"/>
          <w:sz w:val="32"/>
          <w:szCs w:val="32"/>
          <w:lang w:eastAsia="zh-CN"/>
        </w:rPr>
        <w:t>积极开展政务公开专题培训活动，杜绝“本领恐慌”；组织政务公开工作人员到先进地区学习，增强公开意识，吸收先进经验，全面提高政务公开工作人员的业务能力和素养。</w:t>
      </w:r>
      <w:r>
        <w:rPr>
          <w:rFonts w:hint="eastAsia" w:ascii="楷体_GB2312" w:eastAsia="楷体_GB2312" w:hAnsiTheme="minorHAnsi" w:cstheme="minorBidi"/>
          <w:b w:val="0"/>
          <w:bCs/>
          <w:kern w:val="2"/>
          <w:sz w:val="32"/>
          <w:szCs w:val="32"/>
          <w:lang w:val="en-US" w:eastAsia="zh-CN" w:bidi="ar-SA"/>
        </w:rPr>
        <w:t>三是全面提升工作水平。</w:t>
      </w:r>
      <w:r>
        <w:rPr>
          <w:rFonts w:hint="eastAsia" w:ascii="仿宋_GB2312" w:hAnsi="仿宋_GB2312" w:eastAsia="仿宋_GB2312" w:cs="仿宋_GB2312"/>
          <w:sz w:val="32"/>
          <w:szCs w:val="32"/>
          <w:lang w:eastAsia="zh-CN"/>
        </w:rPr>
        <w:t>创新公开形式，加强政民互动，运用图解、视频等可视化方式，以多形式易了解的形式公开政府信息，使群众“看得见、听得懂”，为社会公众提供更加高效、优质的信息公开服务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全面提升</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政务公开工作</w:t>
      </w:r>
      <w:r>
        <w:rPr>
          <w:rFonts w:hint="eastAsia" w:ascii="仿宋_GB2312" w:hAnsi="仿宋_GB2312" w:eastAsia="仿宋_GB2312" w:cs="仿宋_GB2312"/>
          <w:sz w:val="32"/>
          <w:szCs w:val="32"/>
          <w:lang w:eastAsia="zh-CN"/>
        </w:rPr>
        <w:t>水平。</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本报告的电子版可在“中国滕州网”（http://www.tengzhou.gov.cn/）网站查询和下载。如对本报告有任何疑问，请与滕州市政府办公室政务公开办公室联系。 （地址：山东省滕州市北辛中路政务中心 625 房间，联系电话：0632—5513369，电子邮箱：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"mailto:tzzwgk@zz.shandong.cn）。"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tzzwgk@zz.shandong.cn。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DC54C"/>
    <w:multiLevelType w:val="singleLevel"/>
    <w:tmpl w:val="446DC54C"/>
    <w:lvl w:ilvl="0" w:tentative="0">
      <w:start w:val="1"/>
      <w:numFmt w:val="chineseCounting"/>
      <w:suff w:val="nothing"/>
      <w:lvlText w:val="（%1）"/>
      <w:lvlJc w:val="left"/>
      <w:rPr>
        <w:rFonts w:hint="eastAsia"/>
      </w:rPr>
    </w:lvl>
  </w:abstractNum>
  <w:abstractNum w:abstractNumId="1">
    <w:nsid w:val="77EF74DE"/>
    <w:multiLevelType w:val="singleLevel"/>
    <w:tmpl w:val="77EF74DE"/>
    <w:lvl w:ilvl="0" w:tentative="0">
      <w:start w:val="4"/>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0AB8"/>
    <w:rsid w:val="020D5D15"/>
    <w:rsid w:val="0257771D"/>
    <w:rsid w:val="03987BFB"/>
    <w:rsid w:val="058442AE"/>
    <w:rsid w:val="05A45DF1"/>
    <w:rsid w:val="06CE2604"/>
    <w:rsid w:val="0998778C"/>
    <w:rsid w:val="11426A31"/>
    <w:rsid w:val="12EF0AA7"/>
    <w:rsid w:val="12F274C7"/>
    <w:rsid w:val="133C76FB"/>
    <w:rsid w:val="146C6547"/>
    <w:rsid w:val="183F222E"/>
    <w:rsid w:val="1991373A"/>
    <w:rsid w:val="19A14243"/>
    <w:rsid w:val="1A6522F4"/>
    <w:rsid w:val="1B2C1FD9"/>
    <w:rsid w:val="1C4B6240"/>
    <w:rsid w:val="1C901919"/>
    <w:rsid w:val="1CFE0661"/>
    <w:rsid w:val="1DC8CD7D"/>
    <w:rsid w:val="21820AB8"/>
    <w:rsid w:val="23944326"/>
    <w:rsid w:val="24982636"/>
    <w:rsid w:val="24FB4256"/>
    <w:rsid w:val="252E5D6D"/>
    <w:rsid w:val="25455921"/>
    <w:rsid w:val="2581571E"/>
    <w:rsid w:val="296E73F2"/>
    <w:rsid w:val="2F7C1892"/>
    <w:rsid w:val="2FAD5A30"/>
    <w:rsid w:val="30772837"/>
    <w:rsid w:val="308B2707"/>
    <w:rsid w:val="30D8131D"/>
    <w:rsid w:val="34083D1C"/>
    <w:rsid w:val="35962709"/>
    <w:rsid w:val="37454701"/>
    <w:rsid w:val="3C1507AB"/>
    <w:rsid w:val="3EE80FE8"/>
    <w:rsid w:val="418341D4"/>
    <w:rsid w:val="44225326"/>
    <w:rsid w:val="46184BCD"/>
    <w:rsid w:val="486471E4"/>
    <w:rsid w:val="4E9C1533"/>
    <w:rsid w:val="4F593F8F"/>
    <w:rsid w:val="52A627FD"/>
    <w:rsid w:val="539A4128"/>
    <w:rsid w:val="541F7CA5"/>
    <w:rsid w:val="58D65697"/>
    <w:rsid w:val="5ABB43D1"/>
    <w:rsid w:val="5B5A47B7"/>
    <w:rsid w:val="5BD1454A"/>
    <w:rsid w:val="5C6D3A28"/>
    <w:rsid w:val="5CB5102D"/>
    <w:rsid w:val="5D9B0FDD"/>
    <w:rsid w:val="5DD951B3"/>
    <w:rsid w:val="5F642333"/>
    <w:rsid w:val="69F7102D"/>
    <w:rsid w:val="6A8E33BF"/>
    <w:rsid w:val="6D144675"/>
    <w:rsid w:val="6E466141"/>
    <w:rsid w:val="6E6D725E"/>
    <w:rsid w:val="735656F7"/>
    <w:rsid w:val="73DD4DB5"/>
    <w:rsid w:val="77300C87"/>
    <w:rsid w:val="79F64B91"/>
    <w:rsid w:val="CDF79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8" Type="http://schemas.microsoft.com/office/2011/relationships/chartColorStyle" Target="colors3.xml"/><Relationship Id="rId7" Type="http://schemas.microsoft.com/office/2011/relationships/chartStyle" Target="style3.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274779166109849"/>
          <c:y val="0.183076579593659"/>
          <c:w val="0.450174395296004"/>
          <c:h val="0.752099799062291"/>
        </c:manualLayout>
      </c:layout>
      <c:pieChart>
        <c:varyColors val="true"/>
        <c:ser>
          <c:idx val="0"/>
          <c:order val="0"/>
          <c:tx>
            <c:strRef>
              <c:f>Sheet1!$B$1</c:f>
              <c:strCache>
                <c:ptCount val="1"/>
                <c:pt idx="0">
                  <c:v>条数</c:v>
                </c:pt>
              </c:strCache>
            </c:strRef>
          </c:tx>
          <c:spPr>
            <a:ln w="6350">
              <a:solidFill>
                <a:schemeClr val="lt1">
                  <a:alpha val="50000"/>
                </a:schemeClr>
              </a:solidFill>
            </a:ln>
          </c:spPr>
          <c:explosion val="0"/>
          <c:dPt>
            <c:idx val="0"/>
            <c:bubble3D val="false"/>
            <c:spPr>
              <a:solidFill>
                <a:schemeClr val="accent1"/>
              </a:solidFill>
              <a:ln w="6350">
                <a:solidFill>
                  <a:schemeClr val="lt1">
                    <a:alpha val="50000"/>
                  </a:schemeClr>
                </a:solidFill>
              </a:ln>
              <a:effectLst/>
            </c:spPr>
          </c:dPt>
          <c:dPt>
            <c:idx val="1"/>
            <c:bubble3D val="false"/>
            <c:spPr>
              <a:solidFill>
                <a:schemeClr val="accent2"/>
              </a:solidFill>
              <a:ln w="6350">
                <a:solidFill>
                  <a:schemeClr val="lt1">
                    <a:alpha val="50000"/>
                  </a:schemeClr>
                </a:solidFill>
              </a:ln>
              <a:effectLst/>
            </c:spPr>
          </c:dPt>
          <c:dPt>
            <c:idx val="2"/>
            <c:bubble3D val="false"/>
            <c:spPr>
              <a:solidFill>
                <a:srgbClr val="54514A"/>
              </a:solidFill>
              <a:ln w="6350">
                <a:solidFill>
                  <a:schemeClr val="lt1">
                    <a:alpha val="50000"/>
                  </a:schemeClr>
                </a:solidFill>
              </a:ln>
              <a:effectLst/>
            </c:spPr>
          </c:dPt>
          <c:dPt>
            <c:idx val="3"/>
            <c:bubble3D val="false"/>
            <c:spPr>
              <a:solidFill>
                <a:schemeClr val="accent4"/>
              </a:solidFill>
              <a:ln w="6350">
                <a:solidFill>
                  <a:schemeClr val="lt1">
                    <a:alpha val="50000"/>
                  </a:schemeClr>
                </a:solidFill>
              </a:ln>
              <a:effectLst/>
            </c:spPr>
          </c:dPt>
          <c:dPt>
            <c:idx val="4"/>
            <c:bubble3D val="false"/>
            <c:spPr>
              <a:solidFill>
                <a:srgbClr val="F65D73"/>
              </a:solidFill>
              <a:ln w="6350">
                <a:solidFill>
                  <a:schemeClr val="lt1">
                    <a:alpha val="50000"/>
                  </a:schemeClr>
                </a:solidFill>
              </a:ln>
              <a:effectLst/>
            </c:spPr>
          </c:dPt>
          <c:dPt>
            <c:idx val="5"/>
            <c:bubble3D val="false"/>
            <c:spPr>
              <a:solidFill>
                <a:schemeClr val="accent6"/>
              </a:solidFill>
              <a:ln w="6350">
                <a:solidFill>
                  <a:schemeClr val="lt1">
                    <a:alpha val="50000"/>
                  </a:schemeClr>
                </a:solidFill>
              </a:ln>
              <a:effectLst/>
            </c:spPr>
          </c:dPt>
          <c:dPt>
            <c:idx val="6"/>
            <c:bubble3D val="false"/>
            <c:spPr>
              <a:solidFill>
                <a:schemeClr val="accent1">
                  <a:lumMod val="60000"/>
                </a:schemeClr>
              </a:solidFill>
              <a:ln w="6350">
                <a:solidFill>
                  <a:schemeClr val="lt1">
                    <a:alpha val="50000"/>
                  </a:schemeClr>
                </a:solidFill>
              </a:ln>
              <a:effectLst/>
            </c:spPr>
          </c:dPt>
          <c:dPt>
            <c:idx val="7"/>
            <c:bubble3D val="false"/>
            <c:spPr>
              <a:solidFill>
                <a:schemeClr val="accent2">
                  <a:lumMod val="60000"/>
                </a:schemeClr>
              </a:solidFill>
              <a:ln w="6350">
                <a:solidFill>
                  <a:schemeClr val="lt1">
                    <a:alpha val="50000"/>
                  </a:schemeClr>
                </a:solidFill>
              </a:ln>
              <a:effectLst/>
            </c:spPr>
          </c:dPt>
          <c:dPt>
            <c:idx val="8"/>
            <c:bubble3D val="false"/>
            <c:spPr>
              <a:solidFill>
                <a:schemeClr val="accent3">
                  <a:lumMod val="60000"/>
                </a:schemeClr>
              </a:solidFill>
              <a:ln w="6350">
                <a:solidFill>
                  <a:schemeClr val="lt1">
                    <a:alpha val="50000"/>
                  </a:schemeClr>
                </a:solidFill>
              </a:ln>
              <a:effectLst/>
            </c:spPr>
          </c:dPt>
          <c:dPt>
            <c:idx val="9"/>
            <c:bubble3D val="false"/>
            <c:spPr>
              <a:solidFill>
                <a:schemeClr val="accent4">
                  <a:lumMod val="60000"/>
                </a:schemeClr>
              </a:solidFill>
              <a:ln w="6350">
                <a:solidFill>
                  <a:schemeClr val="lt1">
                    <a:alpha val="50000"/>
                  </a:schemeClr>
                </a:solidFill>
              </a:ln>
              <a:effectLst/>
            </c:spPr>
          </c:dPt>
          <c:dPt>
            <c:idx val="10"/>
            <c:bubble3D val="false"/>
            <c:spPr>
              <a:solidFill>
                <a:schemeClr val="accent5">
                  <a:lumMod val="60000"/>
                </a:schemeClr>
              </a:solidFill>
              <a:ln w="6350">
                <a:solidFill>
                  <a:schemeClr val="lt1">
                    <a:alpha val="50000"/>
                  </a:schemeClr>
                </a:solidFill>
              </a:ln>
              <a:effectLst/>
            </c:spPr>
          </c:dPt>
          <c:dPt>
            <c:idx val="11"/>
            <c:bubble3D val="false"/>
            <c:spPr>
              <a:solidFill>
                <a:schemeClr val="accent6">
                  <a:lumMod val="60000"/>
                </a:schemeClr>
              </a:solidFill>
              <a:ln w="6350">
                <a:solidFill>
                  <a:schemeClr val="lt1">
                    <a:alpha val="50000"/>
                  </a:schemeClr>
                </a:solidFill>
              </a:ln>
              <a:effectLst/>
            </c:spPr>
          </c:dPt>
          <c:dPt>
            <c:idx val="12"/>
            <c:bubble3D val="false"/>
            <c:spPr>
              <a:solidFill>
                <a:schemeClr val="accent1">
                  <a:lumMod val="80000"/>
                  <a:lumOff val="20000"/>
                </a:schemeClr>
              </a:solidFill>
              <a:ln w="6350">
                <a:solidFill>
                  <a:schemeClr val="lt1">
                    <a:alpha val="50000"/>
                  </a:schemeClr>
                </a:solidFill>
              </a:ln>
              <a:effectLst/>
            </c:spPr>
          </c:dPt>
          <c:dLbls>
            <c:dLbl>
              <c:idx val="3"/>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5"/>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6"/>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7"/>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8"/>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9"/>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0"/>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1"/>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2"/>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1"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Sheet1!$A$2:$A$14</c:f>
              <c:strCache>
                <c:ptCount val="13"/>
                <c:pt idx="0">
                  <c:v>概况信息类</c:v>
                </c:pt>
                <c:pt idx="1">
                  <c:v>人事任免类</c:v>
                </c:pt>
                <c:pt idx="2">
                  <c:v>政策文件类</c:v>
                </c:pt>
                <c:pt idx="3">
                  <c:v>政府工作报告</c:v>
                </c:pt>
                <c:pt idx="4">
                  <c:v>会议公开类</c:v>
                </c:pt>
                <c:pt idx="5">
                  <c:v>政策解读类</c:v>
                </c:pt>
                <c:pt idx="6">
                  <c:v>政务公开机制保障类</c:v>
                </c:pt>
                <c:pt idx="7">
                  <c:v>公共企事业单位类</c:v>
                </c:pt>
                <c:pt idx="8">
                  <c:v>基层政务公开标准目录类</c:v>
                </c:pt>
                <c:pt idx="9">
                  <c:v>重点领域类</c:v>
                </c:pt>
                <c:pt idx="10">
                  <c:v>行政权利运行类</c:v>
                </c:pt>
                <c:pt idx="11">
                  <c:v>主动公开目录</c:v>
                </c:pt>
                <c:pt idx="12">
                  <c:v>政府公报类</c:v>
                </c:pt>
              </c:strCache>
            </c:strRef>
          </c:cat>
          <c:val>
            <c:numRef>
              <c:f>Sheet1!$B$2:$B$14</c:f>
              <c:numCache>
                <c:formatCode>General</c:formatCode>
                <c:ptCount val="13"/>
                <c:pt idx="0">
                  <c:v>4</c:v>
                </c:pt>
                <c:pt idx="1">
                  <c:v>19</c:v>
                </c:pt>
                <c:pt idx="2">
                  <c:v>51</c:v>
                </c:pt>
                <c:pt idx="3">
                  <c:v>1</c:v>
                </c:pt>
                <c:pt idx="4">
                  <c:v>17</c:v>
                </c:pt>
                <c:pt idx="5">
                  <c:v>76</c:v>
                </c:pt>
                <c:pt idx="6">
                  <c:v>23</c:v>
                </c:pt>
                <c:pt idx="7">
                  <c:v>23</c:v>
                </c:pt>
                <c:pt idx="8">
                  <c:v>26</c:v>
                </c:pt>
                <c:pt idx="9">
                  <c:v>53</c:v>
                </c:pt>
                <c:pt idx="10">
                  <c:v>17</c:v>
                </c:pt>
                <c:pt idx="11">
                  <c:v>2</c:v>
                </c:pt>
                <c:pt idx="12">
                  <c:v>254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l"/>
      <c:layout>
        <c:manualLayout>
          <c:xMode val="edge"/>
          <c:yMode val="edge"/>
          <c:x val="0.0400908726446612"/>
          <c:y val="0.305425318151373"/>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accent3">
        <a:lumMod val="20000"/>
        <a:lumOff val="80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355852511754516"/>
          <c:y val="0.005"/>
          <c:w val="0.913684731502103"/>
          <c:h val="0.926666666666667"/>
        </c:manualLayout>
      </c:layout>
      <c:barChart>
        <c:barDir val="col"/>
        <c:grouping val="clustered"/>
        <c:varyColors val="false"/>
        <c:ser>
          <c:idx val="0"/>
          <c:order val="0"/>
          <c:tx>
            <c:strRef>
              <c:f>Sheet1!$B$1</c:f>
              <c:strCache>
                <c:ptCount val="1"/>
                <c:pt idx="0">
                  <c:v>文字解读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20</c:v>
                </c:pt>
              </c:numCache>
            </c:numRef>
          </c:val>
        </c:ser>
        <c:ser>
          <c:idx val="1"/>
          <c:order val="1"/>
          <c:tx>
            <c:strRef>
              <c:f>Sheet1!$C$1</c:f>
              <c:strCache>
                <c:ptCount val="1"/>
                <c:pt idx="0">
                  <c:v>市政府领导解读</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c:v>
                </c:pt>
              </c:numCache>
            </c:numRef>
          </c:val>
        </c:ser>
        <c:ser>
          <c:idx val="2"/>
          <c:order val="2"/>
          <c:tx>
            <c:strRef>
              <c:f>Sheet1!$D$1</c:f>
              <c:strCache>
                <c:ptCount val="1"/>
                <c:pt idx="0">
                  <c:v>图文解读</c:v>
                </c:pt>
              </c:strCache>
            </c:strRef>
          </c:tx>
          <c:spPr>
            <a:solidFill>
              <a:srgbClr val="F3F063"/>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10</c:v>
                </c:pt>
              </c:numCache>
            </c:numRef>
          </c:val>
        </c:ser>
        <c:ser>
          <c:idx val="3"/>
          <c:order val="3"/>
          <c:tx>
            <c:strRef>
              <c:f>Sheet1!$E$1</c:f>
              <c:strCache>
                <c:ptCount val="1"/>
                <c:pt idx="0">
                  <c:v>简明问答</c:v>
                </c:pt>
              </c:strCache>
            </c:strRef>
          </c:tx>
          <c:spPr>
            <a:solidFill>
              <a:srgbClr val="3CB162"/>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Sheet1!$E$2</c:f>
              <c:numCache>
                <c:formatCode>General</c:formatCode>
                <c:ptCount val="1"/>
                <c:pt idx="0">
                  <c:v>4</c:v>
                </c:pt>
              </c:numCache>
            </c:numRef>
          </c:val>
        </c:ser>
        <c:ser>
          <c:idx val="4"/>
          <c:order val="4"/>
          <c:tx>
            <c:strRef>
              <c:f>Sheet1!$F$1</c:f>
              <c:strCache>
                <c:ptCount val="1"/>
                <c:pt idx="0">
                  <c:v>音频解读</c:v>
                </c:pt>
              </c:strCache>
            </c:strRef>
          </c:tx>
          <c:spPr>
            <a:solidFill>
              <a:srgbClr val="48AFD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Sheet1!$F$2</c:f>
              <c:numCache>
                <c:formatCode>General</c:formatCode>
                <c:ptCount val="1"/>
                <c:pt idx="0">
                  <c:v>16</c:v>
                </c:pt>
              </c:numCache>
            </c:numRef>
          </c:val>
        </c:ser>
        <c:ser>
          <c:idx val="5"/>
          <c:order val="5"/>
          <c:tx>
            <c:strRef>
              <c:f>Sheet1!$G$1</c:f>
              <c:strCache>
                <c:ptCount val="1"/>
                <c:pt idx="0">
                  <c:v>视频解读</c:v>
                </c:pt>
              </c:strCache>
            </c:strRef>
          </c:tx>
          <c:spPr>
            <a:solidFill>
              <a:srgbClr val="D073A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Sheet1!$G$2</c:f>
              <c:numCache>
                <c:formatCode>General</c:formatCode>
                <c:ptCount val="1"/>
                <c:pt idx="0">
                  <c:v>2</c:v>
                </c:pt>
              </c:numCache>
            </c:numRef>
          </c:val>
        </c:ser>
        <c:ser>
          <c:idx val="6"/>
          <c:order val="6"/>
          <c:tx>
            <c:strRef>
              <c:f>Sheet1!$H$1</c:f>
              <c:strCache>
                <c:ptCount val="1"/>
                <c:pt idx="0">
                  <c:v>部门主要负责人解读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Sheet1!$H$2</c:f>
              <c:numCache>
                <c:formatCode>General</c:formatCode>
                <c:ptCount val="1"/>
                <c:pt idx="0">
                  <c:v>3</c:v>
                </c:pt>
              </c:numCache>
            </c:numRef>
          </c:val>
        </c:ser>
        <c:ser>
          <c:idx val="7"/>
          <c:order val="7"/>
          <c:tx>
            <c:strRef>
              <c:f>Sheet1!$I$1</c:f>
              <c:strCache>
                <c:ptCount val="1"/>
                <c:pt idx="0">
                  <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Sheet1!$I$2</c:f>
              <c:numCache>
                <c:formatCode>General</c:formatCode>
                <c:ptCount val="1"/>
              </c:numCache>
            </c:numRef>
          </c:val>
        </c:ser>
        <c:dLbls>
          <c:showLegendKey val="false"/>
          <c:showVal val="false"/>
          <c:showCatName val="false"/>
          <c:showSerName val="false"/>
          <c:showPercent val="false"/>
          <c:showBubbleSize val="false"/>
        </c:dLbls>
        <c:gapWidth val="150"/>
        <c:overlap val="0"/>
        <c:axId val="769531830"/>
        <c:axId val="485878842"/>
      </c:barChart>
      <c:catAx>
        <c:axId val="769531830"/>
        <c:scaling>
          <c:orientation val="minMax"/>
        </c:scaling>
        <c:delete val="true"/>
        <c:axPos val="b"/>
        <c:majorTickMark val="none"/>
        <c:minorTickMark val="none"/>
        <c:tickLblPos val="nextTo"/>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85878842"/>
        <c:crosses val="autoZero"/>
        <c:auto val="true"/>
        <c:lblAlgn val="ctr"/>
        <c:lblOffset val="100"/>
        <c:noMultiLvlLbl val="false"/>
      </c:catAx>
      <c:valAx>
        <c:axId val="485878842"/>
        <c:scaling>
          <c:orientation val="minMax"/>
        </c:scaling>
        <c:delete val="false"/>
        <c:axPos val="l"/>
        <c:majorGridlines>
          <c:spPr>
            <a:ln w="9525" cap="flat" cmpd="sng" algn="ctr">
              <a:solidFill>
                <a:schemeClr val="bg1">
                  <a:lumMod val="9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69531830"/>
        <c:crosses val="autoZero"/>
        <c:crossBetween val="between"/>
      </c:valAx>
      <c:spPr>
        <a:solidFill>
          <a:schemeClr val="bg1"/>
        </a:solidFill>
        <a:ln>
          <a:solidFill>
            <a:schemeClr val="bg1">
              <a:lumMod val="85000"/>
            </a:schemeClr>
          </a:solidFill>
        </a:ln>
        <a:effectLst/>
      </c:spPr>
    </c:plotArea>
    <c:plotVisOnly val="true"/>
    <c:dispBlanksAs val="gap"/>
    <c:showDLblsOverMax val="false"/>
  </c:chart>
  <c:spPr>
    <a:solidFill>
      <a:schemeClr val="bg1">
        <a:lumMod val="95000"/>
      </a:schemeClr>
    </a:solidFill>
    <a:ln w="9525" cap="flat" cmpd="sng" algn="ctr">
      <a:solidFill>
        <a:schemeClr val="tx1">
          <a:lumMod val="15000"/>
          <a:lumOff val="8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col"/>
        <c:grouping val="clustered"/>
        <c:varyColors val="false"/>
        <c:ser>
          <c:idx val="0"/>
          <c:order val="0"/>
          <c:tx>
            <c:strRef>
              <c:f>Sheet1!$B$1</c:f>
              <c:strCache>
                <c:ptCount val="1"/>
                <c:pt idx="0">
                  <c:v>予以公开</c:v>
                </c:pt>
              </c:strCache>
            </c:strRef>
          </c:tx>
          <c:spPr>
            <a:blipFill rotWithShape="true">
              <a:blip xmlns:r="http://schemas.openxmlformats.org/officeDocument/2006/relationships" r:embed="rId3"/>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17</c:v>
                </c:pt>
              </c:numCache>
            </c:numRef>
          </c:val>
        </c:ser>
        <c:ser>
          <c:idx val="1"/>
          <c:order val="1"/>
          <c:tx>
            <c:strRef>
              <c:f>Sheet1!$C$1</c:f>
              <c:strCache>
                <c:ptCount val="1"/>
                <c:pt idx="0">
                  <c:v>无法提供</c:v>
                </c:pt>
              </c:strCache>
            </c:strRef>
          </c:tx>
          <c:spPr>
            <a:blipFill rotWithShape="true">
              <a:blip xmlns:r="http://schemas.openxmlformats.org/officeDocument/2006/relationships" r:embed="rId4"/>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11</c:v>
                </c:pt>
              </c:numCache>
            </c:numRef>
          </c:val>
        </c:ser>
        <c:ser>
          <c:idx val="2"/>
          <c:order val="2"/>
          <c:tx>
            <c:strRef>
              <c:f>Sheet1!$D$1</c:f>
              <c:strCache>
                <c:ptCount val="1"/>
                <c:pt idx="0">
                  <c:v>不予处理</c:v>
                </c:pt>
              </c:strCache>
            </c:strRef>
          </c:tx>
          <c:spPr>
            <a:blipFill rotWithShape="true">
              <a:blip xmlns:r="http://schemas.openxmlformats.org/officeDocument/2006/relationships" r:embed="rId5"/>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c:v>
                </c:pt>
              </c:numCache>
            </c:numRef>
          </c:val>
        </c:ser>
        <c:ser>
          <c:idx val="3"/>
          <c:order val="3"/>
          <c:tx>
            <c:strRef>
              <c:f>Sheet1!$E$1</c:f>
              <c:strCache>
                <c:ptCount val="1"/>
                <c:pt idx="0">
                  <c:v>其他处理</c:v>
                </c:pt>
              </c:strCache>
            </c:strRef>
          </c:tx>
          <c:spPr>
            <a:blipFill rotWithShape="true">
              <a:blip xmlns:r="http://schemas.openxmlformats.org/officeDocument/2006/relationships" r:embed="rId6"/>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10</c:v>
                </c:pt>
              </c:numCache>
            </c:numRef>
          </c:val>
        </c:ser>
        <c:dLbls>
          <c:showLegendKey val="false"/>
          <c:showVal val="true"/>
          <c:showCatName val="false"/>
          <c:showSerName val="false"/>
          <c:showPercent val="false"/>
          <c:showBubbleSize val="false"/>
        </c:dLbls>
        <c:gapWidth val="75"/>
        <c:overlap val="0"/>
        <c:axId val="399346127"/>
        <c:axId val="258427516"/>
      </c:barChart>
      <c:catAx>
        <c:axId val="399346127"/>
        <c:scaling>
          <c:orientation val="minMax"/>
        </c:scaling>
        <c:delete val="false"/>
        <c:axPos val="b"/>
        <c:numFmt formatCode="General" sourceLinked="false"/>
        <c:majorTickMark val="none"/>
        <c:minorTickMark val="none"/>
        <c:tickLblPos val="nextTo"/>
        <c:spPr>
          <a:noFill/>
          <a:ln w="9525" cap="flat" cmpd="sng" algn="ctr">
            <a:no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427516"/>
        <c:crosses val="autoZero"/>
        <c:auto val="true"/>
        <c:lblAlgn val="ctr"/>
        <c:lblOffset val="100"/>
        <c:noMultiLvlLbl val="false"/>
      </c:catAx>
      <c:valAx>
        <c:axId val="258427516"/>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9934612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2764</Words>
  <Characters>2984</Characters>
  <Lines>0</Lines>
  <Paragraphs>0</Paragraphs>
  <TotalTime>12</TotalTime>
  <ScaleCrop>false</ScaleCrop>
  <LinksUpToDate>false</LinksUpToDate>
  <CharactersWithSpaces>3016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2020-02-09T19:04:00Z</dcterms:created>
  <dc:creator>刚罡</dc:creator>
  <cp:lastModifiedBy>user</cp:lastModifiedBy>
  <dcterms:modified xsi:type="dcterms:W3CDTF">2025-05-20T08:57:06Z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71A9CD1241C34BDC80BCDA3ECE8FC1A2</vt:lpwstr>
  </property>
</Properties>
</file>