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240" w:line="195" w:lineRule="atLeast"/>
        <w:ind w:firstLine="634"/>
        <w:jc w:val="center"/>
        <w:rPr>
          <w:rFonts w:hint="eastAsia" w:ascii="方正公文小标宋" w:hAnsi="方正公文小标宋" w:eastAsia="方正公文小标宋" w:cs="方正公文小标宋"/>
          <w:color w:val="000000"/>
          <w:kern w:val="0"/>
          <w:sz w:val="44"/>
          <w:szCs w:val="44"/>
        </w:rPr>
      </w:pPr>
      <w:r>
        <w:rPr>
          <w:rFonts w:hint="eastAsia" w:ascii="方正公文小标宋" w:hAnsi="方正公文小标宋" w:eastAsia="方正公文小标宋" w:cs="方正公文小标宋"/>
          <w:color w:val="000000"/>
          <w:kern w:val="0"/>
          <w:sz w:val="44"/>
          <w:szCs w:val="44"/>
        </w:rPr>
        <w:t>滕州市退役军人事务局</w:t>
      </w:r>
      <w:r>
        <w:rPr>
          <w:rFonts w:hint="eastAsia" w:ascii="方正公文小标宋" w:hAnsi="方正公文小标宋" w:eastAsia="方正公文小标宋" w:cs="方正公文小标宋"/>
          <w:color w:val="000000"/>
          <w:kern w:val="0"/>
          <w:sz w:val="44"/>
          <w:szCs w:val="44"/>
        </w:rPr>
        <w:t>2020年政府信息公开工作年度报告</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根据《中华人民共和国政府信息公开条例》、《国务院办公厅政府信息与政务公开办公室关于政府信息公开工作年度报告有关事项的通知》（国办公开办函〔2020〕60号）和《山东省政府信息公开办法》以及枣庄、滕州有关文件要求，结合我局实际，编制并向社会公布滕州市退役军人事务局2020年政府信息公开工作年度报告。本年度报告中所列数据的统计期限自2020年1月1日起，至2020年12月31日止。</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黑体" w:hAnsi="黑体" w:eastAsia="黑体" w:cs="黑体"/>
          <w:color w:val="000000"/>
          <w:kern w:val="0"/>
          <w:sz w:val="32"/>
          <w:szCs w:val="32"/>
        </w:rPr>
        <w:t>一、总体情况</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2020年，滕州市退役军人事务局按照市委、市政府的统一部署，认真贯彻落实《中华人民共和国政府信息公开条例》和省、市关于政府信息公开工作的要求，紧扣本单位的工作实际，加强门户网站、政务新媒体信息公开力度，优化政务服务机制，提高工作效率，不断提升政府信息公开工作力度和实效，政府信息公开水平实现新的突破。</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宋体" w:hAnsi="宋体" w:eastAsia="宋体" w:cs="Arial"/>
          <w:color w:val="000000"/>
          <w:kern w:val="0"/>
          <w:sz w:val="32"/>
          <w:szCs w:val="32"/>
        </w:rPr>
        <w:t>（一）政府信息主动公开情况</w:t>
      </w:r>
    </w:p>
    <w:p>
      <w:pPr>
        <w:widowControl/>
        <w:spacing w:before="100" w:beforeAutospacing="1" w:line="720" w:lineRule="atLeast"/>
        <w:ind w:firstLine="634"/>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市退役军人事务局始终坚持“以公开为常态、不公开为例外”的原则，从聚焦中心工作加强信息公开、聚焦“六稳”“六保”工作加强政策解读回应等方面，持续深化退役军人事务领域政府信息公开，通过市政府信息公开专栏、局门户网站、微信公众号等多种渠道，主动做好政府信息主动公开工作。截止2020年12月31日，主动公开政府信息274条。其中，通过市政府信息公开专栏主动公开政府信息38条，通过局网站主动公开政府信息82条，通过微信公众号主动公开政府信息154条。</w:t>
      </w:r>
    </w:p>
    <w:p>
      <w:pPr>
        <w:widowControl/>
        <w:spacing w:before="100" w:beforeAutospacing="1" w:line="720" w:lineRule="atLeast"/>
        <w:ind w:firstLine="634"/>
        <w:jc w:val="left"/>
        <w:rPr>
          <w:rFonts w:ascii="Arial" w:hAnsi="Arial" w:eastAsia="宋体" w:cs="Arial"/>
          <w:color w:val="000000"/>
          <w:kern w:val="0"/>
          <w:sz w:val="20"/>
          <w:szCs w:val="20"/>
        </w:rPr>
      </w:pPr>
      <w:bookmarkStart w:id="0" w:name="_GoBack"/>
      <w:r>
        <w:rPr>
          <w:rFonts w:ascii="Arial" w:hAnsi="Arial" w:eastAsia="宋体" w:cs="Arial"/>
          <w:color w:val="000000"/>
          <w:kern w:val="0"/>
          <w:sz w:val="20"/>
          <w:szCs w:val="20"/>
        </w:rPr>
        <w:drawing>
          <wp:inline distT="0" distB="0" distL="0" distR="0">
            <wp:extent cx="5274310" cy="3537585"/>
            <wp:effectExtent l="0" t="0" r="2540" b="5715"/>
            <wp:docPr id="5" name="图片 4" descr="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3333.png"/>
                    <pic:cNvPicPr>
                      <a:picLocks noChangeAspect="1"/>
                    </pic:cNvPicPr>
                  </pic:nvPicPr>
                  <pic:blipFill>
                    <a:blip r:embed="rId4"/>
                    <a:stretch>
                      <a:fillRect/>
                    </a:stretch>
                  </pic:blipFill>
                  <pic:spPr>
                    <a:xfrm>
                      <a:off x="0" y="0"/>
                      <a:ext cx="5274310" cy="3537585"/>
                    </a:xfrm>
                    <a:prstGeom prst="rect">
                      <a:avLst/>
                    </a:prstGeom>
                  </pic:spPr>
                </pic:pic>
              </a:graphicData>
            </a:graphic>
          </wp:inline>
        </w:drawing>
      </w:r>
      <w:bookmarkEnd w:id="0"/>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1、及时公开机构概况。根据《中华人民共和国政府信息公开条例》第二十条第（二）款要求，及时更新机关职能、机构设置、办公地址、办公时间、联系方式等，并在市政府信息公开专栏和局机关网站公布。</w:t>
      </w:r>
    </w:p>
    <w:p>
      <w:pPr>
        <w:widowControl/>
        <w:spacing w:before="100" w:beforeAutospacing="1" w:line="720" w:lineRule="atLeast"/>
        <w:jc w:val="center"/>
        <w:rPr>
          <w:rFonts w:ascii="Arial" w:hAnsi="Arial" w:eastAsia="宋体" w:cs="Arial"/>
          <w:color w:val="000000"/>
          <w:kern w:val="0"/>
          <w:sz w:val="20"/>
          <w:szCs w:val="20"/>
        </w:rPr>
      </w:pPr>
      <w:r>
        <w:rPr>
          <w:rFonts w:ascii="Arial" w:hAnsi="Arial" w:eastAsia="宋体" w:cs="Arial"/>
          <w:color w:val="000000"/>
          <w:kern w:val="0"/>
          <w:sz w:val="20"/>
          <w:szCs w:val="20"/>
        </w:rPr>
        <w:drawing>
          <wp:inline distT="0" distB="0" distL="0" distR="0">
            <wp:extent cx="4772025" cy="2009775"/>
            <wp:effectExtent l="19050" t="0" r="9525" b="0"/>
            <wp:docPr id="2" name="图片 2" descr="http://172.20.24.4/webpic/W0202105/W020210524/W020210524560245545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172.20.24.4/webpic/W0202105/W020210524/W020210524560245545960.png"/>
                    <pic:cNvPicPr>
                      <a:picLocks noChangeAspect="1" noChangeArrowheads="1"/>
                    </pic:cNvPicPr>
                  </pic:nvPicPr>
                  <pic:blipFill>
                    <a:blip r:embed="rId5"/>
                    <a:stretch>
                      <a:fillRect/>
                    </a:stretch>
                  </pic:blipFill>
                  <pic:spPr>
                    <a:xfrm>
                      <a:off x="0" y="0"/>
                      <a:ext cx="4772025" cy="2009775"/>
                    </a:xfrm>
                    <a:prstGeom prst="rect">
                      <a:avLst/>
                    </a:prstGeom>
                    <a:noFill/>
                    <a:ln w="9525">
                      <a:noFill/>
                      <a:miter lim="800000"/>
                      <a:headEnd/>
                      <a:tailEnd/>
                    </a:ln>
                  </pic:spPr>
                </pic:pic>
              </a:graphicData>
            </a:graphic>
          </wp:inline>
        </w:drawing>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2、及时公开退役军人安置、就业领域信息。结合滕州市实际，及时公开发布退役军人安置、就业等方面的经办流程、政策制度等，细化公开内容，让公众看得懂。</w:t>
      </w:r>
    </w:p>
    <w:p>
      <w:pPr>
        <w:widowControl/>
        <w:spacing w:before="100" w:beforeAutospacing="1" w:line="720" w:lineRule="atLeast"/>
        <w:jc w:val="center"/>
        <w:rPr>
          <w:rFonts w:ascii="Arial" w:hAnsi="Arial" w:eastAsia="宋体" w:cs="Arial"/>
          <w:color w:val="000000"/>
          <w:kern w:val="0"/>
          <w:sz w:val="20"/>
          <w:szCs w:val="20"/>
        </w:rPr>
      </w:pPr>
      <w:r>
        <w:rPr>
          <w:rFonts w:ascii="Arial" w:hAnsi="Arial" w:eastAsia="宋体" w:cs="Arial"/>
          <w:color w:val="000000"/>
          <w:kern w:val="0"/>
          <w:sz w:val="20"/>
          <w:szCs w:val="20"/>
        </w:rPr>
        <w:drawing>
          <wp:inline distT="0" distB="0" distL="0" distR="0">
            <wp:extent cx="4843145" cy="3362325"/>
            <wp:effectExtent l="19050" t="0" r="0" b="0"/>
            <wp:docPr id="3" name="图片 3" descr="http://172.20.24.4/webpic/W0202105/W020210524/W020210524560245557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172.20.24.4/webpic/W0202105/W020210524/W020210524560245557203.png"/>
                    <pic:cNvPicPr>
                      <a:picLocks noChangeAspect="1" noChangeArrowheads="1"/>
                    </pic:cNvPicPr>
                  </pic:nvPicPr>
                  <pic:blipFill>
                    <a:blip r:embed="rId6"/>
                    <a:stretch>
                      <a:fillRect/>
                    </a:stretch>
                  </pic:blipFill>
                  <pic:spPr>
                    <a:xfrm>
                      <a:off x="0" y="0"/>
                      <a:ext cx="4843258" cy="3362325"/>
                    </a:xfrm>
                    <a:prstGeom prst="rect">
                      <a:avLst/>
                    </a:prstGeom>
                    <a:noFill/>
                    <a:ln w="9525">
                      <a:noFill/>
                      <a:miter lim="800000"/>
                      <a:headEnd/>
                      <a:tailEnd/>
                    </a:ln>
                  </pic:spPr>
                </pic:pic>
              </a:graphicData>
            </a:graphic>
          </wp:inline>
        </w:drawing>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3、推进行政权力运行公开。一是动态公开政府工作报告进展情况。对政府工作报告中的退役军人重点工作，建立工作台账，在政府信息公开专栏主动公开，方便社会公众知晓。二是公开行政执法信息。公开行政执法主体、服务指南、行政处罚事项目录等，公布行政执法流程图，及时公示行政执法结果信息。</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楷体" w:hAnsi="楷体" w:eastAsia="楷体" w:cs="Arial"/>
          <w:color w:val="000000"/>
          <w:kern w:val="0"/>
          <w:sz w:val="32"/>
          <w:szCs w:val="32"/>
        </w:rPr>
        <w:t>（二）政府信息依申请公开情况</w:t>
      </w:r>
    </w:p>
    <w:p>
      <w:pPr>
        <w:pStyle w:val="5"/>
        <w:shd w:val="clear" w:color="auto" w:fill="FFFFFF"/>
        <w:spacing w:before="0" w:beforeAutospacing="0" w:after="0" w:afterAutospacing="0" w:line="630" w:lineRule="atLeast"/>
        <w:ind w:firstLine="630"/>
        <w:rPr>
          <w:rFonts w:ascii="Arial" w:hAnsi="Arial" w:cs="Arial"/>
          <w:color w:val="000000"/>
          <w:sz w:val="27"/>
          <w:szCs w:val="27"/>
        </w:rPr>
      </w:pPr>
      <w:r>
        <w:rPr>
          <w:rFonts w:hint="eastAsia" w:ascii="仿宋" w:hAnsi="仿宋" w:eastAsia="仿宋" w:cs="Arial"/>
          <w:color w:val="000000"/>
          <w:sz w:val="32"/>
          <w:szCs w:val="32"/>
        </w:rPr>
        <w:t>公开概况。2020年，滕州市退役军人事务局共受理0件政府信息公开申请，结转上年政府信息公开申请0件，均为自然人提交。</w:t>
      </w:r>
    </w:p>
    <w:p>
      <w:pPr>
        <w:pStyle w:val="5"/>
        <w:shd w:val="clear" w:color="auto" w:fill="FFFFFF"/>
        <w:spacing w:before="0" w:beforeAutospacing="0" w:after="0" w:afterAutospacing="0" w:line="630" w:lineRule="atLeast"/>
        <w:ind w:firstLine="630"/>
        <w:rPr>
          <w:rFonts w:ascii="Arial" w:hAnsi="Arial" w:cs="Arial"/>
          <w:color w:val="000000"/>
          <w:sz w:val="27"/>
          <w:szCs w:val="27"/>
        </w:rPr>
      </w:pPr>
      <w:r>
        <w:rPr>
          <w:rFonts w:hint="eastAsia" w:ascii="仿宋" w:hAnsi="仿宋" w:eastAsia="仿宋" w:cs="Arial"/>
          <w:color w:val="000000"/>
          <w:sz w:val="32"/>
          <w:szCs w:val="32"/>
        </w:rPr>
        <w:t>（三）建议提案办理公开情况</w:t>
      </w:r>
    </w:p>
    <w:p>
      <w:pPr>
        <w:pStyle w:val="5"/>
        <w:shd w:val="clear" w:color="auto" w:fill="FFFFFF"/>
        <w:spacing w:before="0" w:beforeAutospacing="0" w:after="0" w:afterAutospacing="0" w:line="630" w:lineRule="atLeast"/>
        <w:ind w:firstLine="630"/>
        <w:rPr>
          <w:rFonts w:ascii="Arial" w:hAnsi="Arial" w:cs="Arial"/>
          <w:color w:val="000000"/>
          <w:sz w:val="27"/>
          <w:szCs w:val="27"/>
        </w:rPr>
      </w:pPr>
      <w:r>
        <w:rPr>
          <w:rFonts w:hint="eastAsia" w:ascii="仿宋" w:hAnsi="仿宋" w:eastAsia="仿宋" w:cs="Arial"/>
          <w:color w:val="000000"/>
          <w:sz w:val="32"/>
          <w:szCs w:val="32"/>
        </w:rPr>
        <w:t>2020年度办理政协提案1个，主要涉及退役军人生活保障等方面。市退役军人事务局按照提案办理要求，加强组织领导，强化工作措施，规范办理程序，圆满完成了提案办理工作，实现办复率、面复率和满意率3个100％，得到了政协委员们的普遍认可和高度评价，取得了良好成效。</w:t>
      </w:r>
    </w:p>
    <w:p>
      <w:pPr>
        <w:pStyle w:val="5"/>
        <w:shd w:val="clear" w:color="auto" w:fill="FFFFFF"/>
        <w:spacing w:before="0" w:beforeAutospacing="0" w:after="0" w:afterAutospacing="0" w:line="630" w:lineRule="atLeast"/>
        <w:ind w:firstLine="630"/>
        <w:rPr>
          <w:rFonts w:ascii="Arial" w:hAnsi="Arial" w:cs="Arial"/>
          <w:color w:val="000000"/>
          <w:sz w:val="27"/>
          <w:szCs w:val="27"/>
        </w:rPr>
      </w:pPr>
      <w:r>
        <w:rPr>
          <w:rFonts w:hint="eastAsia" w:ascii="仿宋" w:hAnsi="仿宋" w:eastAsia="仿宋" w:cs="Arial"/>
          <w:color w:val="000000"/>
          <w:sz w:val="32"/>
          <w:szCs w:val="32"/>
        </w:rPr>
        <w:t>（四）政府信息管理情况</w:t>
      </w:r>
    </w:p>
    <w:p>
      <w:pPr>
        <w:pStyle w:val="5"/>
        <w:shd w:val="clear" w:color="auto" w:fill="FFFFFF"/>
        <w:spacing w:before="0" w:beforeAutospacing="0" w:after="0" w:afterAutospacing="0" w:line="630" w:lineRule="atLeast"/>
        <w:ind w:firstLine="630"/>
        <w:rPr>
          <w:rFonts w:ascii="Arial" w:hAnsi="Arial" w:cs="Arial"/>
          <w:color w:val="000000"/>
          <w:sz w:val="27"/>
          <w:szCs w:val="27"/>
        </w:rPr>
      </w:pPr>
      <w:r>
        <w:rPr>
          <w:rFonts w:hint="eastAsia" w:ascii="仿宋" w:hAnsi="仿宋" w:eastAsia="仿宋" w:cs="Arial"/>
          <w:color w:val="000000"/>
          <w:sz w:val="32"/>
          <w:szCs w:val="32"/>
        </w:rPr>
        <w:t>全面梳理了门户网站政务公开目录，收集、整理各类政务公开信息，并确定政府门户网站上的政务公开目录，按照目录要求收集公开信息并在网上公开。同时，严格遵循“谁公开、谁审查、谁负责”原则，确保了政务信息公开工作扎实有效开展。健全完善信息公开保密审查制度，提高政府信息公开工作的规范化水平。</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楷体" w:hAnsi="楷体" w:eastAsia="楷体" w:cs="Arial"/>
          <w:color w:val="000000"/>
          <w:kern w:val="0"/>
          <w:sz w:val="32"/>
          <w:szCs w:val="32"/>
        </w:rPr>
        <w:t>（五）政府信息平台建设情况</w:t>
      </w:r>
    </w:p>
    <w:p>
      <w:pPr>
        <w:widowControl/>
        <w:spacing w:before="100" w:beforeAutospacing="1" w:line="720" w:lineRule="atLeast"/>
        <w:ind w:firstLine="634"/>
        <w:jc w:val="left"/>
        <w:rPr>
          <w:rFonts w:ascii="仿宋" w:hAnsi="仿宋" w:eastAsia="仿宋" w:cs="Arial"/>
          <w:color w:val="000000"/>
          <w:kern w:val="0"/>
          <w:sz w:val="32"/>
          <w:szCs w:val="32"/>
        </w:rPr>
      </w:pPr>
      <w:r>
        <w:rPr>
          <w:rFonts w:hint="eastAsia" w:ascii="仿宋" w:hAnsi="仿宋" w:eastAsia="仿宋"/>
          <w:color w:val="000000"/>
          <w:sz w:val="32"/>
          <w:szCs w:val="32"/>
        </w:rPr>
        <w:t>结合自身实际情况，从制度建设入手，完善政府信息公开制度，明确政府信息公开的职责、范围、方式和操作流程。将信息公开的内容和速率作为信息公开工作的核心，安排人员负责公开信息的编辑、审核与发布。同时积极构建微信公众号等新媒体宣传工作新格局，“滕州退役军人事务局”微信公众号关注人数达到5722人。</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楷体" w:hAnsi="楷体" w:eastAsia="楷体" w:cs="Arial"/>
          <w:color w:val="000000"/>
          <w:kern w:val="0"/>
          <w:sz w:val="32"/>
          <w:szCs w:val="32"/>
        </w:rPr>
        <w:t>（六）监督保障情况</w:t>
      </w:r>
    </w:p>
    <w:p>
      <w:pPr>
        <w:pStyle w:val="5"/>
        <w:shd w:val="clear" w:color="auto" w:fill="FFFFFF"/>
        <w:spacing w:before="0" w:beforeAutospacing="0" w:after="0" w:afterAutospacing="0" w:line="630" w:lineRule="atLeast"/>
        <w:ind w:firstLine="630"/>
        <w:rPr>
          <w:rFonts w:ascii="Arial" w:hAnsi="Arial" w:cs="Arial"/>
          <w:color w:val="000000"/>
          <w:sz w:val="20"/>
          <w:szCs w:val="20"/>
        </w:rPr>
      </w:pPr>
      <w:r>
        <w:rPr>
          <w:rFonts w:hint="eastAsia" w:ascii="仿宋" w:hAnsi="仿宋" w:eastAsia="仿宋" w:cs="Arial"/>
          <w:color w:val="000000"/>
          <w:sz w:val="32"/>
          <w:szCs w:val="32"/>
        </w:rPr>
        <w:t>根据全市政府信息公开工作统一部署和要求，进一步强化信息公开工作的组织领导，加强了由主要领导任组长，分管领导任副组长，有关科室负责人为成员，推进政务公开工作。2020年，市退役军人事务局未发生因政府信息公开审查不当或保密审查机构未履行保密审查职责而引起的失泄密情况。</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黑体" w:hAnsi="黑体" w:eastAsia="黑体" w:cs="Arial"/>
          <w:color w:val="000000"/>
          <w:kern w:val="0"/>
          <w:sz w:val="32"/>
          <w:szCs w:val="32"/>
        </w:rPr>
        <w:t>二、主动公开政府信息情况</w:t>
      </w:r>
    </w:p>
    <w:tbl>
      <w:tblPr>
        <w:tblStyle w:val="6"/>
        <w:tblW w:w="865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2705"/>
        <w:gridCol w:w="2009"/>
        <w:gridCol w:w="1468"/>
        <w:gridCol w:w="2473"/>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85" w:hRule="atLeast"/>
          <w:jc w:val="center"/>
        </w:trPr>
        <w:tc>
          <w:tcPr>
            <w:tcW w:w="8400" w:type="dxa"/>
            <w:gridSpan w:val="4"/>
            <w:tcBorders>
              <w:top w:val="single" w:color="00000A" w:sz="8" w:space="0"/>
              <w:left w:val="single" w:color="00000A" w:sz="8" w:space="0"/>
              <w:bottom w:val="single" w:color="00000A" w:sz="8" w:space="0"/>
              <w:right w:val="single" w:color="00000A" w:sz="8" w:space="0"/>
            </w:tcBorders>
            <w:shd w:val="clear" w:color="auto" w:fill="C6D9F1"/>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第二十条第（一）项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675"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信息内容</w:t>
            </w:r>
          </w:p>
        </w:tc>
        <w:tc>
          <w:tcPr>
            <w:tcW w:w="195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本年新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制作数量</w:t>
            </w:r>
          </w:p>
        </w:tc>
        <w:tc>
          <w:tcPr>
            <w:tcW w:w="1425" w:type="dxa"/>
            <w:tcBorders>
              <w:top w:val="single" w:color="00000A" w:sz="8" w:space="0"/>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本年新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公开数量</w:t>
            </w:r>
          </w:p>
        </w:tc>
        <w:tc>
          <w:tcPr>
            <w:tcW w:w="177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对外公开总数量</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30"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规章</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4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0</w:t>
            </w:r>
          </w:p>
        </w:tc>
        <w:tc>
          <w:tcPr>
            <w:tcW w:w="177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70"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规范性文件</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4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0</w:t>
            </w:r>
          </w:p>
        </w:tc>
        <w:tc>
          <w:tcPr>
            <w:tcW w:w="177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85" w:hRule="atLeast"/>
          <w:jc w:val="center"/>
        </w:trPr>
        <w:tc>
          <w:tcPr>
            <w:tcW w:w="8400" w:type="dxa"/>
            <w:gridSpan w:val="4"/>
            <w:tcBorders>
              <w:top w:val="nil"/>
              <w:left w:val="single" w:color="00000A" w:sz="8" w:space="0"/>
              <w:bottom w:val="single" w:color="00000A" w:sz="8" w:space="0"/>
              <w:right w:val="single" w:color="00000A" w:sz="8" w:space="0"/>
            </w:tcBorders>
            <w:shd w:val="clear" w:color="auto" w:fill="C6D9F1"/>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第二十条第（五）项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435"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信息内容</w:t>
            </w:r>
          </w:p>
        </w:tc>
        <w:tc>
          <w:tcPr>
            <w:tcW w:w="195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上一年项目数量</w:t>
            </w:r>
          </w:p>
        </w:tc>
        <w:tc>
          <w:tcPr>
            <w:tcW w:w="1425" w:type="dxa"/>
            <w:tcBorders>
              <w:top w:val="single" w:color="00000A" w:sz="8" w:space="0"/>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本年增</w:t>
            </w:r>
            <w:r>
              <w:rPr>
                <w:rFonts w:hint="eastAsia" w:ascii="宋体" w:hAnsi="宋体" w:eastAsia="宋体" w:cs="宋体"/>
                <w:kern w:val="0"/>
                <w:sz w:val="24"/>
                <w:szCs w:val="24"/>
              </w:rPr>
              <w:t>/减</w:t>
            </w:r>
          </w:p>
        </w:tc>
        <w:tc>
          <w:tcPr>
            <w:tcW w:w="177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处理决定数量</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30"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行政许可</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4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77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其他对外管理服务事项</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4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77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10" w:hRule="atLeast"/>
          <w:jc w:val="center"/>
        </w:trPr>
        <w:tc>
          <w:tcPr>
            <w:tcW w:w="8400" w:type="dxa"/>
            <w:gridSpan w:val="4"/>
            <w:tcBorders>
              <w:top w:val="nil"/>
              <w:left w:val="single" w:color="00000A" w:sz="8" w:space="0"/>
              <w:bottom w:val="single" w:color="00000A" w:sz="8" w:space="0"/>
              <w:right w:val="single" w:color="00000A" w:sz="8" w:space="0"/>
            </w:tcBorders>
            <w:shd w:val="clear" w:color="auto" w:fill="C6D9F1"/>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第二十条第（六）项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435"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信息内容</w:t>
            </w:r>
          </w:p>
        </w:tc>
        <w:tc>
          <w:tcPr>
            <w:tcW w:w="195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上一年项目数量</w:t>
            </w:r>
          </w:p>
        </w:tc>
        <w:tc>
          <w:tcPr>
            <w:tcW w:w="1425" w:type="dxa"/>
            <w:tcBorders>
              <w:top w:val="single" w:color="00000A" w:sz="8" w:space="0"/>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本年增</w:t>
            </w:r>
            <w:r>
              <w:rPr>
                <w:rFonts w:hint="eastAsia" w:ascii="宋体" w:hAnsi="宋体" w:eastAsia="宋体" w:cs="宋体"/>
                <w:kern w:val="0"/>
                <w:sz w:val="24"/>
                <w:szCs w:val="24"/>
              </w:rPr>
              <w:t>/减</w:t>
            </w:r>
          </w:p>
        </w:tc>
        <w:tc>
          <w:tcPr>
            <w:tcW w:w="177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处理决定数量</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25"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行政处罚</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4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77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10"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行政强制</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4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177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70" w:hRule="atLeast"/>
          <w:jc w:val="center"/>
        </w:trPr>
        <w:tc>
          <w:tcPr>
            <w:tcW w:w="8400" w:type="dxa"/>
            <w:gridSpan w:val="4"/>
            <w:tcBorders>
              <w:top w:val="nil"/>
              <w:left w:val="single" w:color="00000A" w:sz="8" w:space="0"/>
              <w:bottom w:val="single" w:color="00000A" w:sz="8" w:space="0"/>
              <w:right w:val="single" w:color="00000A" w:sz="8" w:space="0"/>
            </w:tcBorders>
            <w:shd w:val="clear" w:color="auto" w:fill="C6D9F1"/>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第二十条第（八）项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120"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12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信息内容</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12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上一年项目数量</w:t>
            </w:r>
          </w:p>
        </w:tc>
        <w:tc>
          <w:tcPr>
            <w:tcW w:w="3405" w:type="dxa"/>
            <w:gridSpan w:val="2"/>
            <w:tcBorders>
              <w:top w:val="single" w:color="00000A" w:sz="8" w:space="0"/>
              <w:left w:val="nil"/>
              <w:bottom w:val="single" w:color="00000A" w:sz="8" w:space="0"/>
              <w:right w:val="single" w:color="000001" w:sz="8" w:space="0"/>
            </w:tcBorders>
            <w:tcMar>
              <w:top w:w="0" w:type="dxa"/>
              <w:left w:w="115" w:type="dxa"/>
              <w:bottom w:w="0" w:type="dxa"/>
              <w:right w:w="115" w:type="dxa"/>
            </w:tcMar>
            <w:vAlign w:val="center"/>
          </w:tcPr>
          <w:p>
            <w:pPr>
              <w:widowControl/>
              <w:wordWrap w:val="0"/>
              <w:spacing w:line="12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本年增</w:t>
            </w:r>
            <w:r>
              <w:rPr>
                <w:rFonts w:hint="eastAsia" w:ascii="宋体" w:hAnsi="宋体" w:eastAsia="宋体" w:cs="宋体"/>
                <w:kern w:val="0"/>
                <w:sz w:val="24"/>
                <w:szCs w:val="24"/>
              </w:rPr>
              <w:t>/减</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行政事业性收费</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0</w:t>
            </w:r>
          </w:p>
        </w:tc>
        <w:tc>
          <w:tcPr>
            <w:tcW w:w="3405" w:type="dxa"/>
            <w:gridSpan w:val="2"/>
            <w:tcBorders>
              <w:top w:val="nil"/>
              <w:left w:val="nil"/>
              <w:bottom w:val="single" w:color="00000A" w:sz="8" w:space="0"/>
              <w:right w:val="single" w:color="000001"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85" w:hRule="atLeast"/>
          <w:jc w:val="center"/>
        </w:trPr>
        <w:tc>
          <w:tcPr>
            <w:tcW w:w="8400" w:type="dxa"/>
            <w:gridSpan w:val="4"/>
            <w:tcBorders>
              <w:top w:val="nil"/>
              <w:left w:val="single" w:color="00000A" w:sz="8" w:space="0"/>
              <w:bottom w:val="single" w:color="00000A" w:sz="8" w:space="0"/>
              <w:right w:val="single" w:color="00000A" w:sz="8" w:space="0"/>
            </w:tcBorders>
            <w:shd w:val="clear" w:color="auto" w:fill="C6D9F1"/>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第二十条第（九）项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90"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信息内容</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采购项目数量</w:t>
            </w:r>
          </w:p>
        </w:tc>
        <w:tc>
          <w:tcPr>
            <w:tcW w:w="3405" w:type="dxa"/>
            <w:gridSpan w:val="2"/>
            <w:tcBorders>
              <w:top w:val="single" w:color="00000A" w:sz="8" w:space="0"/>
              <w:left w:val="nil"/>
              <w:bottom w:val="single" w:color="00000A" w:sz="8" w:space="0"/>
              <w:right w:val="single" w:color="000001"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采购总金额</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262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政府集中采购</w:t>
            </w:r>
          </w:p>
        </w:tc>
        <w:tc>
          <w:tcPr>
            <w:tcW w:w="195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0</w:t>
            </w:r>
          </w:p>
        </w:tc>
        <w:tc>
          <w:tcPr>
            <w:tcW w:w="3405" w:type="dxa"/>
            <w:gridSpan w:val="2"/>
            <w:tcBorders>
              <w:top w:val="nil"/>
              <w:left w:val="nil"/>
              <w:bottom w:val="single" w:color="00000A" w:sz="8" w:space="0"/>
              <w:right w:val="single" w:color="000001"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bl>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黑体" w:hAnsi="黑体" w:eastAsia="黑体" w:cs="Arial"/>
          <w:color w:val="000000"/>
          <w:kern w:val="0"/>
          <w:sz w:val="32"/>
          <w:szCs w:val="32"/>
        </w:rPr>
        <w:t>三、收到和处理政府信息公开申请情况</w:t>
      </w:r>
    </w:p>
    <w:p>
      <w:pPr>
        <w:widowControl/>
        <w:spacing w:before="100" w:beforeAutospacing="1" w:line="195" w:lineRule="atLeast"/>
        <w:ind w:firstLine="634"/>
        <w:jc w:val="left"/>
        <w:rPr>
          <w:rFonts w:ascii="Arial" w:hAnsi="Arial" w:eastAsia="宋体" w:cs="Arial"/>
          <w:color w:val="000000"/>
          <w:kern w:val="0"/>
          <w:sz w:val="20"/>
          <w:szCs w:val="20"/>
        </w:rPr>
      </w:pPr>
    </w:p>
    <w:tbl>
      <w:tblPr>
        <w:tblStyle w:val="6"/>
        <w:tblW w:w="11610"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877"/>
        <w:gridCol w:w="1044"/>
        <w:gridCol w:w="2964"/>
        <w:gridCol w:w="630"/>
        <w:gridCol w:w="648"/>
        <w:gridCol w:w="648"/>
        <w:gridCol w:w="797"/>
        <w:gridCol w:w="834"/>
        <w:gridCol w:w="611"/>
        <w:gridCol w:w="1037"/>
        <w:gridCol w:w="1520"/>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3585" w:type="dxa"/>
            <w:gridSpan w:val="3"/>
            <w:vMerge w:val="restart"/>
            <w:tcBorders>
              <w:top w:val="single" w:color="00000A" w:sz="8" w:space="0"/>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（本列数据的勾稽关系为：第一项加第二项之和，等于第三项加第四项之和）</w:t>
            </w:r>
          </w:p>
        </w:tc>
        <w:tc>
          <w:tcPr>
            <w:tcW w:w="5100" w:type="dxa"/>
            <w:gridSpan w:val="8"/>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申请人情况</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gridSpan w:val="3"/>
            <w:vMerge w:val="continue"/>
            <w:tcBorders>
              <w:top w:val="single" w:color="00000A" w:sz="8" w:space="0"/>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510" w:type="dxa"/>
            <w:vMerge w:val="restart"/>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自然人</w:t>
            </w:r>
          </w:p>
        </w:tc>
        <w:tc>
          <w:tcPr>
            <w:tcW w:w="3705" w:type="dxa"/>
            <w:gridSpan w:val="6"/>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法人或其他组织</w:t>
            </w:r>
          </w:p>
        </w:tc>
        <w:tc>
          <w:tcPr>
            <w:tcW w:w="465" w:type="dxa"/>
            <w:vMerge w:val="restart"/>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总计</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gridSpan w:val="3"/>
            <w:vMerge w:val="continue"/>
            <w:tcBorders>
              <w:top w:val="single" w:color="00000A" w:sz="8" w:space="0"/>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商业企业</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科研机构</w:t>
            </w:r>
          </w:p>
        </w:tc>
        <w:tc>
          <w:tcPr>
            <w:tcW w:w="645"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社会公益组织</w:t>
            </w:r>
          </w:p>
        </w:tc>
        <w:tc>
          <w:tcPr>
            <w:tcW w:w="675"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法律服务机构</w:t>
            </w:r>
          </w:p>
        </w:tc>
        <w:tc>
          <w:tcPr>
            <w:tcW w:w="495"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其他</w:t>
            </w:r>
          </w:p>
        </w:tc>
        <w:tc>
          <w:tcPr>
            <w:tcW w:w="495"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jc w:val="left"/>
              <w:rPr>
                <w:rFonts w:ascii="宋体" w:hAnsi="宋体" w:eastAsia="宋体" w:cs="宋体"/>
                <w:kern w:val="0"/>
                <w:sz w:val="24"/>
                <w:szCs w:val="24"/>
              </w:rPr>
            </w:pPr>
          </w:p>
        </w:tc>
        <w:tc>
          <w:tcPr>
            <w:tcW w:w="0" w:type="auto"/>
            <w:vMerge w:val="continue"/>
            <w:tcBorders>
              <w:top w:val="single" w:color="00000A" w:sz="8" w:space="0"/>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135" w:hRule="atLeast"/>
          <w:jc w:val="center"/>
        </w:trPr>
        <w:tc>
          <w:tcPr>
            <w:tcW w:w="3585" w:type="dxa"/>
            <w:gridSpan w:val="3"/>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left"/>
              <w:rPr>
                <w:rFonts w:ascii="宋体" w:hAnsi="宋体" w:eastAsia="宋体" w:cs="宋体"/>
                <w:kern w:val="0"/>
                <w:sz w:val="20"/>
                <w:szCs w:val="20"/>
              </w:rPr>
            </w:pPr>
            <w:r>
              <w:rPr>
                <w:rFonts w:hint="eastAsia" w:ascii="宋体" w:hAnsi="宋体" w:eastAsia="宋体" w:cs="宋体"/>
                <w:kern w:val="0"/>
                <w:sz w:val="24"/>
                <w:szCs w:val="24"/>
              </w:rPr>
              <w:t>一、本年新收政府信息公开申请数量</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gridSpan w:val="2"/>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135" w:hRule="atLeast"/>
          <w:jc w:val="center"/>
        </w:trPr>
        <w:tc>
          <w:tcPr>
            <w:tcW w:w="3585" w:type="dxa"/>
            <w:gridSpan w:val="3"/>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left"/>
              <w:rPr>
                <w:rFonts w:ascii="宋体" w:hAnsi="宋体" w:eastAsia="宋体" w:cs="宋体"/>
                <w:kern w:val="0"/>
                <w:sz w:val="20"/>
                <w:szCs w:val="20"/>
              </w:rPr>
            </w:pPr>
            <w:r>
              <w:rPr>
                <w:rFonts w:hint="eastAsia" w:ascii="宋体" w:hAnsi="宋体" w:eastAsia="宋体" w:cs="宋体"/>
                <w:kern w:val="0"/>
                <w:sz w:val="24"/>
                <w:szCs w:val="24"/>
              </w:rPr>
              <w:t>二、上年结转政府信息公开申请数量</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gridSpan w:val="2"/>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135"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465" w:type="dxa"/>
            <w:vMerge w:val="restart"/>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三、本年度办理结果</w:t>
            </w:r>
          </w:p>
        </w:tc>
        <w:tc>
          <w:tcPr>
            <w:tcW w:w="2910"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（一）予以公开</w:t>
            </w:r>
          </w:p>
        </w:tc>
        <w:tc>
          <w:tcPr>
            <w:tcW w:w="51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gridSpan w:val="2"/>
            <w:tcBorders>
              <w:top w:val="single" w:color="00000A" w:sz="8" w:space="0"/>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2910"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（二）部分公开（区分处理的，只计这一情形，不计其他情形）</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720" w:type="dxa"/>
            <w:vMerge w:val="restart"/>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（三）不予公开</w:t>
            </w: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1.属于国家秘密</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2.其他法律行政法规禁止公开</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3.危及“三安全一稳定”</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4.保护第三方合法权益</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5.属于三类内部事务信息</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6.属于四类过程性信息</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7.属于行政执法案卷</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8.属于行政查询事项</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720" w:type="dxa"/>
            <w:vMerge w:val="restart"/>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（四）无法提供</w:t>
            </w: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1.本机关不掌握相关政府信息</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2.没有现成信息需要另行制作</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3.补正后申请内容仍不明确</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720" w:type="dxa"/>
            <w:vMerge w:val="restart"/>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（五）不予处理</w:t>
            </w: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1.信访举报投诉类申请</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2.重复申请</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3.要求提供公开出版物</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4.无正当理由大量反复申请</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198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5.要求行政机关确认或重新出具已获取信息</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2910"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（六）其他处理</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2910"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kern w:val="0"/>
                <w:sz w:val="24"/>
                <w:szCs w:val="24"/>
              </w:rPr>
              <w:t>（七）总计</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gridSpan w:val="2"/>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55" w:hRule="atLeast"/>
          <w:jc w:val="center"/>
        </w:trPr>
        <w:tc>
          <w:tcPr>
            <w:tcW w:w="3585" w:type="dxa"/>
            <w:gridSpan w:val="3"/>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left"/>
              <w:rPr>
                <w:rFonts w:ascii="宋体" w:hAnsi="宋体" w:eastAsia="宋体" w:cs="宋体"/>
                <w:kern w:val="0"/>
                <w:sz w:val="20"/>
                <w:szCs w:val="20"/>
              </w:rPr>
            </w:pPr>
            <w:r>
              <w:rPr>
                <w:rFonts w:hint="eastAsia" w:ascii="宋体" w:hAnsi="宋体" w:eastAsia="宋体" w:cs="宋体"/>
                <w:color w:val="000000"/>
                <w:kern w:val="0"/>
                <w:sz w:val="24"/>
                <w:szCs w:val="24"/>
              </w:rPr>
              <w:t>四、结转下年度继续办理</w:t>
            </w:r>
          </w:p>
        </w:tc>
        <w:tc>
          <w:tcPr>
            <w:tcW w:w="51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52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4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67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9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65" w:type="dxa"/>
            <w:gridSpan w:val="2"/>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bl>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黑体" w:hAnsi="黑体" w:eastAsia="黑体" w:cs="Arial"/>
          <w:color w:val="000000"/>
          <w:kern w:val="0"/>
          <w:sz w:val="32"/>
          <w:szCs w:val="32"/>
        </w:rPr>
        <w:t>四、政府信息公开行政复议、行政诉讼情况</w:t>
      </w:r>
    </w:p>
    <w:p>
      <w:pPr>
        <w:widowControl/>
        <w:spacing w:before="100" w:beforeAutospacing="1" w:line="195" w:lineRule="atLeast"/>
        <w:ind w:firstLine="634"/>
        <w:jc w:val="left"/>
        <w:rPr>
          <w:rFonts w:ascii="Arial" w:hAnsi="Arial" w:eastAsia="宋体" w:cs="Arial"/>
          <w:color w:val="000000"/>
          <w:kern w:val="0"/>
          <w:sz w:val="20"/>
          <w:szCs w:val="20"/>
        </w:rPr>
      </w:pPr>
    </w:p>
    <w:tbl>
      <w:tblPr>
        <w:tblStyle w:val="6"/>
        <w:tblW w:w="925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488"/>
        <w:gridCol w:w="405"/>
        <w:gridCol w:w="488"/>
        <w:gridCol w:w="488"/>
        <w:gridCol w:w="1356"/>
        <w:gridCol w:w="380"/>
        <w:gridCol w:w="406"/>
        <w:gridCol w:w="406"/>
        <w:gridCol w:w="406"/>
        <w:gridCol w:w="1295"/>
        <w:gridCol w:w="406"/>
        <w:gridCol w:w="406"/>
        <w:gridCol w:w="406"/>
        <w:gridCol w:w="406"/>
        <w:gridCol w:w="1513"/>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2850" w:type="dxa"/>
            <w:gridSpan w:val="5"/>
            <w:tcBorders>
              <w:top w:val="single" w:color="00000A" w:sz="8" w:space="0"/>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行政复议</w:t>
            </w:r>
          </w:p>
        </w:tc>
        <w:tc>
          <w:tcPr>
            <w:tcW w:w="5775" w:type="dxa"/>
            <w:gridSpan w:val="10"/>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行政诉讼</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375" w:type="dxa"/>
            <w:vMerge w:val="restart"/>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结果维持</w:t>
            </w:r>
          </w:p>
        </w:tc>
        <w:tc>
          <w:tcPr>
            <w:tcW w:w="390" w:type="dxa"/>
            <w:vMerge w:val="restart"/>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结果纠正</w:t>
            </w:r>
          </w:p>
        </w:tc>
        <w:tc>
          <w:tcPr>
            <w:tcW w:w="390" w:type="dxa"/>
            <w:vMerge w:val="restart"/>
            <w:tcBorders>
              <w:top w:val="single" w:color="00000A" w:sz="8" w:space="0"/>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其他结果</w:t>
            </w:r>
          </w:p>
        </w:tc>
        <w:tc>
          <w:tcPr>
            <w:tcW w:w="390" w:type="dxa"/>
            <w:vMerge w:val="restart"/>
            <w:tcBorders>
              <w:top w:val="single" w:color="00000A" w:sz="8" w:space="0"/>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尚未审结</w:t>
            </w:r>
          </w:p>
        </w:tc>
        <w:tc>
          <w:tcPr>
            <w:tcW w:w="450" w:type="dxa"/>
            <w:vMerge w:val="restart"/>
            <w:tcBorders>
              <w:top w:val="single" w:color="00000A" w:sz="8" w:space="0"/>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总计</w:t>
            </w:r>
          </w:p>
        </w:tc>
        <w:tc>
          <w:tcPr>
            <w:tcW w:w="2760" w:type="dxa"/>
            <w:gridSpan w:val="5"/>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未经复议直接起诉</w:t>
            </w:r>
          </w:p>
        </w:tc>
        <w:tc>
          <w:tcPr>
            <w:tcW w:w="2805" w:type="dxa"/>
            <w:gridSpan w:val="5"/>
            <w:tcBorders>
              <w:top w:val="single" w:color="00000A" w:sz="8" w:space="0"/>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复议后起诉</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00000A" w:sz="8" w:space="0"/>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00000A" w:sz="8" w:space="0"/>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00000A" w:sz="8" w:space="0"/>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00000A" w:sz="8" w:space="0"/>
              <w:left w:val="nil"/>
              <w:bottom w:val="single" w:color="00000A" w:sz="8" w:space="0"/>
              <w:right w:val="single" w:color="00000A" w:sz="8" w:space="0"/>
            </w:tcBorders>
            <w:vAlign w:val="center"/>
          </w:tcPr>
          <w:p>
            <w:pPr>
              <w:widowControl/>
              <w:jc w:val="left"/>
              <w:rPr>
                <w:rFonts w:ascii="宋体" w:hAnsi="宋体" w:eastAsia="宋体" w:cs="宋体"/>
                <w:kern w:val="0"/>
                <w:sz w:val="20"/>
                <w:szCs w:val="20"/>
              </w:rPr>
            </w:pPr>
          </w:p>
        </w:tc>
        <w:tc>
          <w:tcPr>
            <w:tcW w:w="3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结果维持</w:t>
            </w:r>
          </w:p>
        </w:tc>
        <w:tc>
          <w:tcPr>
            <w:tcW w:w="39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结果纠正</w:t>
            </w:r>
          </w:p>
        </w:tc>
        <w:tc>
          <w:tcPr>
            <w:tcW w:w="39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其他结果</w:t>
            </w:r>
          </w:p>
        </w:tc>
        <w:tc>
          <w:tcPr>
            <w:tcW w:w="39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尚未审结</w:t>
            </w:r>
          </w:p>
        </w:tc>
        <w:tc>
          <w:tcPr>
            <w:tcW w:w="39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总计</w:t>
            </w:r>
          </w:p>
        </w:tc>
        <w:tc>
          <w:tcPr>
            <w:tcW w:w="39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结果维持</w:t>
            </w:r>
          </w:p>
        </w:tc>
        <w:tc>
          <w:tcPr>
            <w:tcW w:w="39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结果纠正</w:t>
            </w:r>
          </w:p>
        </w:tc>
        <w:tc>
          <w:tcPr>
            <w:tcW w:w="39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其他结果</w:t>
            </w:r>
          </w:p>
        </w:tc>
        <w:tc>
          <w:tcPr>
            <w:tcW w:w="390"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尚未审结</w:t>
            </w:r>
          </w:p>
        </w:tc>
        <w:tc>
          <w:tcPr>
            <w:tcW w:w="375" w:type="dxa"/>
            <w:tcBorders>
              <w:top w:val="single" w:color="00000A" w:sz="8" w:space="0"/>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color w:val="000000"/>
                <w:kern w:val="0"/>
                <w:sz w:val="24"/>
                <w:szCs w:val="24"/>
              </w:rPr>
              <w:t>总计</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720" w:hRule="atLeast"/>
          <w:jc w:val="center"/>
        </w:trPr>
        <w:tc>
          <w:tcPr>
            <w:tcW w:w="375" w:type="dxa"/>
            <w:tcBorders>
              <w:top w:val="nil"/>
              <w:left w:val="single" w:color="00000A" w:sz="8" w:space="0"/>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45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45" w:type="dxa"/>
            <w:tcBorders>
              <w:top w:val="nil"/>
              <w:left w:val="nil"/>
              <w:bottom w:val="single" w:color="00000A" w:sz="8" w:space="0"/>
              <w:right w:val="single" w:color="00000A" w:sz="8" w:space="0"/>
            </w:tcBorders>
            <w:tcMar>
              <w:top w:w="0" w:type="dxa"/>
              <w:left w:w="0"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90"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c>
          <w:tcPr>
            <w:tcW w:w="375" w:type="dxa"/>
            <w:tcBorders>
              <w:top w:val="nil"/>
              <w:left w:val="nil"/>
              <w:bottom w:val="single" w:color="00000A" w:sz="8" w:space="0"/>
              <w:right w:val="single" w:color="00000A"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kern w:val="0"/>
                <w:sz w:val="20"/>
                <w:szCs w:val="20"/>
              </w:rPr>
            </w:pPr>
            <w:r>
              <w:rPr>
                <w:rFonts w:hint="eastAsia" w:ascii="宋体" w:hAnsi="宋体" w:eastAsia="宋体" w:cs="宋体"/>
                <w:kern w:val="0"/>
                <w:sz w:val="24"/>
                <w:szCs w:val="24"/>
              </w:rPr>
              <w:t>0</w:t>
            </w:r>
          </w:p>
        </w:tc>
      </w:tr>
    </w:tbl>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黑体" w:hAnsi="黑体" w:eastAsia="黑体" w:cs="Arial"/>
          <w:color w:val="000000"/>
          <w:kern w:val="0"/>
          <w:sz w:val="32"/>
          <w:szCs w:val="32"/>
        </w:rPr>
        <w:t>五、存在的主要问题及改进情况</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我局2020年信息公开工作还存在一些问题，有待进一步提高。一是信息动态公开发布不够及时；二是政务公开工作规范性有待加强；三是政务公开工作力量薄弱。</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下一步，我局将采取以下措施加以改进：</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楷体" w:hAnsi="楷体" w:eastAsia="楷体" w:cs="Arial"/>
          <w:color w:val="000000"/>
          <w:kern w:val="0"/>
          <w:sz w:val="32"/>
          <w:szCs w:val="32"/>
        </w:rPr>
        <w:t>一是加大信息公开力度。</w:t>
      </w:r>
      <w:r>
        <w:rPr>
          <w:rFonts w:hint="eastAsia" w:ascii="仿宋" w:hAnsi="仿宋" w:eastAsia="仿宋" w:cs="Arial"/>
          <w:color w:val="000000"/>
          <w:kern w:val="0"/>
          <w:sz w:val="32"/>
          <w:szCs w:val="32"/>
        </w:rPr>
        <w:t>积极建立主动公开文件台账，定期核对、定期通报主动公开情况，确保“应公开尽公开”。同时提高政务信息发布的实效性，及时发布相关政务公开信息。</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楷体" w:hAnsi="楷体" w:eastAsia="楷体" w:cs="Arial"/>
          <w:color w:val="000000"/>
          <w:kern w:val="0"/>
          <w:sz w:val="32"/>
          <w:szCs w:val="32"/>
        </w:rPr>
        <w:t>二是规范依信息公开制度。</w:t>
      </w:r>
      <w:r>
        <w:rPr>
          <w:rFonts w:hint="eastAsia" w:ascii="仿宋" w:hAnsi="仿宋" w:eastAsia="仿宋" w:cs="Arial"/>
          <w:color w:val="000000"/>
          <w:kern w:val="0"/>
          <w:sz w:val="32"/>
          <w:szCs w:val="32"/>
        </w:rPr>
        <w:t>进一步完善信息公开制度建设，建立健全信息公开工作长效机制，把政务信息公开工作作为长期的动态工作落到实处，确保公开信息的及时性、准确性和有效性；</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楷体" w:hAnsi="楷体" w:eastAsia="楷体" w:cs="Arial"/>
          <w:color w:val="000000"/>
          <w:kern w:val="0"/>
          <w:sz w:val="32"/>
          <w:szCs w:val="32"/>
        </w:rPr>
        <w:t>三是加强信息队伍建设。</w:t>
      </w:r>
      <w:r>
        <w:rPr>
          <w:rFonts w:hint="eastAsia" w:ascii="仿宋" w:hAnsi="仿宋" w:eastAsia="仿宋" w:cs="Arial"/>
          <w:color w:val="000000"/>
          <w:kern w:val="0"/>
          <w:sz w:val="32"/>
          <w:szCs w:val="32"/>
        </w:rPr>
        <w:t>积极参加上级组织的政务公开工作培训班，组织召开退役军人事务系统信息工作和政务公开工作座谈会，及时传达培训班精神和有关政务公开知识，提高政务工作者的业务能力和实际操作能力，规范操作程序，提高信息公开的工作水平。</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黑体" w:hAnsi="黑体" w:eastAsia="黑体" w:cs="Arial"/>
          <w:color w:val="000000"/>
          <w:kern w:val="0"/>
          <w:sz w:val="32"/>
          <w:szCs w:val="32"/>
        </w:rPr>
        <w:t>六、其他需要报告的事项</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本报告的电子版可在“中国滕州网”（www.tengzhou.gov.cn）网站查询和下载。如对本报告有任何疑问，请与滕州市退役军人事务局办公室联系。（地址：山东省滕州市春藤东路1566号办公室106房间，联系电话：0632—8028600，电子邮箱：</w:t>
      </w:r>
      <w:r>
        <w:fldChar w:fldCharType="begin"/>
      </w:r>
      <w:r>
        <w:instrText xml:space="preserve"> HYPERLINK "mailto:tyjr8028600@zz.shandong.cn" </w:instrText>
      </w:r>
      <w:r>
        <w:fldChar w:fldCharType="separate"/>
      </w:r>
      <w:r>
        <w:rPr>
          <w:rStyle w:val="8"/>
          <w:rFonts w:hint="eastAsia" w:ascii="仿宋_GB2312" w:hAnsi="仿宋_GB2312" w:eastAsia="仿宋_GB2312" w:cs="仿宋_GB2312"/>
          <w:b/>
          <w:bCs/>
          <w:sz w:val="32"/>
          <w:szCs w:val="32"/>
        </w:rPr>
        <w:t>tyjr8028600@zz.shandong.cn</w:t>
      </w:r>
      <w:r>
        <w:rPr>
          <w:rStyle w:val="8"/>
          <w:rFonts w:hint="eastAsia" w:ascii="仿宋_GB2312" w:hAnsi="仿宋_GB2312" w:eastAsia="仿宋_GB2312" w:cs="仿宋_GB2312"/>
          <w:b/>
          <w:bCs/>
          <w:sz w:val="32"/>
          <w:szCs w:val="32"/>
        </w:rPr>
        <w:fldChar w:fldCharType="end"/>
      </w:r>
      <w:r>
        <w:rPr>
          <w:rFonts w:hint="eastAsia" w:ascii="仿宋" w:hAnsi="仿宋" w:eastAsia="仿宋" w:cs="Arial"/>
          <w:color w:val="000000"/>
          <w:kern w:val="0"/>
          <w:sz w:val="32"/>
          <w:szCs w:val="32"/>
        </w:rPr>
        <w:t>）</w:t>
      </w:r>
    </w:p>
    <w:p>
      <w:pPr>
        <w:widowControl/>
        <w:spacing w:before="100" w:beforeAutospacing="1" w:line="195" w:lineRule="atLeast"/>
        <w:ind w:firstLine="634"/>
        <w:jc w:val="left"/>
        <w:rPr>
          <w:rFonts w:ascii="Arial" w:hAnsi="Arial" w:eastAsia="宋体" w:cs="Arial"/>
          <w:color w:val="000000"/>
          <w:kern w:val="0"/>
          <w:sz w:val="20"/>
          <w:szCs w:val="20"/>
        </w:rPr>
      </w:pPr>
    </w:p>
    <w:p>
      <w:pPr>
        <w:widowControl/>
        <w:spacing w:before="100" w:beforeAutospacing="1" w:line="195" w:lineRule="atLeast"/>
        <w:ind w:firstLine="634"/>
        <w:jc w:val="left"/>
        <w:rPr>
          <w:rFonts w:ascii="Arial" w:hAnsi="Arial" w:eastAsia="宋体" w:cs="Arial"/>
          <w:color w:val="000000"/>
          <w:kern w:val="0"/>
          <w:sz w:val="20"/>
          <w:szCs w:val="20"/>
        </w:rPr>
      </w:pP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　　　　　　　　　　滕州市退役军人事务局</w:t>
      </w:r>
    </w:p>
    <w:p>
      <w:pPr>
        <w:widowControl/>
        <w:spacing w:before="100" w:beforeAutospacing="1" w:line="720" w:lineRule="atLeast"/>
        <w:ind w:firstLine="634"/>
        <w:jc w:val="left"/>
        <w:rPr>
          <w:rFonts w:ascii="Arial" w:hAnsi="Arial" w:eastAsia="宋体" w:cs="Arial"/>
          <w:color w:val="000000"/>
          <w:kern w:val="0"/>
          <w:sz w:val="20"/>
          <w:szCs w:val="20"/>
        </w:rPr>
      </w:pPr>
      <w:r>
        <w:rPr>
          <w:rFonts w:hint="eastAsia" w:ascii="仿宋" w:hAnsi="仿宋" w:eastAsia="仿宋" w:cs="Arial"/>
          <w:color w:val="000000"/>
          <w:kern w:val="0"/>
          <w:sz w:val="32"/>
          <w:szCs w:val="32"/>
        </w:rPr>
        <w:t>　　　　　　　　　　　　　2021年1月29日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D405C0-52B4-4DC0-B174-097FA51B3FB0}"/>
  </w:font>
  <w:font w:name="黑体">
    <w:panose1 w:val="02010609060101010101"/>
    <w:charset w:val="86"/>
    <w:family w:val="auto"/>
    <w:pitch w:val="default"/>
    <w:sig w:usb0="800002BF" w:usb1="38CF7CFA" w:usb2="00000016" w:usb3="00000000" w:csb0="00040001" w:csb1="00000000"/>
    <w:embedRegular r:id="rId2" w:fontKey="{6288FF88-0C36-44BC-B488-EB6881842F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C752236-2E7D-42F1-84A3-D376C9F3A82C}"/>
  </w:font>
  <w:font w:name="Arial">
    <w:panose1 w:val="020B0604020202020204"/>
    <w:charset w:val="00"/>
    <w:family w:val="swiss"/>
    <w:pitch w:val="default"/>
    <w:sig w:usb0="E0002EFF" w:usb1="C000785B" w:usb2="00000009" w:usb3="00000000" w:csb0="400001FF" w:csb1="FFFF0000"/>
    <w:embedRegular r:id="rId4" w:fontKey="{03502EA3-D025-4712-9CAD-96CE7D989ED9}"/>
  </w:font>
  <w:font w:name="仿宋">
    <w:panose1 w:val="02010609060101010101"/>
    <w:charset w:val="86"/>
    <w:family w:val="modern"/>
    <w:pitch w:val="default"/>
    <w:sig w:usb0="800002BF" w:usb1="38CF7CFA" w:usb2="00000016" w:usb3="00000000" w:csb0="00040001" w:csb1="00000000"/>
    <w:embedRegular r:id="rId5" w:fontKey="{07FA897B-5547-42BC-AD37-08BA04C495B6}"/>
  </w:font>
  <w:font w:name="楷体">
    <w:panose1 w:val="02010609060101010101"/>
    <w:charset w:val="86"/>
    <w:family w:val="modern"/>
    <w:pitch w:val="default"/>
    <w:sig w:usb0="800002BF" w:usb1="38CF7CFA" w:usb2="00000016" w:usb3="00000000" w:csb0="00040001" w:csb1="00000000"/>
    <w:embedRegular r:id="rId6" w:fontKey="{75EF29E1-1E6F-4659-85E4-6D02808B4353}"/>
  </w:font>
  <w:font w:name="仿宋_GB2312">
    <w:altName w:val="仿宋"/>
    <w:panose1 w:val="02010609030101010101"/>
    <w:charset w:val="86"/>
    <w:family w:val="modern"/>
    <w:pitch w:val="default"/>
    <w:sig w:usb0="00000000" w:usb1="00000000" w:usb2="00000010" w:usb3="00000000" w:csb0="00040000" w:csb1="00000000"/>
    <w:embedRegular r:id="rId7" w:fontKey="{C62DD7A9-D1E9-4C18-8D7F-1D3E367040C2}"/>
  </w:font>
  <w:font w:name="方正公文小标宋">
    <w:panose1 w:val="02000500000000000000"/>
    <w:charset w:val="86"/>
    <w:family w:val="auto"/>
    <w:pitch w:val="default"/>
    <w:sig w:usb0="A00002BF" w:usb1="38CF7CFA" w:usb2="00000016" w:usb3="00000000" w:csb0="00040001" w:csb1="00000000"/>
    <w:embedRegular r:id="rId8" w:fontKey="{4D35EAC8-CB3D-483F-9564-43B1B4FBBC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4D43"/>
    <w:rsid w:val="002E4CCF"/>
    <w:rsid w:val="00377316"/>
    <w:rsid w:val="004F0E2A"/>
    <w:rsid w:val="00A53B40"/>
    <w:rsid w:val="00A74928"/>
    <w:rsid w:val="00A85943"/>
    <w:rsid w:val="00D85A75"/>
    <w:rsid w:val="00E74D43"/>
    <w:rsid w:val="6626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paragraph" w:customStyle="1" w:styleId="9">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7"/>
    <w:link w:val="2"/>
    <w:semiHidden/>
    <w:uiPriority w:val="99"/>
    <w:rPr>
      <w:sz w:val="18"/>
      <w:szCs w:val="18"/>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2901</Words>
  <Characters>3027</Characters>
  <Lines>24</Lines>
  <Paragraphs>7</Paragraphs>
  <TotalTime>6</TotalTime>
  <ScaleCrop>false</ScaleCrop>
  <LinksUpToDate>false</LinksUpToDate>
  <CharactersWithSpaces>3050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2021-05-27T08:26:00Z</dcterms:created>
  <dc:creator>tengzhou</dc:creator>
  <cp:lastModifiedBy>ら.知道分子</cp:lastModifiedBy>
  <dcterms:modified xsi:type="dcterms:W3CDTF">2021-05-28T01:02:39Z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