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滕州市综合行政执法局</w:t>
      </w:r>
    </w:p>
    <w:p>
      <w:pPr>
        <w:widowControl/>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w:t>
      </w:r>
      <w:r>
        <w:rPr>
          <w:rFonts w:hint="eastAsia" w:ascii="方正小标宋简体" w:hAnsi="方正小标宋简体" w:eastAsia="方正小标宋简体" w:cs="方正小标宋简体"/>
          <w:color w:val="000000"/>
          <w:kern w:val="0"/>
          <w:sz w:val="44"/>
          <w:szCs w:val="44"/>
          <w:lang w:val="en-US" w:eastAsia="zh-CN"/>
        </w:rPr>
        <w:t>20</w:t>
      </w:r>
      <w:r>
        <w:rPr>
          <w:rFonts w:hint="eastAsia" w:ascii="方正小标宋简体" w:hAnsi="方正小标宋简体" w:eastAsia="方正小标宋简体" w:cs="方正小标宋简体"/>
          <w:color w:val="000000"/>
          <w:kern w:val="0"/>
          <w:sz w:val="44"/>
          <w:szCs w:val="44"/>
        </w:rPr>
        <w:t>年政府信息公开工作年度报告</w:t>
      </w:r>
    </w:p>
    <w:p>
      <w:pPr>
        <w:widowControl/>
        <w:ind w:firstLine="640" w:firstLineChars="200"/>
        <w:rPr>
          <w:rFonts w:hint="eastAsia" w:ascii="仿宋_GB2312"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仿宋_GB2312" w:eastAsia="仿宋_GB2312"/>
          <w:color w:val="000000"/>
          <w:sz w:val="32"/>
          <w:szCs w:val="32"/>
        </w:rPr>
        <w:t>根据《中华人民共和国政府信息公开条例》、《山东省政府信息公开办法》及《滕州市人民政府办公室关于进一步做好政府信息公开工作的意见》要求，滕州市综合行政执法局在综合汇总各类信息公开数据的基础上编制本报告。</w:t>
      </w:r>
      <w:r>
        <w:rPr>
          <w:rFonts w:hint="eastAsia" w:ascii="仿宋_GB2312" w:hAnsi="微软雅黑" w:eastAsia="仿宋_GB2312" w:cs="仿宋_GB2312"/>
          <w:kern w:val="0"/>
          <w:sz w:val="32"/>
          <w:szCs w:val="32"/>
        </w:rPr>
        <w:t>本报告所列数据的统计期限自20</w:t>
      </w:r>
      <w:r>
        <w:rPr>
          <w:rFonts w:hint="eastAsia" w:ascii="仿宋_GB2312" w:hAnsi="微软雅黑" w:eastAsia="仿宋_GB2312" w:cs="仿宋_GB2312"/>
          <w:kern w:val="0"/>
          <w:sz w:val="32"/>
          <w:szCs w:val="32"/>
          <w:lang w:val="en-US" w:eastAsia="zh-CN"/>
        </w:rPr>
        <w:t>20</w:t>
      </w:r>
      <w:r>
        <w:rPr>
          <w:rFonts w:hint="eastAsia" w:ascii="仿宋_GB2312" w:hAnsi="微软雅黑" w:eastAsia="仿宋_GB2312" w:cs="仿宋_GB2312"/>
          <w:kern w:val="0"/>
          <w:sz w:val="32"/>
          <w:szCs w:val="32"/>
        </w:rPr>
        <w:t>年1月1日起至20</w:t>
      </w:r>
      <w:r>
        <w:rPr>
          <w:rFonts w:hint="eastAsia" w:ascii="仿宋_GB2312" w:hAnsi="微软雅黑" w:eastAsia="仿宋_GB2312" w:cs="仿宋_GB2312"/>
          <w:kern w:val="0"/>
          <w:sz w:val="32"/>
          <w:szCs w:val="32"/>
          <w:lang w:val="en-US" w:eastAsia="zh-CN"/>
        </w:rPr>
        <w:t>20</w:t>
      </w:r>
      <w:r>
        <w:rPr>
          <w:rFonts w:hint="eastAsia" w:ascii="仿宋_GB2312" w:hAnsi="微软雅黑" w:eastAsia="仿宋_GB2312" w:cs="仿宋_GB2312"/>
          <w:kern w:val="0"/>
          <w:sz w:val="32"/>
          <w:szCs w:val="32"/>
        </w:rPr>
        <w:t>年12月31日止。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kern w:val="0"/>
          <w:sz w:val="32"/>
          <w:szCs w:val="32"/>
        </w:rPr>
      </w:pPr>
      <w:r>
        <w:rPr>
          <w:rFonts w:hint="eastAsia" w:ascii="黑体" w:hAnsi="黑体" w:eastAsia="黑体" w:cs="仿宋_GB2312"/>
          <w:kern w:val="0"/>
          <w:sz w:val="32"/>
          <w:szCs w:val="32"/>
        </w:rPr>
        <w:t>一、总体情况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仿宋_GB2312"/>
          <w:sz w:val="32"/>
          <w:szCs w:val="32"/>
        </w:rPr>
      </w:pPr>
      <w:r>
        <w:rPr>
          <w:rFonts w:ascii="仿宋_GB2312" w:hAnsi="微软雅黑" w:eastAsia="仿宋_GB2312" w:cs="仿宋_GB2312"/>
          <w:sz w:val="32"/>
          <w:szCs w:val="32"/>
        </w:rPr>
        <w:t>20</w:t>
      </w:r>
      <w:r>
        <w:rPr>
          <w:rFonts w:hint="eastAsia" w:ascii="仿宋_GB2312" w:hAnsi="微软雅黑" w:eastAsia="仿宋_GB2312" w:cs="仿宋_GB2312"/>
          <w:sz w:val="32"/>
          <w:szCs w:val="32"/>
          <w:lang w:val="en-US" w:eastAsia="zh-CN"/>
        </w:rPr>
        <w:t>20</w:t>
      </w:r>
      <w:r>
        <w:rPr>
          <w:rFonts w:ascii="仿宋_GB2312" w:hAnsi="微软雅黑" w:eastAsia="仿宋_GB2312" w:cs="仿宋_GB2312"/>
          <w:sz w:val="32"/>
          <w:szCs w:val="32"/>
        </w:rPr>
        <w:t>年，滕州市综合行政执法局</w:t>
      </w:r>
      <w:r>
        <w:rPr>
          <w:rFonts w:hint="eastAsia" w:ascii="仿宋_GB2312" w:hAnsi="微软雅黑" w:eastAsia="仿宋_GB2312" w:cs="仿宋_GB2312"/>
          <w:sz w:val="32"/>
          <w:szCs w:val="32"/>
        </w:rPr>
        <w:t>在市委市政府的正确领导下，以习近平新时代中国特色社会主义思想为引领，</w:t>
      </w:r>
      <w:r>
        <w:rPr>
          <w:rFonts w:hint="eastAsia" w:ascii="仿宋_GB2312" w:hAnsi="仿宋_GB2312" w:eastAsia="仿宋_GB2312" w:cs="仿宋_GB2312"/>
          <w:color w:val="000000"/>
          <w:sz w:val="32"/>
          <w:szCs w:val="32"/>
          <w:shd w:val="clear" w:color="auto" w:fill="FFFFFF"/>
          <w:lang w:eastAsia="zh-CN" w:bidi="ar"/>
        </w:rPr>
        <w:t>全面</w:t>
      </w:r>
      <w:r>
        <w:rPr>
          <w:rFonts w:hint="eastAsia" w:ascii="仿宋_GB2312" w:hAnsi="仿宋_GB2312" w:eastAsia="仿宋_GB2312" w:cs="仿宋_GB2312"/>
          <w:color w:val="000000"/>
          <w:sz w:val="32"/>
          <w:szCs w:val="32"/>
          <w:shd w:val="clear" w:color="auto" w:fill="FFFFFF"/>
          <w:lang w:bidi="ar"/>
        </w:rPr>
        <w:t>贯彻落实党的十九大和十九届二中、三中、四中、五中全会精神</w:t>
      </w:r>
      <w:r>
        <w:rPr>
          <w:rFonts w:hint="eastAsia" w:ascii="仿宋_GB2312" w:hAnsi="仿宋_GB2312" w:eastAsia="仿宋_GB2312" w:cs="仿宋_GB2312"/>
          <w:color w:val="000000"/>
          <w:sz w:val="32"/>
          <w:szCs w:val="32"/>
          <w:shd w:val="clear" w:color="auto" w:fill="FFFFFF"/>
          <w:lang w:eastAsia="zh-CN" w:bidi="ar"/>
        </w:rPr>
        <w:t>，锚定“五闯五攻五样板”三年行动，以“为人民管好城市，为人民公正执法”</w:t>
      </w:r>
      <w:r>
        <w:rPr>
          <w:rFonts w:hint="eastAsia" w:ascii="仿宋_GB2312" w:hAnsi="仿宋_GB2312" w:eastAsia="仿宋_GB2312" w:cs="仿宋_GB2312"/>
          <w:color w:val="000000"/>
          <w:sz w:val="32"/>
          <w:szCs w:val="32"/>
          <w:shd w:val="clear" w:color="auto" w:fill="FFFFFF"/>
          <w:lang w:bidi="ar"/>
        </w:rPr>
        <w:t>为宗旨，紧紧围绕综合行政执法</w:t>
      </w:r>
      <w:r>
        <w:rPr>
          <w:rFonts w:hint="eastAsia" w:ascii="仿宋_GB2312" w:hAnsi="仿宋_GB2312" w:eastAsia="仿宋_GB2312" w:cs="仿宋_GB2312"/>
          <w:color w:val="000000"/>
          <w:sz w:val="32"/>
          <w:szCs w:val="32"/>
          <w:shd w:val="clear" w:color="auto" w:fill="FFFFFF"/>
          <w:lang w:eastAsia="zh-CN" w:bidi="ar"/>
        </w:rPr>
        <w:t>和城市管理工作</w:t>
      </w:r>
      <w:r>
        <w:rPr>
          <w:rFonts w:hint="eastAsia" w:ascii="仿宋_GB2312" w:hAnsi="仿宋_GB2312" w:eastAsia="仿宋_GB2312" w:cs="仿宋_GB2312"/>
          <w:color w:val="000000"/>
          <w:sz w:val="32"/>
          <w:szCs w:val="32"/>
          <w:shd w:val="clear" w:color="auto" w:fill="FFFFFF"/>
          <w:lang w:bidi="ar"/>
        </w:rPr>
        <w:t>，</w:t>
      </w:r>
      <w:r>
        <w:rPr>
          <w:rFonts w:ascii="仿宋_GB2312" w:hAnsi="微软雅黑" w:eastAsia="仿宋_GB2312" w:cs="仿宋_GB2312"/>
          <w:sz w:val="32"/>
          <w:szCs w:val="32"/>
        </w:rPr>
        <w:t>不断</w:t>
      </w:r>
      <w:r>
        <w:rPr>
          <w:rFonts w:hint="eastAsia" w:ascii="仿宋_GB2312" w:hAnsi="微软雅黑" w:eastAsia="仿宋_GB2312" w:cs="仿宋_GB2312"/>
          <w:sz w:val="32"/>
          <w:szCs w:val="32"/>
          <w:lang w:eastAsia="zh-CN"/>
        </w:rPr>
        <w:t>加大信息公开宣传力度，强化信息公开</w:t>
      </w:r>
      <w:r>
        <w:rPr>
          <w:rFonts w:ascii="仿宋_GB2312" w:hAnsi="微软雅黑" w:eastAsia="仿宋_GB2312" w:cs="仿宋_GB2312"/>
          <w:sz w:val="32"/>
          <w:szCs w:val="32"/>
        </w:rPr>
        <w:t>制度建设、平台建设</w:t>
      </w:r>
      <w:r>
        <w:rPr>
          <w:rFonts w:hint="eastAsia" w:ascii="仿宋_GB2312" w:hAnsi="微软雅黑" w:eastAsia="仿宋_GB2312" w:cs="仿宋_GB2312"/>
          <w:sz w:val="32"/>
          <w:szCs w:val="32"/>
          <w:lang w:eastAsia="zh-CN"/>
        </w:rPr>
        <w:t>和队伍建设</w:t>
      </w:r>
      <w:r>
        <w:rPr>
          <w:rFonts w:ascii="仿宋_GB2312" w:hAnsi="微软雅黑" w:eastAsia="仿宋_GB2312" w:cs="仿宋_GB2312"/>
          <w:sz w:val="32"/>
          <w:szCs w:val="32"/>
        </w:rPr>
        <w:t>，</w:t>
      </w:r>
      <w:r>
        <w:rPr>
          <w:rFonts w:hint="eastAsia" w:ascii="仿宋_GB2312" w:hAnsi="微软雅黑" w:eastAsia="仿宋_GB2312" w:cs="仿宋_GB2312"/>
          <w:sz w:val="32"/>
          <w:szCs w:val="32"/>
          <w:lang w:eastAsia="zh-CN"/>
        </w:rPr>
        <w:t>及时</w:t>
      </w:r>
      <w:r>
        <w:rPr>
          <w:rFonts w:ascii="仿宋_GB2312" w:hAnsi="微软雅黑" w:eastAsia="仿宋_GB2312" w:cs="仿宋_GB2312"/>
          <w:sz w:val="32"/>
          <w:szCs w:val="32"/>
        </w:rPr>
        <w:t>组织开展业务培训和工作研讨活动，拓宽公开内容，形成了一套规范、有效、便捷的政府信息公开工作体系，</w:t>
      </w:r>
      <w:r>
        <w:rPr>
          <w:rFonts w:hint="eastAsia" w:ascii="仿宋_GB2312" w:hAnsi="微软雅黑" w:eastAsia="仿宋_GB2312" w:cs="仿宋_GB2312"/>
          <w:sz w:val="32"/>
          <w:szCs w:val="32"/>
          <w:lang w:eastAsia="zh-CN"/>
        </w:rPr>
        <w:t>推动了</w:t>
      </w:r>
      <w:r>
        <w:rPr>
          <w:rFonts w:ascii="仿宋_GB2312" w:hAnsi="微软雅黑" w:eastAsia="仿宋_GB2312" w:cs="仿宋_GB2312"/>
          <w:sz w:val="32"/>
          <w:szCs w:val="32"/>
        </w:rPr>
        <w:t>政府信息公开工作</w:t>
      </w:r>
      <w:r>
        <w:rPr>
          <w:rFonts w:hint="eastAsia" w:ascii="仿宋_GB2312" w:hAnsi="微软雅黑" w:eastAsia="仿宋_GB2312" w:cs="仿宋_GB2312"/>
          <w:sz w:val="32"/>
          <w:szCs w:val="32"/>
          <w:lang w:eastAsia="zh-CN"/>
        </w:rPr>
        <w:t>扎实有效开展</w:t>
      </w:r>
      <w:r>
        <w:rPr>
          <w:rFonts w:hint="eastAsia" w:ascii="仿宋_GB2312" w:hAnsi="微软雅黑" w:eastAsia="仿宋_GB2312" w:cs="仿宋_GB2312"/>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微软雅黑" w:hAnsi="微软雅黑" w:eastAsia="微软雅黑" w:cs="微软雅黑"/>
          <w:sz w:val="27"/>
          <w:szCs w:val="27"/>
        </w:rPr>
      </w:pPr>
      <w:r>
        <w:rPr>
          <w:rFonts w:ascii="楷体_GB2312" w:hAnsi="微软雅黑" w:eastAsia="楷体_GB2312" w:cs="楷体_GB2312"/>
          <w:sz w:val="32"/>
          <w:szCs w:val="32"/>
        </w:rPr>
        <w:t>（一）</w:t>
      </w:r>
      <w:r>
        <w:rPr>
          <w:rFonts w:hint="eastAsia" w:ascii="楷体_GB2312" w:hAnsi="微软雅黑" w:eastAsia="楷体_GB2312" w:cs="楷体_GB2312"/>
          <w:sz w:val="32"/>
          <w:szCs w:val="32"/>
        </w:rPr>
        <w:t>政府信息公开</w:t>
      </w:r>
      <w:r>
        <w:rPr>
          <w:rFonts w:hint="eastAsia" w:ascii="楷体_GB2312" w:hAnsi="微软雅黑" w:eastAsia="楷体_GB2312" w:cs="楷体_GB2312"/>
          <w:sz w:val="32"/>
          <w:szCs w:val="32"/>
          <w:lang w:eastAsia="zh-CN"/>
        </w:rPr>
        <w:t>工作开展情况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仿宋_GB2312"/>
          <w:sz w:val="32"/>
          <w:szCs w:val="32"/>
        </w:rPr>
      </w:pPr>
      <w:r>
        <w:rPr>
          <w:rFonts w:hint="eastAsia" w:ascii="仿宋_GB2312" w:hAnsi="微软雅黑" w:eastAsia="仿宋_GB2312" w:cs="仿宋_GB2312"/>
          <w:b w:val="0"/>
          <w:bCs/>
          <w:sz w:val="32"/>
          <w:szCs w:val="32"/>
        </w:rPr>
        <w:t>1.</w:t>
      </w:r>
      <w:r>
        <w:rPr>
          <w:rFonts w:ascii="仿宋_GB2312" w:hAnsi="微软雅黑" w:eastAsia="仿宋_GB2312" w:cs="仿宋_GB2312"/>
          <w:b w:val="0"/>
          <w:bCs/>
          <w:sz w:val="32"/>
          <w:szCs w:val="32"/>
        </w:rPr>
        <w:t>加强组织领导。</w:t>
      </w:r>
      <w:r>
        <w:rPr>
          <w:rFonts w:hint="eastAsia" w:ascii="仿宋_GB2312" w:hAnsi="微软雅黑" w:eastAsia="仿宋_GB2312" w:cs="仿宋_GB2312"/>
          <w:sz w:val="32"/>
          <w:szCs w:val="32"/>
        </w:rPr>
        <w:t>成立了</w:t>
      </w:r>
      <w:r>
        <w:rPr>
          <w:rFonts w:hint="eastAsia" w:ascii="仿宋_GB2312" w:hAnsi="微软雅黑" w:eastAsia="仿宋_GB2312" w:cs="仿宋_GB2312"/>
          <w:sz w:val="32"/>
          <w:szCs w:val="32"/>
          <w:lang w:eastAsia="zh-CN"/>
        </w:rPr>
        <w:t>局</w:t>
      </w:r>
      <w:r>
        <w:rPr>
          <w:rFonts w:hint="eastAsia" w:ascii="仿宋_GB2312" w:hAnsi="微软雅黑" w:eastAsia="仿宋_GB2312" w:cs="仿宋_GB2312"/>
          <w:sz w:val="32"/>
          <w:szCs w:val="32"/>
        </w:rPr>
        <w:t>信息公开工作领导小组，由主要负责人任组长，分管负责人为副组长，相关科室负责人为成员，办公室设在局宣传科，为综合行政执法和城市管理信息公开工作的办事机构，具体负责和指导全局的信息公开工作。</w:t>
      </w:r>
      <w:r>
        <w:rPr>
          <w:rFonts w:hint="eastAsia" w:ascii="仿宋_GB2312" w:hAnsi="微软雅黑" w:eastAsia="仿宋_GB2312" w:cs="仿宋_GB2312"/>
          <w:sz w:val="32"/>
          <w:szCs w:val="32"/>
          <w:lang w:eastAsia="zh-CN"/>
        </w:rPr>
        <w:t>强化信息公开队伍建设，</w:t>
      </w:r>
      <w:r>
        <w:rPr>
          <w:rFonts w:hint="eastAsia" w:ascii="仿宋_GB2312" w:hAnsi="微软雅黑" w:eastAsia="仿宋_GB2312" w:cs="仿宋_GB2312"/>
          <w:sz w:val="32"/>
          <w:szCs w:val="32"/>
        </w:rPr>
        <w:t>配备专职信息公开工作人员，各下属单位配备兼职信息员，</w:t>
      </w:r>
      <w:r>
        <w:rPr>
          <w:rFonts w:hint="eastAsia" w:ascii="仿宋_GB2312" w:hAnsi="微软雅黑" w:eastAsia="仿宋_GB2312" w:cs="仿宋_GB2312"/>
          <w:sz w:val="32"/>
          <w:szCs w:val="32"/>
          <w:lang w:eastAsia="zh-CN"/>
        </w:rPr>
        <w:t>为做好信息公开工作奠定了基础；</w:t>
      </w:r>
      <w:r>
        <w:rPr>
          <w:rFonts w:hint="eastAsia" w:ascii="仿宋_GB2312" w:hAnsi="微软雅黑" w:eastAsia="仿宋_GB2312" w:cs="仿宋_GB2312"/>
          <w:sz w:val="32"/>
          <w:szCs w:val="32"/>
        </w:rPr>
        <w:t>同时，固定人员负责滕州市综合行政执法局网站、中国滕州网、党政办公网、枣庄市城市管理局以及其它行业网站信息的更新、维护和报送工作，固定</w:t>
      </w:r>
      <w:r>
        <w:rPr>
          <w:rFonts w:hint="eastAsia" w:ascii="仿宋_GB2312" w:hAnsi="微软雅黑" w:eastAsia="仿宋_GB2312" w:cs="仿宋_GB2312"/>
          <w:sz w:val="32"/>
          <w:szCs w:val="32"/>
          <w:lang w:eastAsia="zh-CN"/>
        </w:rPr>
        <w:t>专人</w:t>
      </w:r>
      <w:r>
        <w:rPr>
          <w:rFonts w:hint="eastAsia" w:ascii="仿宋_GB2312" w:hAnsi="微软雅黑" w:eastAsia="仿宋_GB2312" w:cs="仿宋_GB2312"/>
          <w:sz w:val="32"/>
          <w:szCs w:val="32"/>
        </w:rPr>
        <w:t>负责信息公开的协调联络工作。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微软雅黑" w:hAnsi="微软雅黑" w:eastAsia="微软雅黑" w:cs="微软雅黑"/>
          <w:sz w:val="27"/>
          <w:szCs w:val="27"/>
          <w:lang w:eastAsia="zh-CN"/>
        </w:rPr>
      </w:pPr>
      <w:r>
        <w:rPr>
          <w:rFonts w:hint="eastAsia" w:ascii="微软雅黑" w:hAnsi="微软雅黑" w:eastAsia="微软雅黑" w:cs="微软雅黑"/>
          <w:sz w:val="27"/>
          <w:szCs w:val="27"/>
          <w:lang w:eastAsia="zh-CN"/>
        </w:rPr>
        <w:drawing>
          <wp:inline distT="0" distB="0" distL="114300" distR="114300">
            <wp:extent cx="5271135" cy="2395220"/>
            <wp:effectExtent l="0" t="0" r="5715" b="5080"/>
            <wp:docPr id="1" name="图片 1" descr="1621989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1989884(1)"/>
                    <pic:cNvPicPr>
                      <a:picLocks noChangeAspect="1"/>
                    </pic:cNvPicPr>
                  </pic:nvPicPr>
                  <pic:blipFill>
                    <a:blip r:embed="rId4"/>
                    <a:stretch>
                      <a:fillRect/>
                    </a:stretch>
                  </pic:blipFill>
                  <pic:spPr>
                    <a:xfrm>
                      <a:off x="0" y="0"/>
                      <a:ext cx="5271135" cy="2395220"/>
                    </a:xfrm>
                    <a:prstGeom prst="rect">
                      <a:avLst/>
                    </a:prstGeom>
                  </pic:spPr>
                </pic:pic>
              </a:graphicData>
            </a:graphic>
          </wp:inline>
        </w:drawing>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黑体"/>
          <w:color w:val="000000"/>
          <w:sz w:val="32"/>
          <w:szCs w:val="32"/>
        </w:rPr>
      </w:pPr>
      <w:r>
        <w:rPr>
          <w:rFonts w:hint="eastAsia" w:ascii="仿宋_GB2312" w:hAnsi="微软雅黑" w:eastAsia="仿宋_GB2312" w:cs="仿宋_GB2312"/>
          <w:b w:val="0"/>
          <w:bCs/>
          <w:sz w:val="32"/>
          <w:szCs w:val="32"/>
        </w:rPr>
        <w:t>2.健全制度</w:t>
      </w:r>
      <w:r>
        <w:rPr>
          <w:rFonts w:hint="eastAsia" w:ascii="仿宋_GB2312" w:hAnsi="微软雅黑" w:eastAsia="仿宋_GB2312" w:cs="仿宋_GB2312"/>
          <w:b w:val="0"/>
          <w:bCs/>
          <w:sz w:val="32"/>
          <w:szCs w:val="32"/>
          <w:lang w:eastAsia="zh-CN"/>
        </w:rPr>
        <w:t>体系</w:t>
      </w:r>
      <w:r>
        <w:rPr>
          <w:rFonts w:hint="eastAsia" w:ascii="仿宋_GB2312" w:hAnsi="微软雅黑" w:eastAsia="仿宋_GB2312" w:cs="仿宋_GB2312"/>
          <w:b w:val="0"/>
          <w:bCs/>
          <w:sz w:val="32"/>
          <w:szCs w:val="32"/>
        </w:rPr>
        <w:t>。</w:t>
      </w:r>
      <w:r>
        <w:rPr>
          <w:rFonts w:hint="eastAsia" w:ascii="仿宋_GB2312" w:hAnsi="微软雅黑" w:eastAsia="仿宋_GB2312" w:cs="仿宋_GB2312"/>
          <w:sz w:val="32"/>
          <w:szCs w:val="32"/>
        </w:rPr>
        <w:t>根据综合行政执法</w:t>
      </w:r>
      <w:r>
        <w:rPr>
          <w:rFonts w:hint="eastAsia" w:ascii="仿宋_GB2312" w:hAnsi="微软雅黑" w:eastAsia="仿宋_GB2312" w:cs="仿宋_GB2312"/>
          <w:sz w:val="32"/>
          <w:szCs w:val="32"/>
          <w:lang w:eastAsia="zh-CN"/>
        </w:rPr>
        <w:t>和城市管理工作</w:t>
      </w:r>
      <w:r>
        <w:rPr>
          <w:rFonts w:hint="eastAsia" w:ascii="仿宋_GB2312" w:hAnsi="微软雅黑" w:eastAsia="仿宋_GB2312" w:cs="仿宋_GB2312"/>
          <w:sz w:val="32"/>
          <w:szCs w:val="32"/>
        </w:rPr>
        <w:t>特点，制定了综合执法</w:t>
      </w:r>
      <w:r>
        <w:rPr>
          <w:rFonts w:hint="eastAsia" w:ascii="仿宋_GB2312" w:hAnsi="微软雅黑" w:eastAsia="仿宋_GB2312" w:cs="仿宋_GB2312"/>
          <w:sz w:val="32"/>
          <w:szCs w:val="32"/>
          <w:lang w:eastAsia="zh-CN"/>
        </w:rPr>
        <w:t>和城市管理领域</w:t>
      </w:r>
      <w:r>
        <w:rPr>
          <w:rFonts w:hint="eastAsia" w:ascii="仿宋_GB2312" w:hAnsi="微软雅黑" w:eastAsia="仿宋_GB2312" w:cs="仿宋_GB2312"/>
          <w:sz w:val="32"/>
          <w:szCs w:val="32"/>
        </w:rPr>
        <w:t>政府信息公开实施细则和工作规范，明确公开的范围、方式和程序，把职责落实到具体科室、个人，严把保密关、政策关、格式关。进一步完善滕州综合执法</w:t>
      </w:r>
      <w:r>
        <w:rPr>
          <w:rFonts w:hint="eastAsia" w:ascii="仿宋_GB2312" w:hAnsi="微软雅黑" w:eastAsia="仿宋_GB2312" w:cs="仿宋_GB2312"/>
          <w:sz w:val="32"/>
          <w:szCs w:val="32"/>
          <w:lang w:eastAsia="zh-CN"/>
        </w:rPr>
        <w:t>局</w:t>
      </w:r>
      <w:r>
        <w:rPr>
          <w:rFonts w:hint="eastAsia" w:ascii="仿宋_GB2312" w:hAnsi="微软雅黑" w:eastAsia="仿宋_GB2312" w:cs="仿宋_GB2312"/>
          <w:sz w:val="32"/>
          <w:szCs w:val="32"/>
        </w:rPr>
        <w:t>网</w:t>
      </w:r>
      <w:r>
        <w:rPr>
          <w:rFonts w:hint="eastAsia" w:ascii="仿宋_GB2312" w:hAnsi="微软雅黑" w:eastAsia="仿宋_GB2312" w:cs="仿宋_GB2312"/>
          <w:sz w:val="32"/>
          <w:szCs w:val="32"/>
          <w:lang w:eastAsia="zh-CN"/>
        </w:rPr>
        <w:t>站</w:t>
      </w:r>
      <w:r>
        <w:rPr>
          <w:rFonts w:hint="eastAsia" w:ascii="仿宋_GB2312" w:hAnsi="微软雅黑" w:eastAsia="仿宋_GB2312" w:cs="仿宋_GB2312"/>
          <w:sz w:val="32"/>
          <w:szCs w:val="32"/>
        </w:rPr>
        <w:t>、信息公开网等各类门户政务网站信息公开</w:t>
      </w:r>
      <w:r>
        <w:rPr>
          <w:rFonts w:hint="eastAsia" w:ascii="仿宋_GB2312" w:hAnsi="微软雅黑" w:eastAsia="仿宋_GB2312" w:cs="仿宋_GB2312"/>
          <w:sz w:val="32"/>
          <w:szCs w:val="32"/>
          <w:lang w:eastAsia="zh-CN"/>
        </w:rPr>
        <w:t>各项</w:t>
      </w:r>
      <w:r>
        <w:rPr>
          <w:rFonts w:hint="eastAsia" w:ascii="仿宋_GB2312" w:hAnsi="微软雅黑" w:eastAsia="仿宋_GB2312" w:cs="仿宋_GB2312"/>
          <w:sz w:val="32"/>
          <w:szCs w:val="32"/>
        </w:rPr>
        <w:t>制度，建立</w:t>
      </w:r>
      <w:r>
        <w:rPr>
          <w:rFonts w:hint="eastAsia" w:ascii="仿宋_GB2312" w:hAnsi="微软雅黑" w:eastAsia="仿宋_GB2312" w:cs="仿宋_GB2312"/>
          <w:sz w:val="32"/>
          <w:szCs w:val="32"/>
          <w:lang w:eastAsia="zh-CN"/>
        </w:rPr>
        <w:t>健全</w:t>
      </w:r>
      <w:r>
        <w:rPr>
          <w:rFonts w:hint="eastAsia" w:ascii="仿宋_GB2312" w:hAnsi="微软雅黑" w:eastAsia="仿宋_GB2312" w:cs="仿宋_GB2312"/>
          <w:sz w:val="32"/>
          <w:szCs w:val="32"/>
        </w:rPr>
        <w:t>了网站考核、通报制度，</w:t>
      </w:r>
      <w:r>
        <w:rPr>
          <w:rFonts w:hint="eastAsia" w:ascii="仿宋_GB2312" w:hAnsi="微软雅黑" w:eastAsia="仿宋_GB2312" w:cs="仿宋_GB2312"/>
          <w:sz w:val="32"/>
          <w:szCs w:val="32"/>
          <w:lang w:eastAsia="zh-CN"/>
        </w:rPr>
        <w:t>不断优化信息公开</w:t>
      </w:r>
      <w:r>
        <w:rPr>
          <w:rFonts w:hint="eastAsia" w:ascii="仿宋_GB2312" w:hAnsi="微软雅黑" w:eastAsia="仿宋_GB2312" w:cs="仿宋_GB2312"/>
          <w:sz w:val="32"/>
          <w:szCs w:val="32"/>
        </w:rPr>
        <w:t>意见征集和专题专栏方案报送制度</w:t>
      </w:r>
      <w:r>
        <w:rPr>
          <w:rFonts w:hint="eastAsia" w:ascii="仿宋_GB2312" w:hAnsi="微软雅黑" w:eastAsia="仿宋_GB2312" w:cs="仿宋_GB2312"/>
          <w:sz w:val="32"/>
          <w:szCs w:val="32"/>
          <w:lang w:eastAsia="zh-CN"/>
        </w:rPr>
        <w:t>，推动全局信息公开工作落实落细。</w:t>
      </w:r>
      <w:r>
        <w:rPr>
          <w:rFonts w:hint="eastAsia" w:ascii="微软雅黑" w:hAnsi="微软雅黑" w:eastAsia="微软雅黑" w:cs="微软雅黑"/>
          <w:sz w:val="27"/>
          <w:szCs w:val="27"/>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微软雅黑" w:eastAsia="仿宋_GB2312" w:cs="仿宋_GB2312"/>
          <w:sz w:val="32"/>
          <w:szCs w:val="32"/>
        </w:rPr>
      </w:pPr>
      <w:r>
        <w:rPr>
          <w:rFonts w:hint="eastAsia" w:ascii="仿宋_GB2312" w:hAnsi="微软雅黑" w:eastAsia="仿宋_GB2312" w:cs="仿宋_GB2312"/>
          <w:b w:val="0"/>
          <w:bCs/>
          <w:sz w:val="32"/>
          <w:szCs w:val="32"/>
        </w:rPr>
        <w:t>3、严格履行义务。</w:t>
      </w:r>
      <w:r>
        <w:rPr>
          <w:rFonts w:hint="eastAsia" w:ascii="仿宋_GB2312" w:hAnsi="微软雅黑" w:eastAsia="仿宋_GB2312" w:cs="仿宋_GB2312"/>
          <w:sz w:val="32"/>
          <w:szCs w:val="32"/>
        </w:rPr>
        <w:t>主动全面公开了概况信息、法规公文、</w:t>
      </w:r>
      <w:r>
        <w:rPr>
          <w:rFonts w:hint="eastAsia" w:ascii="仿宋_GB2312" w:hAnsi="微软雅黑" w:eastAsia="仿宋_GB2312" w:cs="仿宋_GB2312"/>
          <w:sz w:val="32"/>
          <w:szCs w:val="32"/>
          <w:lang w:eastAsia="zh-CN"/>
        </w:rPr>
        <w:t>规划</w:t>
      </w:r>
      <w:r>
        <w:rPr>
          <w:rFonts w:hint="eastAsia" w:ascii="仿宋_GB2312" w:hAnsi="微软雅黑" w:eastAsia="仿宋_GB2312" w:cs="仿宋_GB2312"/>
          <w:sz w:val="32"/>
          <w:szCs w:val="32"/>
        </w:rPr>
        <w:t>计划、工作</w:t>
      </w:r>
      <w:r>
        <w:rPr>
          <w:rFonts w:hint="eastAsia" w:ascii="仿宋_GB2312" w:hAnsi="微软雅黑" w:eastAsia="仿宋_GB2312" w:cs="仿宋_GB2312"/>
          <w:sz w:val="32"/>
          <w:szCs w:val="32"/>
          <w:lang w:eastAsia="zh-CN"/>
        </w:rPr>
        <w:t>信息</w:t>
      </w:r>
      <w:r>
        <w:rPr>
          <w:rFonts w:hint="eastAsia" w:ascii="仿宋_GB2312" w:hAnsi="微软雅黑" w:eastAsia="仿宋_GB2312" w:cs="仿宋_GB2312"/>
          <w:sz w:val="32"/>
          <w:szCs w:val="32"/>
        </w:rPr>
        <w:t>、</w:t>
      </w:r>
      <w:r>
        <w:rPr>
          <w:rFonts w:hint="eastAsia" w:ascii="仿宋_GB2312" w:hAnsi="微软雅黑" w:eastAsia="仿宋_GB2312" w:cs="仿宋_GB2312"/>
          <w:sz w:val="32"/>
          <w:szCs w:val="32"/>
          <w:lang w:eastAsia="zh-CN"/>
        </w:rPr>
        <w:t>行政权力运行公开、政策解读与回应、政务公开保障机制</w:t>
      </w:r>
      <w:r>
        <w:rPr>
          <w:rFonts w:hint="eastAsia" w:ascii="仿宋_GB2312" w:hAnsi="微软雅黑" w:eastAsia="仿宋_GB2312" w:cs="仿宋_GB2312"/>
          <w:sz w:val="32"/>
          <w:szCs w:val="32"/>
          <w:lang w:val="en-US" w:eastAsia="zh-CN"/>
        </w:rPr>
        <w:t>7大类信息公开内容，</w:t>
      </w:r>
      <w:r>
        <w:rPr>
          <w:rFonts w:hint="eastAsia" w:ascii="仿宋_GB2312" w:hAnsi="微软雅黑" w:eastAsia="仿宋_GB2312" w:cs="仿宋_GB2312"/>
          <w:sz w:val="32"/>
          <w:szCs w:val="32"/>
        </w:rPr>
        <w:t>同时对单位的职能、职责、办事依据和原则、办事程序、办事时限、办事标准、办事承诺、办事结果等事项均在门户网站对外公布,做到了长期向社会公开。对一些紧急性、临时性、阶段性的工作</w:t>
      </w:r>
      <w:r>
        <w:rPr>
          <w:rFonts w:hint="eastAsia" w:ascii="仿宋_GB2312" w:hAnsi="微软雅黑" w:eastAsia="仿宋_GB2312" w:cs="仿宋_GB2312"/>
          <w:sz w:val="32"/>
          <w:szCs w:val="32"/>
          <w:lang w:eastAsia="zh-CN"/>
        </w:rPr>
        <w:t>及时</w:t>
      </w:r>
      <w:r>
        <w:rPr>
          <w:rFonts w:hint="eastAsia" w:ascii="仿宋_GB2312" w:hAnsi="微软雅黑" w:eastAsia="仿宋_GB2312" w:cs="仿宋_GB2312"/>
          <w:sz w:val="32"/>
          <w:szCs w:val="32"/>
        </w:rPr>
        <w:t>向社会进行公开</w:t>
      </w:r>
      <w:r>
        <w:rPr>
          <w:rFonts w:hint="eastAsia" w:ascii="仿宋_GB2312" w:hAnsi="微软雅黑" w:eastAsia="仿宋_GB2312" w:cs="仿宋_GB2312"/>
          <w:sz w:val="32"/>
          <w:szCs w:val="32"/>
          <w:lang w:eastAsia="zh-CN"/>
        </w:rPr>
        <w:t>发布，方便市民群众全面详细了解相关信息，服务市民生活</w:t>
      </w:r>
      <w:r>
        <w:rPr>
          <w:rFonts w:hint="eastAsia" w:ascii="仿宋_GB2312" w:hAnsi="微软雅黑" w:eastAsia="仿宋_GB2312" w:cs="仿宋_GB2312"/>
          <w:sz w:val="32"/>
          <w:szCs w:val="32"/>
        </w:rPr>
        <w:t>。重要会议、重要活动、重大事项等工作均在门户网站以图文并茂的形式全程公开</w:t>
      </w:r>
      <w:r>
        <w:rPr>
          <w:rFonts w:hint="eastAsia" w:ascii="仿宋_GB2312" w:hAnsi="微软雅黑" w:eastAsia="仿宋_GB2312" w:cs="仿宋_GB2312"/>
          <w:sz w:val="32"/>
          <w:szCs w:val="32"/>
          <w:lang w:eastAsia="zh-CN"/>
        </w:rPr>
        <w:t>，及时有效的向市民群众公开工作开展情况，</w:t>
      </w:r>
      <w:r>
        <w:rPr>
          <w:rFonts w:hint="eastAsia" w:ascii="仿宋_GB2312" w:hAnsi="微软雅黑" w:eastAsia="仿宋_GB2312" w:cs="仿宋_GB2312"/>
          <w:sz w:val="32"/>
          <w:szCs w:val="32"/>
        </w:rPr>
        <w:t>按时完成年度政府信息公开年度报告编制和公开工作</w:t>
      </w:r>
      <w:r>
        <w:rPr>
          <w:rFonts w:hint="eastAsia" w:ascii="仿宋_GB2312" w:hAnsi="微软雅黑" w:eastAsia="仿宋_GB2312" w:cs="仿宋_GB2312"/>
          <w:sz w:val="32"/>
          <w:szCs w:val="32"/>
          <w:lang w:eastAsia="zh-CN"/>
        </w:rPr>
        <w:t>，强化了市民监督力度</w:t>
      </w:r>
      <w:r>
        <w:rPr>
          <w:rFonts w:hint="eastAsia" w:ascii="仿宋_GB2312" w:hAnsi="微软雅黑" w:eastAsia="仿宋_GB2312" w:cs="仿宋_GB2312"/>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仿宋_GB2312" w:hAnsi="微软雅黑" w:eastAsia="仿宋_GB2312" w:cs="仿宋_GB2312"/>
          <w:sz w:val="32"/>
          <w:szCs w:val="32"/>
          <w:lang w:eastAsia="zh-CN"/>
        </w:rPr>
      </w:pPr>
      <w:r>
        <w:rPr>
          <w:rFonts w:hint="eastAsia" w:ascii="仿宋_GB2312" w:hAnsi="微软雅黑" w:eastAsia="仿宋_GB2312" w:cs="仿宋_GB2312"/>
          <w:sz w:val="32"/>
          <w:szCs w:val="32"/>
          <w:lang w:eastAsia="zh-CN"/>
        </w:rPr>
        <w:drawing>
          <wp:inline distT="0" distB="0" distL="114300" distR="114300">
            <wp:extent cx="5273040" cy="1679575"/>
            <wp:effectExtent l="0" t="0" r="3810" b="15875"/>
            <wp:docPr id="2" name="图片 2" descr="162199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1990013(1)"/>
                    <pic:cNvPicPr>
                      <a:picLocks noChangeAspect="1"/>
                    </pic:cNvPicPr>
                  </pic:nvPicPr>
                  <pic:blipFill>
                    <a:blip r:embed="rId5"/>
                    <a:stretch>
                      <a:fillRect/>
                    </a:stretch>
                  </pic:blipFill>
                  <pic:spPr>
                    <a:xfrm>
                      <a:off x="0" y="0"/>
                      <a:ext cx="5273040" cy="1679575"/>
                    </a:xfrm>
                    <a:prstGeom prst="rect">
                      <a:avLst/>
                    </a:prstGeom>
                  </pic:spPr>
                </pic:pic>
              </a:graphicData>
            </a:graphic>
          </wp:inline>
        </w:drawing>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仿宋_GB2312" w:hAnsi="微软雅黑" w:eastAsia="仿宋_GB2312" w:cs="仿宋_GB2312"/>
          <w:sz w:val="32"/>
          <w:szCs w:val="32"/>
          <w:lang w:eastAsia="zh-CN"/>
        </w:rPr>
      </w:pPr>
      <w:r>
        <w:rPr>
          <w:rFonts w:hint="eastAsia" w:ascii="仿宋_GB2312" w:hAnsi="微软雅黑" w:eastAsia="仿宋_GB2312" w:cs="仿宋_GB2312"/>
          <w:sz w:val="32"/>
          <w:szCs w:val="32"/>
          <w:lang w:eastAsia="zh-CN"/>
        </w:rPr>
        <w:drawing>
          <wp:inline distT="0" distB="0" distL="114300" distR="114300">
            <wp:extent cx="5272405" cy="1914525"/>
            <wp:effectExtent l="0" t="0" r="4445" b="9525"/>
            <wp:docPr id="4" name="图片 4" descr="1621990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1990130(1)"/>
                    <pic:cNvPicPr>
                      <a:picLocks noChangeAspect="1"/>
                    </pic:cNvPicPr>
                  </pic:nvPicPr>
                  <pic:blipFill>
                    <a:blip r:embed="rId6"/>
                    <a:stretch>
                      <a:fillRect/>
                    </a:stretch>
                  </pic:blipFill>
                  <pic:spPr>
                    <a:xfrm>
                      <a:off x="0" y="0"/>
                      <a:ext cx="5272405" cy="1914525"/>
                    </a:xfrm>
                    <a:prstGeom prst="rect">
                      <a:avLst/>
                    </a:prstGeom>
                  </pic:spPr>
                </pic:pic>
              </a:graphicData>
            </a:graphic>
          </wp:inline>
        </w:drawing>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微软雅黑" w:eastAsia="仿宋_GB2312" w:cs="仿宋_GB2312"/>
          <w:sz w:val="32"/>
          <w:szCs w:val="32"/>
          <w:lang w:eastAsia="zh-CN"/>
        </w:rPr>
      </w:pPr>
      <w:r>
        <w:rPr>
          <w:rFonts w:hint="eastAsia" w:ascii="仿宋_GB2312" w:hAnsi="微软雅黑" w:eastAsia="仿宋_GB2312" w:cs="仿宋_GB2312"/>
          <w:sz w:val="32"/>
          <w:szCs w:val="32"/>
          <w:lang w:val="en-US" w:eastAsia="zh-CN"/>
        </w:rPr>
        <w:t xml:space="preserve"> </w:t>
      </w:r>
      <w:r>
        <w:rPr>
          <w:rFonts w:ascii="仿宋_GB2312" w:hAnsi="宋体" w:eastAsia="仿宋_GB2312" w:cs="仿宋_GB2312"/>
          <w:i w:val="0"/>
          <w:iCs w:val="0"/>
          <w:caps w:val="0"/>
          <w:color w:val="000000"/>
          <w:spacing w:val="0"/>
          <w:sz w:val="31"/>
          <w:szCs w:val="31"/>
          <w:shd w:val="clear" w:fill="FFFFFF"/>
        </w:rPr>
        <w:t>2020年，局网站共更新工作动态信息</w:t>
      </w:r>
      <w:r>
        <w:rPr>
          <w:rFonts w:hint="eastAsia" w:ascii="仿宋_GB2312" w:hAnsi="宋体" w:eastAsia="仿宋_GB2312" w:cs="仿宋_GB2312"/>
          <w:i w:val="0"/>
          <w:iCs w:val="0"/>
          <w:caps w:val="0"/>
          <w:color w:val="000000"/>
          <w:spacing w:val="0"/>
          <w:sz w:val="31"/>
          <w:szCs w:val="31"/>
          <w:shd w:val="clear" w:fill="FFFFFF"/>
          <w:lang w:val="en-US" w:eastAsia="zh-CN"/>
        </w:rPr>
        <w:t>596</w:t>
      </w:r>
      <w:r>
        <w:rPr>
          <w:rFonts w:ascii="仿宋_GB2312" w:hAnsi="宋体" w:eastAsia="仿宋_GB2312" w:cs="仿宋_GB2312"/>
          <w:i w:val="0"/>
          <w:iCs w:val="0"/>
          <w:caps w:val="0"/>
          <w:color w:val="000000"/>
          <w:spacing w:val="0"/>
          <w:sz w:val="31"/>
          <w:szCs w:val="31"/>
          <w:shd w:val="clear" w:fill="FFFFFF"/>
        </w:rPr>
        <w:t>条，公开文件和有关事项</w:t>
      </w:r>
      <w:r>
        <w:rPr>
          <w:rFonts w:hint="eastAsia" w:ascii="仿宋_GB2312" w:hAnsi="宋体" w:eastAsia="仿宋_GB2312" w:cs="仿宋_GB2312"/>
          <w:i w:val="0"/>
          <w:iCs w:val="0"/>
          <w:caps w:val="0"/>
          <w:color w:val="000000"/>
          <w:spacing w:val="0"/>
          <w:sz w:val="31"/>
          <w:szCs w:val="31"/>
          <w:shd w:val="clear" w:fill="FFFFFF"/>
          <w:lang w:val="en-US" w:eastAsia="zh-CN"/>
        </w:rPr>
        <w:t>96</w:t>
      </w:r>
      <w:r>
        <w:rPr>
          <w:rFonts w:ascii="仿宋_GB2312" w:hAnsi="宋体" w:eastAsia="仿宋_GB2312" w:cs="仿宋_GB2312"/>
          <w:i w:val="0"/>
          <w:iCs w:val="0"/>
          <w:caps w:val="0"/>
          <w:color w:val="000000"/>
          <w:spacing w:val="0"/>
          <w:sz w:val="31"/>
          <w:szCs w:val="31"/>
          <w:shd w:val="clear" w:fill="FFFFFF"/>
        </w:rPr>
        <w:t>份；</w:t>
      </w:r>
      <w:r>
        <w:rPr>
          <w:rFonts w:hint="eastAsia" w:ascii="仿宋_GB2312" w:hAnsi="宋体" w:eastAsia="仿宋_GB2312" w:cs="仿宋_GB2312"/>
          <w:i w:val="0"/>
          <w:iCs w:val="0"/>
          <w:caps w:val="0"/>
          <w:color w:val="000000"/>
          <w:spacing w:val="0"/>
          <w:sz w:val="31"/>
          <w:szCs w:val="31"/>
          <w:shd w:val="clear" w:fill="FFFFFF"/>
          <w:lang w:eastAsia="zh-CN"/>
        </w:rPr>
        <w:t>发布、推送微博</w:t>
      </w:r>
      <w:r>
        <w:rPr>
          <w:rFonts w:hint="eastAsia" w:ascii="仿宋_GB2312" w:hAnsi="宋体" w:eastAsia="仿宋_GB2312" w:cs="仿宋_GB2312"/>
          <w:i w:val="0"/>
          <w:iCs w:val="0"/>
          <w:caps w:val="0"/>
          <w:color w:val="000000"/>
          <w:spacing w:val="0"/>
          <w:sz w:val="31"/>
          <w:szCs w:val="31"/>
          <w:shd w:val="clear" w:fill="FFFFFF"/>
          <w:lang w:val="en-US" w:eastAsia="zh-CN"/>
        </w:rPr>
        <w:t>113条；</w:t>
      </w:r>
      <w:r>
        <w:rPr>
          <w:rFonts w:hint="eastAsia" w:ascii="仿宋_GB2312" w:hAnsi="宋体" w:eastAsia="仿宋_GB2312" w:cs="仿宋_GB2312"/>
          <w:i w:val="0"/>
          <w:iCs w:val="0"/>
          <w:caps w:val="0"/>
          <w:color w:val="000000"/>
          <w:spacing w:val="0"/>
          <w:sz w:val="31"/>
          <w:szCs w:val="31"/>
          <w:shd w:val="clear" w:fill="FFFFFF"/>
          <w:lang w:eastAsia="zh-CN"/>
        </w:rPr>
        <w:t>推送</w:t>
      </w:r>
      <w:r>
        <w:rPr>
          <w:rFonts w:ascii="仿宋_GB2312" w:hAnsi="宋体" w:eastAsia="仿宋_GB2312" w:cs="仿宋_GB2312"/>
          <w:i w:val="0"/>
          <w:iCs w:val="0"/>
          <w:caps w:val="0"/>
          <w:color w:val="000000"/>
          <w:spacing w:val="0"/>
          <w:sz w:val="31"/>
          <w:szCs w:val="31"/>
          <w:shd w:val="clear" w:fill="FFFFFF"/>
        </w:rPr>
        <w:t>推送微信公众号</w:t>
      </w:r>
      <w:r>
        <w:rPr>
          <w:rFonts w:hint="eastAsia" w:ascii="仿宋_GB2312" w:hAnsi="宋体" w:eastAsia="仿宋_GB2312" w:cs="仿宋_GB2312"/>
          <w:i w:val="0"/>
          <w:iCs w:val="0"/>
          <w:caps w:val="0"/>
          <w:color w:val="000000"/>
          <w:spacing w:val="0"/>
          <w:sz w:val="31"/>
          <w:szCs w:val="31"/>
          <w:shd w:val="clear" w:fill="FFFFFF"/>
          <w:lang w:val="en-US" w:eastAsia="zh-CN"/>
        </w:rPr>
        <w:t>122</w:t>
      </w:r>
      <w:r>
        <w:rPr>
          <w:rFonts w:ascii="仿宋_GB2312" w:hAnsi="宋体" w:eastAsia="仿宋_GB2312" w:cs="仿宋_GB2312"/>
          <w:i w:val="0"/>
          <w:iCs w:val="0"/>
          <w:caps w:val="0"/>
          <w:color w:val="000000"/>
          <w:spacing w:val="0"/>
          <w:sz w:val="31"/>
          <w:szCs w:val="31"/>
          <w:shd w:val="clear" w:fill="FFFFFF"/>
        </w:rPr>
        <w:t>次，发布图文信息</w:t>
      </w:r>
      <w:r>
        <w:rPr>
          <w:rFonts w:hint="eastAsia" w:ascii="仿宋_GB2312" w:hAnsi="宋体" w:eastAsia="仿宋_GB2312" w:cs="仿宋_GB2312"/>
          <w:i w:val="0"/>
          <w:iCs w:val="0"/>
          <w:caps w:val="0"/>
          <w:color w:val="000000"/>
          <w:spacing w:val="0"/>
          <w:sz w:val="31"/>
          <w:szCs w:val="31"/>
          <w:shd w:val="clear" w:fill="FFFFFF"/>
          <w:lang w:val="en-US" w:eastAsia="zh-CN"/>
        </w:rPr>
        <w:t>375</w:t>
      </w:r>
      <w:r>
        <w:rPr>
          <w:rFonts w:ascii="仿宋_GB2312" w:hAnsi="宋体" w:eastAsia="仿宋_GB2312" w:cs="仿宋_GB2312"/>
          <w:i w:val="0"/>
          <w:iCs w:val="0"/>
          <w:caps w:val="0"/>
          <w:color w:val="000000"/>
          <w:spacing w:val="0"/>
          <w:sz w:val="31"/>
          <w:szCs w:val="31"/>
          <w:shd w:val="clear" w:fill="FFFFFF"/>
        </w:rPr>
        <w:t>条；信息公开网站更新信息1</w:t>
      </w:r>
      <w:r>
        <w:rPr>
          <w:rFonts w:hint="eastAsia" w:ascii="仿宋_GB2312" w:hAnsi="宋体" w:eastAsia="仿宋_GB2312" w:cs="仿宋_GB2312"/>
          <w:i w:val="0"/>
          <w:iCs w:val="0"/>
          <w:caps w:val="0"/>
          <w:color w:val="000000"/>
          <w:spacing w:val="0"/>
          <w:sz w:val="31"/>
          <w:szCs w:val="31"/>
          <w:shd w:val="clear" w:fill="FFFFFF"/>
          <w:lang w:val="en-US" w:eastAsia="zh-CN"/>
        </w:rPr>
        <w:t>88</w:t>
      </w:r>
      <w:r>
        <w:rPr>
          <w:rFonts w:ascii="仿宋_GB2312" w:hAnsi="宋体" w:eastAsia="仿宋_GB2312" w:cs="仿宋_GB2312"/>
          <w:i w:val="0"/>
          <w:iCs w:val="0"/>
          <w:caps w:val="0"/>
          <w:color w:val="000000"/>
          <w:spacing w:val="0"/>
          <w:sz w:val="31"/>
          <w:szCs w:val="31"/>
          <w:shd w:val="clear" w:fill="FFFFFF"/>
        </w:rPr>
        <w:t>条，其中工作动态</w:t>
      </w:r>
      <w:r>
        <w:rPr>
          <w:rFonts w:hint="eastAsia" w:ascii="仿宋_GB2312" w:hAnsi="宋体" w:eastAsia="仿宋_GB2312" w:cs="仿宋_GB2312"/>
          <w:i w:val="0"/>
          <w:iCs w:val="0"/>
          <w:caps w:val="0"/>
          <w:color w:val="000000"/>
          <w:spacing w:val="0"/>
          <w:sz w:val="31"/>
          <w:szCs w:val="31"/>
          <w:shd w:val="clear" w:fill="FFFFFF"/>
          <w:lang w:val="en-US" w:eastAsia="zh-CN"/>
        </w:rPr>
        <w:t>93</w:t>
      </w:r>
      <w:r>
        <w:rPr>
          <w:rFonts w:ascii="仿宋_GB2312" w:hAnsi="宋体" w:eastAsia="仿宋_GB2312" w:cs="仿宋_GB2312"/>
          <w:i w:val="0"/>
          <w:iCs w:val="0"/>
          <w:caps w:val="0"/>
          <w:color w:val="000000"/>
          <w:spacing w:val="0"/>
          <w:sz w:val="31"/>
          <w:szCs w:val="31"/>
          <w:shd w:val="clear" w:fill="FFFFFF"/>
        </w:rPr>
        <w:t>条，部门文件</w:t>
      </w:r>
      <w:r>
        <w:rPr>
          <w:rFonts w:hint="eastAsia" w:ascii="仿宋_GB2312" w:hAnsi="宋体" w:eastAsia="仿宋_GB2312" w:cs="仿宋_GB2312"/>
          <w:i w:val="0"/>
          <w:iCs w:val="0"/>
          <w:caps w:val="0"/>
          <w:color w:val="000000"/>
          <w:spacing w:val="0"/>
          <w:sz w:val="31"/>
          <w:szCs w:val="31"/>
          <w:shd w:val="clear" w:fill="FFFFFF"/>
          <w:lang w:val="en-US" w:eastAsia="zh-CN"/>
        </w:rPr>
        <w:t>15</w:t>
      </w:r>
      <w:r>
        <w:rPr>
          <w:rFonts w:ascii="仿宋_GB2312" w:hAnsi="宋体" w:eastAsia="仿宋_GB2312" w:cs="仿宋_GB2312"/>
          <w:i w:val="0"/>
          <w:iCs w:val="0"/>
          <w:caps w:val="0"/>
          <w:color w:val="000000"/>
          <w:spacing w:val="0"/>
          <w:sz w:val="31"/>
          <w:szCs w:val="31"/>
          <w:shd w:val="clear" w:fill="FFFFFF"/>
        </w:rPr>
        <w:t>件，转载上级部门政策解读</w:t>
      </w:r>
      <w:r>
        <w:rPr>
          <w:rFonts w:hint="eastAsia" w:ascii="仿宋_GB2312" w:hAnsi="宋体" w:eastAsia="仿宋_GB2312" w:cs="仿宋_GB2312"/>
          <w:i w:val="0"/>
          <w:iCs w:val="0"/>
          <w:caps w:val="0"/>
          <w:color w:val="000000"/>
          <w:spacing w:val="0"/>
          <w:sz w:val="31"/>
          <w:szCs w:val="31"/>
          <w:shd w:val="clear" w:fill="FFFFFF"/>
          <w:lang w:val="en-US" w:eastAsia="zh-CN"/>
        </w:rPr>
        <w:t>18</w:t>
      </w:r>
      <w:r>
        <w:rPr>
          <w:rFonts w:ascii="仿宋_GB2312" w:hAnsi="宋体" w:eastAsia="仿宋_GB2312" w:cs="仿宋_GB2312"/>
          <w:i w:val="0"/>
          <w:iCs w:val="0"/>
          <w:caps w:val="0"/>
          <w:color w:val="000000"/>
          <w:spacing w:val="0"/>
          <w:sz w:val="31"/>
          <w:szCs w:val="31"/>
          <w:shd w:val="clear" w:fill="FFFFFF"/>
        </w:rPr>
        <w:t>条，依申请公开信息</w:t>
      </w:r>
      <w:r>
        <w:rPr>
          <w:rFonts w:hint="eastAsia" w:ascii="仿宋_GB2312" w:hAnsi="宋体" w:eastAsia="仿宋_GB2312" w:cs="仿宋_GB2312"/>
          <w:i w:val="0"/>
          <w:iCs w:val="0"/>
          <w:caps w:val="0"/>
          <w:color w:val="000000"/>
          <w:spacing w:val="0"/>
          <w:sz w:val="31"/>
          <w:szCs w:val="31"/>
          <w:shd w:val="clear" w:fill="FFFFFF"/>
          <w:lang w:val="en-US" w:eastAsia="zh-CN"/>
        </w:rPr>
        <w:t>1</w:t>
      </w:r>
      <w:r>
        <w:rPr>
          <w:rFonts w:ascii="仿宋_GB2312" w:hAnsi="宋体" w:eastAsia="仿宋_GB2312" w:cs="仿宋_GB2312"/>
          <w:i w:val="0"/>
          <w:iCs w:val="0"/>
          <w:caps w:val="0"/>
          <w:color w:val="000000"/>
          <w:spacing w:val="0"/>
          <w:sz w:val="31"/>
          <w:szCs w:val="31"/>
          <w:shd w:val="clear" w:fill="FFFFFF"/>
        </w:rPr>
        <w:t>条。</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楷体_GB2312" w:hAnsi="微软雅黑" w:eastAsia="楷体_GB2312" w:cs="楷体_GB2312"/>
          <w:sz w:val="32"/>
          <w:szCs w:val="32"/>
          <w:lang w:eastAsia="zh-CN"/>
        </w:rPr>
      </w:pPr>
      <w:r>
        <w:rPr>
          <w:rFonts w:hint="eastAsia" w:ascii="楷体_GB2312" w:hAnsi="微软雅黑" w:eastAsia="楷体_GB2312" w:cs="楷体_GB2312"/>
          <w:sz w:val="32"/>
          <w:szCs w:val="32"/>
          <w:lang w:eastAsia="zh-CN"/>
        </w:rPr>
        <w:drawing>
          <wp:inline distT="0" distB="0" distL="114300" distR="114300">
            <wp:extent cx="5271770" cy="3023870"/>
            <wp:effectExtent l="0" t="0" r="5080" b="508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7"/>
                    <a:stretch>
                      <a:fillRect/>
                    </a:stretch>
                  </pic:blipFill>
                  <pic:spPr>
                    <a:xfrm>
                      <a:off x="0" y="0"/>
                      <a:ext cx="5271770" cy="3023870"/>
                    </a:xfrm>
                    <a:prstGeom prst="rect">
                      <a:avLst/>
                    </a:prstGeom>
                  </pic:spPr>
                </pic:pic>
              </a:graphicData>
            </a:graphic>
          </wp:inline>
        </w:drawing>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eastAsia" w:ascii="楷体_GB2312" w:hAnsi="微软雅黑" w:eastAsia="楷体_GB2312" w:cs="楷体_GB2312"/>
          <w:sz w:val="32"/>
          <w:szCs w:val="32"/>
        </w:rPr>
      </w:pPr>
      <w:r>
        <w:rPr>
          <w:rFonts w:hint="eastAsia" w:ascii="楷体_GB2312" w:hAnsi="微软雅黑" w:eastAsia="楷体_GB2312" w:cs="楷体_GB2312"/>
          <w:sz w:val="32"/>
          <w:szCs w:val="32"/>
          <w:lang w:eastAsia="zh-CN"/>
        </w:rPr>
        <w:t>（二）</w:t>
      </w:r>
      <w:r>
        <w:rPr>
          <w:rFonts w:hint="eastAsia" w:ascii="楷体_GB2312" w:hAnsi="微软雅黑" w:eastAsia="楷体_GB2312" w:cs="楷体_GB2312"/>
          <w:sz w:val="32"/>
          <w:szCs w:val="32"/>
        </w:rPr>
        <w:t>依申请公开政府信息办理情况</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20</w:t>
      </w:r>
      <w:r>
        <w:rPr>
          <w:rFonts w:hint="eastAsia" w:ascii="仿宋_GB2312" w:hAnsi="微软雅黑" w:eastAsia="仿宋_GB2312"/>
          <w:color w:val="000000"/>
          <w:sz w:val="32"/>
          <w:szCs w:val="32"/>
          <w:lang w:val="en-US" w:eastAsia="zh-CN"/>
        </w:rPr>
        <w:t>20</w:t>
      </w:r>
      <w:r>
        <w:rPr>
          <w:rFonts w:hint="eastAsia" w:ascii="仿宋_GB2312" w:hAnsi="微软雅黑" w:eastAsia="仿宋_GB2312"/>
          <w:color w:val="000000"/>
          <w:sz w:val="32"/>
          <w:szCs w:val="32"/>
        </w:rPr>
        <w:t>年市综合行政执法局共接到依申请公开信息</w:t>
      </w:r>
      <w:r>
        <w:rPr>
          <w:rFonts w:hint="eastAsia" w:ascii="仿宋_GB2312" w:hAnsi="微软雅黑" w:eastAsia="仿宋_GB2312"/>
          <w:color w:val="000000"/>
          <w:sz w:val="32"/>
          <w:szCs w:val="32"/>
          <w:lang w:val="en-US" w:eastAsia="zh-CN"/>
        </w:rPr>
        <w:t>4</w:t>
      </w:r>
      <w:r>
        <w:rPr>
          <w:rFonts w:hint="eastAsia" w:ascii="仿宋_GB2312" w:hAnsi="微软雅黑" w:eastAsia="仿宋_GB2312"/>
          <w:color w:val="000000"/>
          <w:sz w:val="32"/>
          <w:szCs w:val="32"/>
        </w:rPr>
        <w:t>件，</w:t>
      </w:r>
      <w:r>
        <w:rPr>
          <w:rFonts w:hint="eastAsia" w:ascii="仿宋_GB2312" w:hAnsi="微软雅黑" w:eastAsia="仿宋_GB2312"/>
          <w:color w:val="000000"/>
          <w:sz w:val="32"/>
          <w:szCs w:val="32"/>
          <w:lang w:eastAsia="zh-CN"/>
        </w:rPr>
        <w:t>不予受理</w:t>
      </w:r>
      <w:r>
        <w:rPr>
          <w:rFonts w:hint="eastAsia" w:ascii="仿宋_GB2312" w:hAnsi="微软雅黑" w:eastAsia="仿宋_GB2312"/>
          <w:color w:val="000000"/>
          <w:sz w:val="32"/>
          <w:szCs w:val="32"/>
          <w:lang w:val="en-US" w:eastAsia="zh-CN"/>
        </w:rPr>
        <w:t>1件，不属本单位职责2件，依申请公开1件，均</w:t>
      </w:r>
      <w:r>
        <w:rPr>
          <w:rFonts w:hint="eastAsia" w:ascii="仿宋_GB2312" w:hAnsi="微软雅黑" w:eastAsia="仿宋_GB2312"/>
          <w:color w:val="000000"/>
          <w:sz w:val="32"/>
          <w:szCs w:val="32"/>
        </w:rPr>
        <w:t>已依法依规办理完毕。</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楷体_GB2312" w:hAnsi="微软雅黑" w:eastAsia="楷体_GB2312" w:cs="楷体_GB2312"/>
          <w:sz w:val="32"/>
          <w:szCs w:val="32"/>
        </w:rPr>
      </w:pPr>
      <w:r>
        <w:rPr>
          <w:rFonts w:hint="eastAsia" w:ascii="仿宋_GB2312" w:hAnsi="微软雅黑" w:eastAsia="仿宋_GB2312"/>
          <w:color w:val="000000"/>
          <w:sz w:val="32"/>
          <w:szCs w:val="32"/>
          <w:lang w:eastAsia="zh-CN"/>
        </w:rPr>
        <w:drawing>
          <wp:inline distT="0" distB="0" distL="114300" distR="114300">
            <wp:extent cx="5271135" cy="2847340"/>
            <wp:effectExtent l="0" t="0" r="5715" b="10160"/>
            <wp:docPr id="6" name="图片 6" descr="162201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2012176"/>
                    <pic:cNvPicPr>
                      <a:picLocks noChangeAspect="1"/>
                    </pic:cNvPicPr>
                  </pic:nvPicPr>
                  <pic:blipFill>
                    <a:blip r:embed="rId8"/>
                    <a:stretch>
                      <a:fillRect/>
                    </a:stretch>
                  </pic:blipFill>
                  <pic:spPr>
                    <a:xfrm>
                      <a:off x="0" y="0"/>
                      <a:ext cx="5271135" cy="2847340"/>
                    </a:xfrm>
                    <a:prstGeom prst="rect">
                      <a:avLst/>
                    </a:prstGeom>
                  </pic:spPr>
                </pic:pic>
              </a:graphicData>
            </a:graphic>
          </wp:inline>
        </w:drawing>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微软雅黑" w:eastAsia="楷体_GB2312" w:cs="楷体_GB2312"/>
          <w:sz w:val="32"/>
          <w:szCs w:val="32"/>
        </w:rPr>
      </w:pPr>
      <w:r>
        <w:rPr>
          <w:rFonts w:hint="eastAsia" w:ascii="楷体_GB2312" w:hAnsi="微软雅黑" w:eastAsia="楷体_GB2312" w:cs="楷体_GB2312"/>
          <w:sz w:val="32"/>
          <w:szCs w:val="32"/>
        </w:rPr>
        <w:t>(</w:t>
      </w:r>
      <w:r>
        <w:rPr>
          <w:rFonts w:hint="eastAsia" w:ascii="楷体_GB2312" w:hAnsi="微软雅黑" w:eastAsia="楷体_GB2312" w:cs="楷体_GB2312"/>
          <w:sz w:val="32"/>
          <w:szCs w:val="32"/>
          <w:lang w:eastAsia="zh-CN"/>
        </w:rPr>
        <w:t>三</w:t>
      </w:r>
      <w:r>
        <w:rPr>
          <w:rFonts w:hint="eastAsia" w:ascii="楷体_GB2312" w:hAnsi="微软雅黑" w:eastAsia="楷体_GB2312" w:cs="楷体_GB2312"/>
          <w:sz w:val="32"/>
          <w:szCs w:val="32"/>
        </w:rPr>
        <w:t>)政府信息公开收费及减免情况</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7"/>
          <w:szCs w:val="27"/>
        </w:rPr>
      </w:pPr>
      <w:r>
        <w:rPr>
          <w:rFonts w:hint="eastAsia" w:ascii="仿宋_GB2312" w:hAnsi="微软雅黑" w:eastAsia="仿宋_GB2312"/>
          <w:color w:val="000000"/>
          <w:sz w:val="32"/>
          <w:szCs w:val="32"/>
        </w:rPr>
        <w:t>20</w:t>
      </w:r>
      <w:r>
        <w:rPr>
          <w:rFonts w:hint="eastAsia" w:ascii="仿宋_GB2312" w:hAnsi="微软雅黑" w:eastAsia="仿宋_GB2312"/>
          <w:color w:val="000000"/>
          <w:sz w:val="32"/>
          <w:szCs w:val="32"/>
          <w:lang w:val="en-US" w:eastAsia="zh-CN"/>
        </w:rPr>
        <w:t>20</w:t>
      </w:r>
      <w:r>
        <w:rPr>
          <w:rFonts w:hint="eastAsia" w:ascii="仿宋_GB2312" w:hAnsi="微软雅黑" w:eastAsia="仿宋_GB2312"/>
          <w:color w:val="000000"/>
          <w:sz w:val="32"/>
          <w:szCs w:val="32"/>
        </w:rPr>
        <w:t>年市综合行政执法局未收</w:t>
      </w:r>
      <w:r>
        <w:rPr>
          <w:rFonts w:hint="eastAsia" w:ascii="仿宋_GB2312" w:hAnsi="微软雅黑" w:eastAsia="仿宋_GB2312"/>
          <w:color w:val="000000"/>
          <w:sz w:val="32"/>
          <w:szCs w:val="32"/>
          <w:lang w:eastAsia="zh-CN"/>
        </w:rPr>
        <w:t>取</w:t>
      </w:r>
      <w:r>
        <w:rPr>
          <w:rFonts w:hint="eastAsia" w:ascii="仿宋_GB2312" w:hAnsi="微软雅黑" w:eastAsia="仿宋_GB2312"/>
          <w:color w:val="000000"/>
          <w:sz w:val="32"/>
          <w:szCs w:val="32"/>
        </w:rPr>
        <w:t>任何政府信息公开费用。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微软雅黑" w:eastAsia="楷体_GB2312" w:cs="楷体_GB2312"/>
          <w:kern w:val="0"/>
          <w:sz w:val="32"/>
          <w:szCs w:val="32"/>
          <w:lang w:val="en-US" w:eastAsia="zh-CN" w:bidi="ar-SA"/>
        </w:rPr>
      </w:pPr>
      <w:r>
        <w:rPr>
          <w:rFonts w:hint="eastAsia" w:ascii="楷体_GB2312" w:hAnsi="微软雅黑" w:eastAsia="楷体_GB2312" w:cs="楷体_GB2312"/>
          <w:kern w:val="0"/>
          <w:sz w:val="32"/>
          <w:szCs w:val="32"/>
          <w:lang w:val="en-US" w:eastAsia="zh-CN" w:bidi="ar-SA"/>
        </w:rPr>
        <w:t>（四）人大、政协提案办理情况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i w:val="0"/>
          <w:caps w:val="0"/>
          <w:color w:val="000000"/>
          <w:spacing w:val="0"/>
          <w:sz w:val="31"/>
          <w:szCs w:val="31"/>
          <w:lang w:eastAsia="zh-CN"/>
        </w:rPr>
      </w:pPr>
      <w:r>
        <w:rPr>
          <w:rFonts w:ascii="仿宋_GB2312" w:hAnsi="宋体" w:eastAsia="仿宋_GB2312" w:cs="仿宋_GB2312"/>
          <w:i w:val="0"/>
          <w:caps w:val="0"/>
          <w:color w:val="000000"/>
          <w:spacing w:val="0"/>
          <w:sz w:val="31"/>
          <w:szCs w:val="31"/>
        </w:rPr>
        <w:t>2020年</w:t>
      </w:r>
      <w:r>
        <w:rPr>
          <w:rFonts w:hint="eastAsia" w:ascii="仿宋_GB2312" w:hAnsi="宋体" w:eastAsia="仿宋_GB2312" w:cs="仿宋_GB2312"/>
          <w:i w:val="0"/>
          <w:caps w:val="0"/>
          <w:color w:val="000000"/>
          <w:spacing w:val="0"/>
          <w:sz w:val="31"/>
          <w:szCs w:val="31"/>
        </w:rPr>
        <w:t>市综合行政执法局共承办枣庄政协提案6件、滕州人大代表建议9件、滕州政协提案25件，已全部办理完毕</w:t>
      </w:r>
      <w:r>
        <w:rPr>
          <w:rFonts w:hint="eastAsia" w:ascii="仿宋_GB2312" w:hAnsi="宋体" w:eastAsia="仿宋_GB2312" w:cs="仿宋_GB2312"/>
          <w:i w:val="0"/>
          <w:caps w:val="0"/>
          <w:color w:val="000000"/>
          <w:spacing w:val="0"/>
          <w:sz w:val="31"/>
          <w:szCs w:val="3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s="仿宋_GB2312"/>
          <w:i w:val="0"/>
          <w:caps w:val="0"/>
          <w:color w:val="000000"/>
          <w:spacing w:val="0"/>
          <w:sz w:val="31"/>
          <w:szCs w:val="31"/>
          <w:lang w:val="en-US" w:eastAsia="zh-CN"/>
        </w:rPr>
      </w:pPr>
      <w:r>
        <w:rPr>
          <w:rFonts w:hint="eastAsia" w:ascii="仿宋_GB2312" w:hAnsi="宋体" w:eastAsia="仿宋_GB2312" w:cs="仿宋_GB2312"/>
          <w:i w:val="0"/>
          <w:caps w:val="0"/>
          <w:color w:val="000000"/>
          <w:spacing w:val="0"/>
          <w:sz w:val="31"/>
          <w:szCs w:val="31"/>
          <w:lang w:val="en-US" w:eastAsia="zh-CN"/>
        </w:rPr>
        <w:drawing>
          <wp:inline distT="0" distB="0" distL="114300" distR="114300">
            <wp:extent cx="5274310" cy="2809240"/>
            <wp:effectExtent l="0" t="0" r="2540" b="10160"/>
            <wp:docPr id="7" name="图片 7" descr="1622012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22012239(1)"/>
                    <pic:cNvPicPr>
                      <a:picLocks noChangeAspect="1"/>
                    </pic:cNvPicPr>
                  </pic:nvPicPr>
                  <pic:blipFill>
                    <a:blip r:embed="rId9"/>
                    <a:stretch>
                      <a:fillRect/>
                    </a:stretch>
                  </pic:blipFill>
                  <pic:spPr>
                    <a:xfrm>
                      <a:off x="0" y="0"/>
                      <a:ext cx="5274310" cy="280924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（五）政府信息管理情况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按照政务公开要求，全面梳理了门户网站政务公开目录，收集、整理各类政务公开信息，并在网上公开，确保信息上传及时、避免出现空白栏目。同时，严格遵循“谁公开、谁审查、谁负责”原则，确保了政务信息公开工作扎实有效开展。</w:t>
      </w:r>
      <w:r>
        <w:rPr>
          <w:rFonts w:hint="eastAsia" w:ascii="楷体_GB2312" w:hAnsi="楷体_GB2312" w:eastAsia="楷体_GB2312" w:cs="楷体_GB2312"/>
          <w:color w:val="000000"/>
          <w:kern w:val="0"/>
          <w:sz w:val="32"/>
          <w:szCs w:val="32"/>
          <w:lang w:val="en-US" w:eastAsia="zh-CN" w:bidi="ar-SA"/>
        </w:rPr>
        <w:t>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 xml:space="preserve">（六）政府信息平台建设情况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为方便公众了解、获取政府信息，不断丰富公开载体，实现了政府信息公开多元化。目前已形成包括市政务门户网站、信息公开栏、政务公告栏、广播电视、报纸、LED电子显示屏、电子触摸屏、咨询专线电话、便民手册等多种途径在内的信息公开体系。同时还利用多种途径及时向社会公布城管部门的重大政务活动、政府规章文件、领导重要讲话和城市管理动态等情况，切实保障社会公众的知情权和监督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微软雅黑" w:hAnsi="微软雅黑" w:eastAsia="微软雅黑"/>
          <w:color w:val="000000"/>
          <w:sz w:val="27"/>
          <w:szCs w:val="27"/>
        </w:rPr>
      </w:pPr>
      <w:r>
        <w:rPr>
          <w:rFonts w:hint="eastAsia" w:ascii="楷体_GB2312" w:hAnsi="微软雅黑" w:eastAsia="楷体_GB2312" w:cs="楷体_GB2312"/>
          <w:sz w:val="32"/>
          <w:szCs w:val="32"/>
        </w:rPr>
        <w:t>（</w:t>
      </w:r>
      <w:r>
        <w:rPr>
          <w:rFonts w:hint="eastAsia" w:ascii="楷体_GB2312" w:hAnsi="微软雅黑" w:eastAsia="楷体_GB2312" w:cs="楷体_GB2312"/>
          <w:sz w:val="32"/>
          <w:szCs w:val="32"/>
          <w:lang w:eastAsia="zh-CN"/>
        </w:rPr>
        <w:t>七</w:t>
      </w:r>
      <w:r>
        <w:rPr>
          <w:rFonts w:hint="eastAsia" w:ascii="楷体_GB2312" w:hAnsi="微软雅黑" w:eastAsia="楷体_GB2312" w:cs="楷体_GB2312"/>
          <w:sz w:val="32"/>
          <w:szCs w:val="32"/>
        </w:rPr>
        <w:t>）政府信息公开保密审查及监督检查情况</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微软雅黑" w:hAnsi="微软雅黑" w:eastAsia="仿宋_GB2312"/>
          <w:color w:val="000000"/>
          <w:sz w:val="27"/>
          <w:szCs w:val="27"/>
          <w:lang w:val="en-US" w:eastAsia="zh-CN"/>
        </w:rPr>
      </w:pPr>
      <w:r>
        <w:rPr>
          <w:rFonts w:hint="eastAsia" w:ascii="仿宋_GB2312" w:hAnsi="微软雅黑" w:eastAsia="仿宋_GB2312"/>
          <w:color w:val="000000"/>
          <w:sz w:val="32"/>
          <w:szCs w:val="32"/>
        </w:rPr>
        <w:t>滕州市综合行政执法局对所有信息按照时间排序，由局宣传科按照《保密法》和相关规定负责筛选、编排，上网资料需经领导签字批准方可上传，做到“涉密信息不上网，上网信息不涉密”。</w:t>
      </w:r>
      <w:r>
        <w:rPr>
          <w:rFonts w:hint="eastAsia" w:ascii="仿宋_GB2312" w:hAnsi="微软雅黑" w:eastAsia="仿宋_GB2312"/>
          <w:color w:val="000000"/>
          <w:sz w:val="32"/>
          <w:szCs w:val="32"/>
          <w:lang w:eastAsia="zh-CN"/>
        </w:rPr>
        <w:t>目前，政府信息公开工作已列入滕州市部门考核内容。</w:t>
      </w:r>
      <w:r>
        <w:rPr>
          <w:rFonts w:hint="eastAsia" w:ascii="仿宋_GB2312" w:hAnsi="微软雅黑" w:eastAsia="仿宋_GB2312"/>
          <w:color w:val="000000"/>
          <w:sz w:val="32"/>
          <w:szCs w:val="32"/>
          <w:lang w:val="en-US" w:eastAsia="zh-CN"/>
        </w:rPr>
        <w:t>2020年度未进行社会评议，未发生责任追究情况。</w:t>
      </w:r>
    </w:p>
    <w:p>
      <w:pPr>
        <w:widowControl/>
        <w:numPr>
          <w:ilvl w:val="0"/>
          <w:numId w:val="1"/>
        </w:numPr>
        <w:ind w:firstLine="480" w:firstLineChars="15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主动公开政府信息情况</w:t>
      </w:r>
    </w:p>
    <w:p>
      <w:pPr>
        <w:pStyle w:val="2"/>
        <w:widowControl w:val="0"/>
        <w:numPr>
          <w:ilvl w:val="0"/>
          <w:numId w:val="0"/>
        </w:numPr>
        <w:spacing w:line="660" w:lineRule="exact"/>
        <w:jc w:val="both"/>
      </w:pPr>
    </w:p>
    <w:p/>
    <w:tbl>
      <w:tblPr>
        <w:tblStyle w:val="7"/>
        <w:tblW w:w="8933" w:type="dxa"/>
        <w:jc w:val="center"/>
        <w:shd w:val="clear" w:color="auto" w:fill="FFFFFF" w:themeFill="background1"/>
        <w:tblLayout w:type="fixed"/>
        <w:tblCellMar>
          <w:top w:w="0" w:type="dxa"/>
          <w:left w:w="0" w:type="dxa"/>
          <w:bottom w:w="0" w:type="dxa"/>
          <w:right w:w="0" w:type="dxa"/>
        </w:tblCellMar>
      </w:tblPr>
      <w:tblGrid>
        <w:gridCol w:w="3298"/>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933"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第二十条第（一）项</w:t>
            </w:r>
          </w:p>
        </w:tc>
      </w:tr>
      <w:tr>
        <w:tblPrEx>
          <w:tblCellMar>
            <w:top w:w="0" w:type="dxa"/>
            <w:left w:w="0" w:type="dxa"/>
            <w:bottom w:w="0" w:type="dxa"/>
            <w:right w:w="0" w:type="dxa"/>
          </w:tblCellMar>
        </w:tblPrEx>
        <w:trPr>
          <w:trHeight w:val="866" w:hRule="atLeast"/>
          <w:jc w:val="center"/>
        </w:trPr>
        <w:tc>
          <w:tcPr>
            <w:tcW w:w="329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对外公开</w:t>
            </w:r>
          </w:p>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总数量</w:t>
            </w:r>
          </w:p>
        </w:tc>
      </w:tr>
      <w:tr>
        <w:tblPrEx>
          <w:tblCellMar>
            <w:top w:w="0" w:type="dxa"/>
            <w:left w:w="0" w:type="dxa"/>
            <w:bottom w:w="0" w:type="dxa"/>
            <w:right w:w="0" w:type="dxa"/>
          </w:tblCellMar>
        </w:tblPrEx>
        <w:trPr>
          <w:trHeight w:val="399" w:hRule="atLeast"/>
          <w:jc w:val="center"/>
        </w:trPr>
        <w:tc>
          <w:tcPr>
            <w:tcW w:w="329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04" w:hRule="atLeast"/>
          <w:jc w:val="center"/>
        </w:trPr>
        <w:tc>
          <w:tcPr>
            <w:tcW w:w="329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6</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6</w:t>
            </w: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6</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80" w:hRule="atLeast"/>
          <w:jc w:val="center"/>
        </w:trPr>
        <w:tc>
          <w:tcPr>
            <w:tcW w:w="8933"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第二十条第（五）项</w:t>
            </w:r>
          </w:p>
        </w:tc>
      </w:tr>
      <w:tr>
        <w:tblPrEx>
          <w:tblCellMar>
            <w:top w:w="0" w:type="dxa"/>
            <w:left w:w="0" w:type="dxa"/>
            <w:bottom w:w="0" w:type="dxa"/>
            <w:right w:w="0" w:type="dxa"/>
          </w:tblCellMar>
        </w:tblPrEx>
        <w:trPr>
          <w:trHeight w:val="516" w:hRule="atLeast"/>
          <w:jc w:val="center"/>
        </w:trPr>
        <w:tc>
          <w:tcPr>
            <w:tcW w:w="329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55" w:hRule="atLeast"/>
          <w:jc w:val="center"/>
        </w:trPr>
        <w:tc>
          <w:tcPr>
            <w:tcW w:w="329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550" w:hRule="atLeast"/>
          <w:jc w:val="center"/>
        </w:trPr>
        <w:tc>
          <w:tcPr>
            <w:tcW w:w="329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97" w:hRule="atLeast"/>
          <w:jc w:val="center"/>
        </w:trPr>
        <w:tc>
          <w:tcPr>
            <w:tcW w:w="8933"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第二十条第（六）项</w:t>
            </w:r>
          </w:p>
        </w:tc>
      </w:tr>
      <w:tr>
        <w:tblPrEx>
          <w:tblCellMar>
            <w:top w:w="0" w:type="dxa"/>
            <w:left w:w="0" w:type="dxa"/>
            <w:bottom w:w="0" w:type="dxa"/>
            <w:right w:w="0" w:type="dxa"/>
          </w:tblCellMar>
        </w:tblPrEx>
        <w:trPr>
          <w:trHeight w:val="547" w:hRule="atLeast"/>
          <w:jc w:val="center"/>
        </w:trPr>
        <w:tc>
          <w:tcPr>
            <w:tcW w:w="329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329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420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eastAsia="zh-CN"/>
              </w:rPr>
              <w:t>减</w:t>
            </w:r>
            <w:r>
              <w:rPr>
                <w:rFonts w:hint="eastAsia" w:asciiTheme="minorEastAsia" w:hAnsiTheme="minorEastAsia" w:cstheme="minorEastAsia"/>
                <w:color w:val="000000"/>
                <w:kern w:val="0"/>
                <w:sz w:val="24"/>
                <w:lang w:val="en-US" w:eastAsia="zh-CN"/>
              </w:rPr>
              <w:t>185</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235</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09" w:hRule="atLeast"/>
          <w:jc w:val="center"/>
        </w:trPr>
        <w:tc>
          <w:tcPr>
            <w:tcW w:w="329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74" w:hRule="atLeast"/>
          <w:jc w:val="center"/>
        </w:trPr>
        <w:tc>
          <w:tcPr>
            <w:tcW w:w="8933"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第二十条第（八）项</w:t>
            </w:r>
          </w:p>
        </w:tc>
      </w:tr>
      <w:tr>
        <w:tblPrEx>
          <w:tblCellMar>
            <w:top w:w="0" w:type="dxa"/>
            <w:left w:w="0" w:type="dxa"/>
            <w:bottom w:w="0" w:type="dxa"/>
            <w:right w:w="0" w:type="dxa"/>
          </w:tblCellMar>
        </w:tblPrEx>
        <w:trPr>
          <w:trHeight w:val="447" w:hRule="atLeast"/>
          <w:jc w:val="center"/>
        </w:trPr>
        <w:tc>
          <w:tcPr>
            <w:tcW w:w="329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r>
      <w:tr>
        <w:tblPrEx>
          <w:tblCellMar>
            <w:top w:w="0" w:type="dxa"/>
            <w:left w:w="0" w:type="dxa"/>
            <w:bottom w:w="0" w:type="dxa"/>
            <w:right w:w="0" w:type="dxa"/>
          </w:tblCellMar>
        </w:tblPrEx>
        <w:trPr>
          <w:trHeight w:val="440" w:hRule="atLeast"/>
          <w:jc w:val="center"/>
        </w:trPr>
        <w:tc>
          <w:tcPr>
            <w:tcW w:w="329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rPr>
              <w:t>　</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76" w:hRule="atLeast"/>
          <w:jc w:val="center"/>
        </w:trPr>
        <w:tc>
          <w:tcPr>
            <w:tcW w:w="8933"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315"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315"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144</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rPr>
            </w:pPr>
            <w:r>
              <w:rPr>
                <w:rFonts w:hint="eastAsia" w:asciiTheme="minorEastAsia" w:hAnsiTheme="minorEastAsia" w:cstheme="minorEastAsia"/>
                <w:color w:val="000000"/>
                <w:kern w:val="0"/>
                <w:sz w:val="24"/>
                <w:lang w:val="en-US" w:eastAsia="zh-CN"/>
              </w:rPr>
              <w:t>40.5933万元</w:t>
            </w:r>
          </w:p>
        </w:tc>
      </w:tr>
    </w:tbl>
    <w:p>
      <w:pPr>
        <w:widowControl/>
        <w:ind w:firstLine="480" w:firstLineChars="150"/>
        <w:rPr>
          <w:rFonts w:ascii="黑体" w:hAnsi="黑体" w:eastAsia="黑体" w:cs="黑体"/>
          <w:color w:val="000000"/>
          <w:kern w:val="0"/>
          <w:sz w:val="32"/>
          <w:szCs w:val="32"/>
        </w:rPr>
      </w:pPr>
      <w:r>
        <w:rPr>
          <w:rFonts w:hint="eastAsia" w:ascii="黑体" w:hAnsi="黑体" w:eastAsia="黑体" w:cs="黑体"/>
          <w:color w:val="000000"/>
          <w:kern w:val="0"/>
          <w:sz w:val="32"/>
          <w:szCs w:val="32"/>
        </w:rPr>
        <w:t>三、收到和处理政府信息公开申请情况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1"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5.要求行政机关确认或重新</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firstLine="1300" w:firstLineChars="650"/>
              <w:rPr>
                <w:rFonts w:ascii="宋体" w:hAnsi="宋体" w:eastAsia="宋体" w:cs="宋体"/>
                <w:kern w:val="0"/>
                <w:sz w:val="20"/>
                <w:szCs w:val="20"/>
              </w:rPr>
            </w:pPr>
            <w:r>
              <w:rPr>
                <w:rFonts w:hint="eastAsia" w:ascii="宋体" w:hAnsi="宋体" w:eastAsia="宋体" w:cs="宋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bl>
    <w:p>
      <w:pPr>
        <w:widowControl/>
        <w:ind w:firstLine="640" w:firstLineChars="200"/>
        <w:rPr>
          <w:rFonts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lang w:eastAsia="zh-CN"/>
        </w:rPr>
        <w:t>五、</w:t>
      </w:r>
      <w:r>
        <w:rPr>
          <w:rFonts w:hint="eastAsia" w:ascii="黑体" w:hAnsi="黑体" w:eastAsia="黑体" w:cs="宋体"/>
          <w:color w:val="333333"/>
          <w:sz w:val="32"/>
          <w:szCs w:val="32"/>
          <w:shd w:val="clear" w:color="auto" w:fill="FFFFFF"/>
        </w:rPr>
        <w:t>存在的</w:t>
      </w:r>
      <w:r>
        <w:rPr>
          <w:rFonts w:hint="eastAsia" w:ascii="黑体" w:hAnsi="黑体" w:eastAsia="黑体" w:cs="黑体"/>
          <w:color w:val="000000"/>
          <w:kern w:val="0"/>
          <w:sz w:val="32"/>
          <w:szCs w:val="32"/>
        </w:rPr>
        <w:t>主要</w:t>
      </w:r>
      <w:r>
        <w:rPr>
          <w:rFonts w:hint="eastAsia" w:ascii="黑体" w:hAnsi="黑体" w:eastAsia="黑体" w:cs="宋体"/>
          <w:color w:val="333333"/>
          <w:sz w:val="32"/>
          <w:szCs w:val="32"/>
          <w:shd w:val="clear" w:color="auto" w:fill="FFFFFF"/>
        </w:rPr>
        <w:t>问题及改进情况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spacing w:val="-3"/>
          <w:kern w:val="2"/>
          <w:sz w:val="32"/>
          <w:szCs w:val="32"/>
          <w:lang w:val="zh-CN" w:eastAsia="zh-CN" w:bidi="zh-CN"/>
        </w:rPr>
      </w:pPr>
      <w:bookmarkStart w:id="0" w:name="_GoBack"/>
      <w:r>
        <w:rPr>
          <w:rFonts w:hint="eastAsia" w:ascii="仿宋_GB2312" w:hAnsi="仿宋_GB2312" w:eastAsia="仿宋_GB2312" w:cs="仿宋_GB2312"/>
          <w:spacing w:val="-3"/>
          <w:kern w:val="2"/>
          <w:sz w:val="32"/>
          <w:szCs w:val="32"/>
          <w:lang w:val="zh-CN" w:eastAsia="zh-CN" w:bidi="zh-CN"/>
        </w:rPr>
        <w:t>（一）存在问题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spacing w:val="-3"/>
          <w:kern w:val="2"/>
          <w:sz w:val="32"/>
          <w:szCs w:val="32"/>
          <w:lang w:val="zh-CN" w:eastAsia="zh-CN" w:bidi="zh-CN"/>
        </w:rPr>
      </w:pPr>
      <w:r>
        <w:rPr>
          <w:rFonts w:hint="eastAsia" w:ascii="仿宋_GB2312" w:hAnsi="仿宋_GB2312" w:eastAsia="仿宋_GB2312" w:cs="仿宋_GB2312"/>
          <w:spacing w:val="-3"/>
          <w:kern w:val="2"/>
          <w:sz w:val="32"/>
          <w:szCs w:val="32"/>
          <w:lang w:val="zh-CN" w:eastAsia="zh-CN" w:bidi="zh-CN"/>
        </w:rPr>
        <w:t>1.对政府信息公开工作认识度不够，重视程度不强。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spacing w:val="-3"/>
          <w:kern w:val="2"/>
          <w:sz w:val="32"/>
          <w:szCs w:val="32"/>
          <w:lang w:val="zh-CN" w:eastAsia="zh-CN" w:bidi="zh-CN"/>
        </w:rPr>
      </w:pPr>
      <w:r>
        <w:rPr>
          <w:rFonts w:hint="eastAsia" w:ascii="仿宋_GB2312" w:hAnsi="仿宋_GB2312" w:eastAsia="仿宋_GB2312" w:cs="仿宋_GB2312"/>
          <w:spacing w:val="-3"/>
          <w:kern w:val="2"/>
          <w:sz w:val="32"/>
          <w:szCs w:val="32"/>
          <w:lang w:val="zh-CN" w:eastAsia="zh-CN" w:bidi="zh-CN"/>
        </w:rPr>
        <w:t>2.政策解读内容还比较制式，可读性不够强的问题。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spacing w:val="-3"/>
          <w:kern w:val="2"/>
          <w:sz w:val="32"/>
          <w:szCs w:val="32"/>
          <w:lang w:val="zh-CN" w:eastAsia="zh-CN" w:bidi="zh-CN"/>
        </w:rPr>
      </w:pPr>
      <w:r>
        <w:rPr>
          <w:rFonts w:hint="eastAsia" w:ascii="仿宋_GB2312" w:hAnsi="仿宋_GB2312" w:eastAsia="仿宋_GB2312" w:cs="仿宋_GB2312"/>
          <w:spacing w:val="-3"/>
          <w:kern w:val="2"/>
          <w:sz w:val="32"/>
          <w:szCs w:val="32"/>
          <w:lang w:val="zh-CN" w:eastAsia="zh-CN" w:bidi="zh-CN"/>
        </w:rPr>
        <w:t>（二）改进措施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spacing w:val="-3"/>
          <w:kern w:val="2"/>
          <w:sz w:val="32"/>
          <w:szCs w:val="32"/>
          <w:lang w:val="zh-CN" w:eastAsia="zh-CN" w:bidi="zh-CN"/>
        </w:rPr>
      </w:pPr>
      <w:r>
        <w:rPr>
          <w:rFonts w:hint="eastAsia" w:ascii="仿宋_GB2312" w:hAnsi="仿宋_GB2312" w:eastAsia="仿宋_GB2312" w:cs="仿宋_GB2312"/>
          <w:spacing w:val="-3"/>
          <w:kern w:val="2"/>
          <w:sz w:val="32"/>
          <w:szCs w:val="32"/>
          <w:lang w:val="zh-CN" w:eastAsia="zh-CN" w:bidi="zh-CN"/>
        </w:rPr>
        <w:t>1.加强培训力度。通过邀请专家授课、开展政府信息公开工作专题辅导等形式，切实提高工作人员对政府信息公开工作的认识水平和工作能力。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spacing w:val="-3"/>
          <w:kern w:val="2"/>
          <w:sz w:val="32"/>
          <w:szCs w:val="32"/>
          <w:lang w:val="zh-CN" w:eastAsia="zh-CN" w:bidi="zh-CN"/>
        </w:rPr>
      </w:pPr>
      <w:r>
        <w:rPr>
          <w:rFonts w:hint="eastAsia" w:ascii="仿宋_GB2312" w:hAnsi="仿宋_GB2312" w:eastAsia="仿宋_GB2312" w:cs="仿宋_GB2312"/>
          <w:spacing w:val="-3"/>
          <w:kern w:val="2"/>
          <w:sz w:val="32"/>
          <w:szCs w:val="32"/>
          <w:lang w:val="zh-CN" w:eastAsia="zh-CN" w:bidi="zh-CN"/>
        </w:rPr>
        <w:t>2.压实主体责任。制定下发任务清单，明确各部位工作责任，安排专人按时报送更新政府公开信息，确保工作质量。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spacing w:val="-3"/>
          <w:kern w:val="2"/>
          <w:sz w:val="32"/>
          <w:szCs w:val="32"/>
          <w:lang w:val="zh-CN" w:eastAsia="zh-CN" w:bidi="zh-CN"/>
        </w:rPr>
      </w:pPr>
      <w:r>
        <w:rPr>
          <w:rFonts w:hint="eastAsia" w:ascii="仿宋_GB2312" w:hAnsi="仿宋_GB2312" w:eastAsia="仿宋_GB2312" w:cs="仿宋_GB2312"/>
          <w:spacing w:val="-3"/>
          <w:kern w:val="2"/>
          <w:sz w:val="32"/>
          <w:szCs w:val="32"/>
          <w:lang w:val="zh-CN" w:eastAsia="zh-CN" w:bidi="zh-CN"/>
        </w:rPr>
        <w:t>3.丰富解读形式。多用客观事实、统计数据和生动案例等不断提高政策解读的质量，多用图解、动漫、音频、视频等形式，让市民更好的了解政策内容。</w:t>
      </w:r>
    </w:p>
    <w:bookmarkEnd w:id="0"/>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六、其他需要报告的事项</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28" w:firstLineChars="200"/>
        <w:jc w:val="both"/>
        <w:textAlignment w:val="auto"/>
        <w:rPr>
          <w:spacing w:val="-3"/>
        </w:rPr>
      </w:pPr>
      <w:r>
        <w:rPr>
          <w:rFonts w:hint="eastAsia"/>
          <w:spacing w:val="-3"/>
        </w:rPr>
        <w:t>本报告的电子版可在“中国滕州网”（http://www.tengzhou.gov.cn/）网站查询和下载。如对本报告有任何疑问，请与</w:t>
      </w:r>
      <w:r>
        <w:rPr>
          <w:rFonts w:hint="default"/>
          <w:spacing w:val="-3"/>
        </w:rPr>
        <w:t>滕州市</w:t>
      </w:r>
      <w:r>
        <w:rPr>
          <w:rFonts w:hint="eastAsia"/>
          <w:spacing w:val="-3"/>
          <w:lang w:eastAsia="zh-CN"/>
        </w:rPr>
        <w:t>综合行政执法局宣传科</w:t>
      </w:r>
      <w:r>
        <w:rPr>
          <w:rFonts w:hint="eastAsia"/>
          <w:spacing w:val="-3"/>
        </w:rPr>
        <w:t>联系。</w:t>
      </w:r>
      <w:r>
        <w:rPr>
          <w:rFonts w:hint="default"/>
          <w:spacing w:val="-3"/>
          <w:lang w:val="zh-CN" w:eastAsia="zh-CN"/>
        </w:rPr>
        <w:t>地址：滕州市善国</w:t>
      </w:r>
      <w:r>
        <w:rPr>
          <w:rFonts w:hint="eastAsia"/>
          <w:spacing w:val="-3"/>
          <w:lang w:val="zh-CN" w:eastAsia="zh-CN"/>
        </w:rPr>
        <w:t>北路</w:t>
      </w:r>
      <w:r>
        <w:rPr>
          <w:rFonts w:hint="eastAsia"/>
          <w:spacing w:val="-3"/>
          <w:lang w:val="en-US" w:eastAsia="zh-CN"/>
        </w:rPr>
        <w:t>107号</w:t>
      </w:r>
      <w:r>
        <w:rPr>
          <w:rFonts w:hint="eastAsia"/>
          <w:spacing w:val="-3"/>
          <w:lang w:val="zh-CN" w:eastAsia="zh-CN"/>
        </w:rPr>
        <w:t>，</w:t>
      </w:r>
      <w:r>
        <w:rPr>
          <w:rFonts w:hint="default"/>
          <w:spacing w:val="-3"/>
          <w:lang w:val="zh-CN" w:eastAsia="zh-CN"/>
        </w:rPr>
        <w:t>联系电话：0632-</w:t>
      </w:r>
      <w:r>
        <w:rPr>
          <w:rFonts w:hint="eastAsia"/>
          <w:spacing w:val="-3"/>
          <w:lang w:val="en-US" w:eastAsia="zh-CN"/>
        </w:rPr>
        <w:t>5878001</w:t>
      </w:r>
      <w:r>
        <w:rPr>
          <w:rFonts w:hint="eastAsia"/>
          <w:spacing w:val="-3"/>
        </w:rPr>
        <w:t>。</w:t>
      </w:r>
    </w:p>
    <w:p>
      <w:pPr>
        <w:keepNext w:val="0"/>
        <w:keepLines w:val="0"/>
        <w:pageBreakBefore w:val="0"/>
        <w:tabs>
          <w:tab w:val="left" w:pos="5571"/>
        </w:tabs>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微软雅黑" w:eastAsia="仿宋_GB2312" w:cs="仿宋_GB2312"/>
          <w:kern w:val="0"/>
          <w:sz w:val="32"/>
          <w:szCs w:val="32"/>
        </w:rPr>
      </w:pPr>
    </w:p>
    <w:p>
      <w:pPr>
        <w:keepNext w:val="0"/>
        <w:keepLines w:val="0"/>
        <w:pageBreakBefore w:val="0"/>
        <w:tabs>
          <w:tab w:val="left" w:pos="5571"/>
        </w:tabs>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微软雅黑" w:eastAsia="仿宋_GB2312" w:cs="仿宋_GB2312"/>
          <w:kern w:val="0"/>
          <w:sz w:val="32"/>
          <w:szCs w:val="32"/>
          <w:lang w:val="en-US" w:eastAsia="zh-CN"/>
        </w:rPr>
      </w:pPr>
      <w:r>
        <w:rPr>
          <w:rFonts w:hint="eastAsia" w:ascii="仿宋_GB2312" w:hAnsi="微软雅黑" w:eastAsia="仿宋_GB2312" w:cs="仿宋_GB2312"/>
          <w:kern w:val="0"/>
          <w:sz w:val="32"/>
          <w:szCs w:val="32"/>
          <w:lang w:val="en-US" w:eastAsia="zh-CN"/>
        </w:rPr>
        <w:t xml:space="preserve"> </w:t>
      </w:r>
    </w:p>
    <w:p>
      <w:pPr>
        <w:keepNext w:val="0"/>
        <w:keepLines w:val="0"/>
        <w:pageBreakBefore w:val="0"/>
        <w:tabs>
          <w:tab w:val="left" w:pos="5571"/>
        </w:tabs>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仿宋_GB2312"/>
          <w:kern w:val="0"/>
          <w:sz w:val="32"/>
          <w:szCs w:val="32"/>
          <w:lang w:val="en-US" w:eastAsia="zh-CN"/>
        </w:rPr>
      </w:pPr>
    </w:p>
    <w:p>
      <w:pPr>
        <w:keepNext w:val="0"/>
        <w:keepLines w:val="0"/>
        <w:pageBreakBefore w:val="0"/>
        <w:tabs>
          <w:tab w:val="left" w:pos="5571"/>
        </w:tabs>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微软雅黑" w:eastAsia="仿宋_GB2312" w:cs="仿宋_GB2312"/>
          <w:kern w:val="0"/>
          <w:sz w:val="32"/>
          <w:szCs w:val="32"/>
        </w:rPr>
      </w:pPr>
    </w:p>
    <w:p>
      <w:pPr>
        <w:keepNext w:val="0"/>
        <w:keepLines w:val="0"/>
        <w:pageBreakBefore w:val="0"/>
        <w:tabs>
          <w:tab w:val="left" w:pos="5571"/>
        </w:tabs>
        <w:kinsoku/>
        <w:wordWrap/>
        <w:overflowPunct/>
        <w:topLinePunct w:val="0"/>
        <w:autoSpaceDE/>
        <w:autoSpaceDN/>
        <w:bidi w:val="0"/>
        <w:adjustRightInd/>
        <w:snapToGrid/>
        <w:spacing w:line="560" w:lineRule="exact"/>
        <w:ind w:firstLine="4800" w:firstLineChars="1500"/>
        <w:jc w:val="both"/>
        <w:textAlignment w:val="auto"/>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滕州市综合行政执法局</w:t>
      </w:r>
    </w:p>
    <w:p>
      <w:pPr>
        <w:keepNext w:val="0"/>
        <w:keepLines w:val="0"/>
        <w:pageBreakBefore w:val="0"/>
        <w:kinsoku/>
        <w:wordWrap/>
        <w:overflowPunct/>
        <w:topLinePunct w:val="0"/>
        <w:autoSpaceDE/>
        <w:autoSpaceDN/>
        <w:bidi w:val="0"/>
        <w:adjustRightInd/>
        <w:snapToGrid/>
        <w:spacing w:line="560" w:lineRule="exact"/>
        <w:ind w:firstLine="320" w:firstLineChars="100"/>
        <w:jc w:val="center"/>
        <w:textAlignment w:val="auto"/>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lang w:val="en-US" w:eastAsia="zh-CN"/>
        </w:rPr>
        <w:t xml:space="preserve">                          </w:t>
      </w:r>
      <w:r>
        <w:rPr>
          <w:rFonts w:hint="eastAsia" w:ascii="仿宋_GB2312" w:hAnsi="微软雅黑" w:eastAsia="仿宋_GB2312" w:cs="仿宋_GB2312"/>
          <w:kern w:val="0"/>
          <w:sz w:val="32"/>
          <w:szCs w:val="32"/>
        </w:rPr>
        <w:t>202</w:t>
      </w:r>
      <w:r>
        <w:rPr>
          <w:rFonts w:hint="eastAsia" w:ascii="仿宋_GB2312" w:hAnsi="微软雅黑" w:eastAsia="仿宋_GB2312" w:cs="仿宋_GB2312"/>
          <w:kern w:val="0"/>
          <w:sz w:val="32"/>
          <w:szCs w:val="32"/>
          <w:lang w:val="en-US" w:eastAsia="zh-CN"/>
        </w:rPr>
        <w:t>1</w:t>
      </w:r>
      <w:r>
        <w:rPr>
          <w:rFonts w:hint="eastAsia" w:ascii="仿宋_GB2312" w:hAnsi="微软雅黑" w:eastAsia="仿宋_GB2312" w:cs="仿宋_GB2312"/>
          <w:kern w:val="0"/>
          <w:sz w:val="32"/>
          <w:szCs w:val="32"/>
        </w:rPr>
        <w:t>年1月</w:t>
      </w:r>
      <w:r>
        <w:rPr>
          <w:rFonts w:hint="eastAsia" w:ascii="仿宋_GB2312" w:hAnsi="微软雅黑" w:eastAsia="仿宋_GB2312" w:cs="仿宋_GB2312"/>
          <w:kern w:val="0"/>
          <w:sz w:val="32"/>
          <w:szCs w:val="32"/>
          <w:lang w:val="en-US" w:eastAsia="zh-CN"/>
        </w:rPr>
        <w:t>27</w:t>
      </w:r>
      <w:r>
        <w:rPr>
          <w:rFonts w:hint="eastAsia" w:ascii="仿宋_GB2312" w:hAnsi="微软雅黑" w:eastAsia="仿宋_GB2312" w:cs="仿宋_GB2312"/>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80CB1"/>
    <w:multiLevelType w:val="singleLevel"/>
    <w:tmpl w:val="BDE80CB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M0MTE2ZDUyOGI3OGJhYjc2MjdiODg3MDdmODk3MjAifQ=="/>
  </w:docVars>
  <w:rsids>
    <w:rsidRoot w:val="00F405CF"/>
    <w:rsid w:val="00003804"/>
    <w:rsid w:val="00043475"/>
    <w:rsid w:val="00153A48"/>
    <w:rsid w:val="00165D7A"/>
    <w:rsid w:val="001A7797"/>
    <w:rsid w:val="001B5AD8"/>
    <w:rsid w:val="001B6A3C"/>
    <w:rsid w:val="001E3641"/>
    <w:rsid w:val="001E41B7"/>
    <w:rsid w:val="00224D56"/>
    <w:rsid w:val="002C1EAD"/>
    <w:rsid w:val="00301B0E"/>
    <w:rsid w:val="003033F4"/>
    <w:rsid w:val="00333685"/>
    <w:rsid w:val="00346AE4"/>
    <w:rsid w:val="003544B8"/>
    <w:rsid w:val="004537C7"/>
    <w:rsid w:val="00461953"/>
    <w:rsid w:val="004A76E2"/>
    <w:rsid w:val="00585080"/>
    <w:rsid w:val="005A25E9"/>
    <w:rsid w:val="005F5B65"/>
    <w:rsid w:val="006A1B64"/>
    <w:rsid w:val="007342A5"/>
    <w:rsid w:val="007C29C1"/>
    <w:rsid w:val="007D0CF7"/>
    <w:rsid w:val="00826739"/>
    <w:rsid w:val="0083026B"/>
    <w:rsid w:val="0083387B"/>
    <w:rsid w:val="00836342"/>
    <w:rsid w:val="00840BDC"/>
    <w:rsid w:val="00865ECE"/>
    <w:rsid w:val="008D5A3A"/>
    <w:rsid w:val="0091271F"/>
    <w:rsid w:val="009E1164"/>
    <w:rsid w:val="00A011FC"/>
    <w:rsid w:val="00A82848"/>
    <w:rsid w:val="00AB0B9E"/>
    <w:rsid w:val="00AE3E08"/>
    <w:rsid w:val="00B44171"/>
    <w:rsid w:val="00B82515"/>
    <w:rsid w:val="00C4798D"/>
    <w:rsid w:val="00C533B9"/>
    <w:rsid w:val="00C928B7"/>
    <w:rsid w:val="00CA6843"/>
    <w:rsid w:val="00CC7F49"/>
    <w:rsid w:val="00E3139B"/>
    <w:rsid w:val="00E81D78"/>
    <w:rsid w:val="00E914B0"/>
    <w:rsid w:val="00EC579B"/>
    <w:rsid w:val="00F40314"/>
    <w:rsid w:val="00F405CF"/>
    <w:rsid w:val="00FD5569"/>
    <w:rsid w:val="011106DA"/>
    <w:rsid w:val="01697653"/>
    <w:rsid w:val="01994C30"/>
    <w:rsid w:val="01B92A74"/>
    <w:rsid w:val="01BC4CB8"/>
    <w:rsid w:val="01D32EB5"/>
    <w:rsid w:val="01F57F8A"/>
    <w:rsid w:val="01FB00CE"/>
    <w:rsid w:val="022128C3"/>
    <w:rsid w:val="022A4C28"/>
    <w:rsid w:val="0238314C"/>
    <w:rsid w:val="0270278D"/>
    <w:rsid w:val="02746572"/>
    <w:rsid w:val="02947BE9"/>
    <w:rsid w:val="02BD4B10"/>
    <w:rsid w:val="02F14ECB"/>
    <w:rsid w:val="03055903"/>
    <w:rsid w:val="03067FCF"/>
    <w:rsid w:val="03132101"/>
    <w:rsid w:val="03150A38"/>
    <w:rsid w:val="03270646"/>
    <w:rsid w:val="032851B1"/>
    <w:rsid w:val="033D47FB"/>
    <w:rsid w:val="03431D94"/>
    <w:rsid w:val="034B44E5"/>
    <w:rsid w:val="03545ED2"/>
    <w:rsid w:val="035C59CC"/>
    <w:rsid w:val="03866F23"/>
    <w:rsid w:val="038A4020"/>
    <w:rsid w:val="039E65E8"/>
    <w:rsid w:val="03AF607E"/>
    <w:rsid w:val="03DB04C4"/>
    <w:rsid w:val="03E0732E"/>
    <w:rsid w:val="03E50741"/>
    <w:rsid w:val="03E82D1B"/>
    <w:rsid w:val="03F738AC"/>
    <w:rsid w:val="03FC2F46"/>
    <w:rsid w:val="04441E61"/>
    <w:rsid w:val="04455709"/>
    <w:rsid w:val="0448479F"/>
    <w:rsid w:val="044B4F01"/>
    <w:rsid w:val="04533A4A"/>
    <w:rsid w:val="046622C9"/>
    <w:rsid w:val="048C5068"/>
    <w:rsid w:val="049C247A"/>
    <w:rsid w:val="04C61720"/>
    <w:rsid w:val="04E32AC3"/>
    <w:rsid w:val="04E7009E"/>
    <w:rsid w:val="051B53D5"/>
    <w:rsid w:val="05217332"/>
    <w:rsid w:val="0527407A"/>
    <w:rsid w:val="059F60BB"/>
    <w:rsid w:val="05CB6599"/>
    <w:rsid w:val="05D31682"/>
    <w:rsid w:val="05FD1F7F"/>
    <w:rsid w:val="06496CEF"/>
    <w:rsid w:val="0664397F"/>
    <w:rsid w:val="06776383"/>
    <w:rsid w:val="068A3F07"/>
    <w:rsid w:val="0697309A"/>
    <w:rsid w:val="06BE3C82"/>
    <w:rsid w:val="06DA52DE"/>
    <w:rsid w:val="07454BB4"/>
    <w:rsid w:val="075A6500"/>
    <w:rsid w:val="07624438"/>
    <w:rsid w:val="07670161"/>
    <w:rsid w:val="07A25480"/>
    <w:rsid w:val="07BA6B32"/>
    <w:rsid w:val="08090290"/>
    <w:rsid w:val="082E121F"/>
    <w:rsid w:val="084E2B43"/>
    <w:rsid w:val="0876037D"/>
    <w:rsid w:val="088B7282"/>
    <w:rsid w:val="08987A1F"/>
    <w:rsid w:val="089B4914"/>
    <w:rsid w:val="08B35D05"/>
    <w:rsid w:val="08F86423"/>
    <w:rsid w:val="08FA60C4"/>
    <w:rsid w:val="08FD123D"/>
    <w:rsid w:val="090E1CFA"/>
    <w:rsid w:val="09101F85"/>
    <w:rsid w:val="092E503C"/>
    <w:rsid w:val="09474735"/>
    <w:rsid w:val="097F72F6"/>
    <w:rsid w:val="09840702"/>
    <w:rsid w:val="09C43E8B"/>
    <w:rsid w:val="09CC3F8F"/>
    <w:rsid w:val="09E76781"/>
    <w:rsid w:val="09EB0B02"/>
    <w:rsid w:val="0A0C5085"/>
    <w:rsid w:val="0A110578"/>
    <w:rsid w:val="0A3F4B17"/>
    <w:rsid w:val="0A4B207A"/>
    <w:rsid w:val="0A641C63"/>
    <w:rsid w:val="0A7D3EB1"/>
    <w:rsid w:val="0A912C5D"/>
    <w:rsid w:val="0AB07DA9"/>
    <w:rsid w:val="0ADA359A"/>
    <w:rsid w:val="0AED7A4F"/>
    <w:rsid w:val="0AFA3D04"/>
    <w:rsid w:val="0B086C60"/>
    <w:rsid w:val="0B7D5EB4"/>
    <w:rsid w:val="0B7E4465"/>
    <w:rsid w:val="0B91248E"/>
    <w:rsid w:val="0BBF19F3"/>
    <w:rsid w:val="0BDE2E8B"/>
    <w:rsid w:val="0BE20265"/>
    <w:rsid w:val="0C0C3D2B"/>
    <w:rsid w:val="0C2F084A"/>
    <w:rsid w:val="0C374451"/>
    <w:rsid w:val="0C383526"/>
    <w:rsid w:val="0C560FCD"/>
    <w:rsid w:val="0C674125"/>
    <w:rsid w:val="0C7A454C"/>
    <w:rsid w:val="0CB341F4"/>
    <w:rsid w:val="0CC06FD1"/>
    <w:rsid w:val="0CDC5191"/>
    <w:rsid w:val="0CFB1B95"/>
    <w:rsid w:val="0D006DC0"/>
    <w:rsid w:val="0D135F7D"/>
    <w:rsid w:val="0D20659C"/>
    <w:rsid w:val="0D286FCC"/>
    <w:rsid w:val="0D470D92"/>
    <w:rsid w:val="0D5572A4"/>
    <w:rsid w:val="0D611784"/>
    <w:rsid w:val="0D61599E"/>
    <w:rsid w:val="0D8203BD"/>
    <w:rsid w:val="0D827FA7"/>
    <w:rsid w:val="0D854398"/>
    <w:rsid w:val="0D8D63D5"/>
    <w:rsid w:val="0DAD24C3"/>
    <w:rsid w:val="0DD223BB"/>
    <w:rsid w:val="0E030409"/>
    <w:rsid w:val="0E0873E6"/>
    <w:rsid w:val="0E0F4BF3"/>
    <w:rsid w:val="0E2C714C"/>
    <w:rsid w:val="0E2F56ED"/>
    <w:rsid w:val="0E41365F"/>
    <w:rsid w:val="0E5F24A5"/>
    <w:rsid w:val="0EF13E9C"/>
    <w:rsid w:val="0F1508EB"/>
    <w:rsid w:val="0F2C5BB1"/>
    <w:rsid w:val="0F3D7DAF"/>
    <w:rsid w:val="0F7F31C5"/>
    <w:rsid w:val="0FB7756D"/>
    <w:rsid w:val="100749FE"/>
    <w:rsid w:val="101227E5"/>
    <w:rsid w:val="103666EA"/>
    <w:rsid w:val="106E48FE"/>
    <w:rsid w:val="108A6DB7"/>
    <w:rsid w:val="10C817FB"/>
    <w:rsid w:val="111618A1"/>
    <w:rsid w:val="112C2198"/>
    <w:rsid w:val="113163B1"/>
    <w:rsid w:val="11405B3F"/>
    <w:rsid w:val="114C59AA"/>
    <w:rsid w:val="116F1636"/>
    <w:rsid w:val="11957EC8"/>
    <w:rsid w:val="11A74BBD"/>
    <w:rsid w:val="11B65FE8"/>
    <w:rsid w:val="11B845A9"/>
    <w:rsid w:val="11E04C8A"/>
    <w:rsid w:val="120A1B1B"/>
    <w:rsid w:val="12135146"/>
    <w:rsid w:val="121F1B40"/>
    <w:rsid w:val="122950C6"/>
    <w:rsid w:val="123E1FDC"/>
    <w:rsid w:val="124B7802"/>
    <w:rsid w:val="125861A2"/>
    <w:rsid w:val="12691927"/>
    <w:rsid w:val="126A732E"/>
    <w:rsid w:val="12C85EDC"/>
    <w:rsid w:val="12ED1C85"/>
    <w:rsid w:val="12EF198A"/>
    <w:rsid w:val="12F57DD5"/>
    <w:rsid w:val="12F92FF1"/>
    <w:rsid w:val="1335707B"/>
    <w:rsid w:val="13367A71"/>
    <w:rsid w:val="133B7B3D"/>
    <w:rsid w:val="135C62BF"/>
    <w:rsid w:val="13665256"/>
    <w:rsid w:val="13786533"/>
    <w:rsid w:val="138B20C6"/>
    <w:rsid w:val="13A545F3"/>
    <w:rsid w:val="13DA40AB"/>
    <w:rsid w:val="13EB63B4"/>
    <w:rsid w:val="13EF0C1D"/>
    <w:rsid w:val="14162CE8"/>
    <w:rsid w:val="1420570F"/>
    <w:rsid w:val="143734A0"/>
    <w:rsid w:val="14726214"/>
    <w:rsid w:val="1476557F"/>
    <w:rsid w:val="148D7586"/>
    <w:rsid w:val="149B2544"/>
    <w:rsid w:val="14B61C4E"/>
    <w:rsid w:val="14FF0B46"/>
    <w:rsid w:val="15116198"/>
    <w:rsid w:val="15337B16"/>
    <w:rsid w:val="154B25D4"/>
    <w:rsid w:val="155307B1"/>
    <w:rsid w:val="15675953"/>
    <w:rsid w:val="15696AC0"/>
    <w:rsid w:val="157117B0"/>
    <w:rsid w:val="1599270E"/>
    <w:rsid w:val="15AA14EE"/>
    <w:rsid w:val="15B67779"/>
    <w:rsid w:val="15D97C5E"/>
    <w:rsid w:val="15FC1C8D"/>
    <w:rsid w:val="15FF0E45"/>
    <w:rsid w:val="15FF57CE"/>
    <w:rsid w:val="16054E93"/>
    <w:rsid w:val="162C6C69"/>
    <w:rsid w:val="162D502E"/>
    <w:rsid w:val="163E5499"/>
    <w:rsid w:val="164B09FF"/>
    <w:rsid w:val="164B660A"/>
    <w:rsid w:val="165D77D8"/>
    <w:rsid w:val="16613880"/>
    <w:rsid w:val="166640E4"/>
    <w:rsid w:val="166C4D7D"/>
    <w:rsid w:val="166F39FF"/>
    <w:rsid w:val="16863CE4"/>
    <w:rsid w:val="169338F9"/>
    <w:rsid w:val="169616A6"/>
    <w:rsid w:val="16A103E9"/>
    <w:rsid w:val="16AE61BC"/>
    <w:rsid w:val="16E95B2F"/>
    <w:rsid w:val="16F3344A"/>
    <w:rsid w:val="16FC409C"/>
    <w:rsid w:val="170130AC"/>
    <w:rsid w:val="170D33D0"/>
    <w:rsid w:val="173A0F79"/>
    <w:rsid w:val="17465948"/>
    <w:rsid w:val="174E3219"/>
    <w:rsid w:val="17522248"/>
    <w:rsid w:val="17640FC2"/>
    <w:rsid w:val="176B0146"/>
    <w:rsid w:val="177751B9"/>
    <w:rsid w:val="177F5171"/>
    <w:rsid w:val="1789400F"/>
    <w:rsid w:val="179C7415"/>
    <w:rsid w:val="17AA086D"/>
    <w:rsid w:val="17EC3902"/>
    <w:rsid w:val="182976FF"/>
    <w:rsid w:val="183624AC"/>
    <w:rsid w:val="183A3D16"/>
    <w:rsid w:val="185406FB"/>
    <w:rsid w:val="18596CE2"/>
    <w:rsid w:val="18B8069B"/>
    <w:rsid w:val="18D275B7"/>
    <w:rsid w:val="18DD21D0"/>
    <w:rsid w:val="18F345FC"/>
    <w:rsid w:val="18F37CB5"/>
    <w:rsid w:val="19125118"/>
    <w:rsid w:val="19201F1E"/>
    <w:rsid w:val="19422EFC"/>
    <w:rsid w:val="1942629A"/>
    <w:rsid w:val="19445521"/>
    <w:rsid w:val="195743BE"/>
    <w:rsid w:val="196F0F86"/>
    <w:rsid w:val="196F5647"/>
    <w:rsid w:val="197C709F"/>
    <w:rsid w:val="199051E8"/>
    <w:rsid w:val="19DA6D37"/>
    <w:rsid w:val="19E4024C"/>
    <w:rsid w:val="1A000A61"/>
    <w:rsid w:val="1A075434"/>
    <w:rsid w:val="1A1043A5"/>
    <w:rsid w:val="1A1F22CB"/>
    <w:rsid w:val="1A360CC4"/>
    <w:rsid w:val="1A4E1005"/>
    <w:rsid w:val="1A52189D"/>
    <w:rsid w:val="1A6C657C"/>
    <w:rsid w:val="1AA41F75"/>
    <w:rsid w:val="1AA661EB"/>
    <w:rsid w:val="1AAC283A"/>
    <w:rsid w:val="1AAE4BCD"/>
    <w:rsid w:val="1AC37AFA"/>
    <w:rsid w:val="1AC50A5B"/>
    <w:rsid w:val="1AD80B6E"/>
    <w:rsid w:val="1AE75FCC"/>
    <w:rsid w:val="1B035E4F"/>
    <w:rsid w:val="1B0F2570"/>
    <w:rsid w:val="1B5807F1"/>
    <w:rsid w:val="1B8615E1"/>
    <w:rsid w:val="1B9A6262"/>
    <w:rsid w:val="1BAE6C43"/>
    <w:rsid w:val="1BCA1B41"/>
    <w:rsid w:val="1BDF7E97"/>
    <w:rsid w:val="1C225101"/>
    <w:rsid w:val="1C3C0070"/>
    <w:rsid w:val="1C667415"/>
    <w:rsid w:val="1C7141A9"/>
    <w:rsid w:val="1C956894"/>
    <w:rsid w:val="1C9C4CBA"/>
    <w:rsid w:val="1CA768E5"/>
    <w:rsid w:val="1CA91EDB"/>
    <w:rsid w:val="1CB02529"/>
    <w:rsid w:val="1D170AAD"/>
    <w:rsid w:val="1D29578E"/>
    <w:rsid w:val="1D3A3FAE"/>
    <w:rsid w:val="1D3B6C28"/>
    <w:rsid w:val="1D3F0DBB"/>
    <w:rsid w:val="1D4A21D9"/>
    <w:rsid w:val="1D5349CE"/>
    <w:rsid w:val="1D7E5749"/>
    <w:rsid w:val="1D8776DA"/>
    <w:rsid w:val="1DB500B3"/>
    <w:rsid w:val="1DD46A1B"/>
    <w:rsid w:val="1DEE4EF7"/>
    <w:rsid w:val="1E334768"/>
    <w:rsid w:val="1E4434E9"/>
    <w:rsid w:val="1E94263E"/>
    <w:rsid w:val="1E9D2605"/>
    <w:rsid w:val="1EA8561A"/>
    <w:rsid w:val="1EAC21CA"/>
    <w:rsid w:val="1EB939CE"/>
    <w:rsid w:val="1EF05E1B"/>
    <w:rsid w:val="1EF67224"/>
    <w:rsid w:val="1F1173C0"/>
    <w:rsid w:val="1F2842EB"/>
    <w:rsid w:val="1F2B6829"/>
    <w:rsid w:val="1F661A7C"/>
    <w:rsid w:val="1F750546"/>
    <w:rsid w:val="1FC67982"/>
    <w:rsid w:val="1FDD214B"/>
    <w:rsid w:val="1FF7279E"/>
    <w:rsid w:val="20015C6D"/>
    <w:rsid w:val="2015668A"/>
    <w:rsid w:val="20261021"/>
    <w:rsid w:val="20297434"/>
    <w:rsid w:val="203C3929"/>
    <w:rsid w:val="203D48F0"/>
    <w:rsid w:val="204C5E62"/>
    <w:rsid w:val="208D1D92"/>
    <w:rsid w:val="20A72B66"/>
    <w:rsid w:val="20AD06AD"/>
    <w:rsid w:val="20AD6838"/>
    <w:rsid w:val="20C4676E"/>
    <w:rsid w:val="20C63604"/>
    <w:rsid w:val="20DC7273"/>
    <w:rsid w:val="211559C2"/>
    <w:rsid w:val="211853FF"/>
    <w:rsid w:val="21216356"/>
    <w:rsid w:val="212B6D7E"/>
    <w:rsid w:val="214F22EB"/>
    <w:rsid w:val="215B57DA"/>
    <w:rsid w:val="217712BF"/>
    <w:rsid w:val="218C0E06"/>
    <w:rsid w:val="218D4973"/>
    <w:rsid w:val="21BF2CFB"/>
    <w:rsid w:val="21EC3E75"/>
    <w:rsid w:val="21F620C8"/>
    <w:rsid w:val="22131DB2"/>
    <w:rsid w:val="2215735C"/>
    <w:rsid w:val="22163B33"/>
    <w:rsid w:val="2232511E"/>
    <w:rsid w:val="22374B2C"/>
    <w:rsid w:val="22744C2E"/>
    <w:rsid w:val="22C25263"/>
    <w:rsid w:val="22E95DD7"/>
    <w:rsid w:val="22FC556D"/>
    <w:rsid w:val="23126856"/>
    <w:rsid w:val="23342365"/>
    <w:rsid w:val="23370E47"/>
    <w:rsid w:val="233E550E"/>
    <w:rsid w:val="23663B0E"/>
    <w:rsid w:val="2368554A"/>
    <w:rsid w:val="236864D8"/>
    <w:rsid w:val="237110E5"/>
    <w:rsid w:val="237B376D"/>
    <w:rsid w:val="23844B78"/>
    <w:rsid w:val="239754D8"/>
    <w:rsid w:val="239B4CBC"/>
    <w:rsid w:val="23B6098D"/>
    <w:rsid w:val="23BD32A0"/>
    <w:rsid w:val="23C930C7"/>
    <w:rsid w:val="23D11692"/>
    <w:rsid w:val="23D168F1"/>
    <w:rsid w:val="23FA4000"/>
    <w:rsid w:val="24371D23"/>
    <w:rsid w:val="243E6505"/>
    <w:rsid w:val="24544C9E"/>
    <w:rsid w:val="248B0FEB"/>
    <w:rsid w:val="24A85B88"/>
    <w:rsid w:val="24E040EC"/>
    <w:rsid w:val="25266B50"/>
    <w:rsid w:val="25286034"/>
    <w:rsid w:val="252B09C5"/>
    <w:rsid w:val="253533DA"/>
    <w:rsid w:val="253D7BC1"/>
    <w:rsid w:val="25533727"/>
    <w:rsid w:val="25590921"/>
    <w:rsid w:val="25680FF6"/>
    <w:rsid w:val="257F5C0F"/>
    <w:rsid w:val="258D0EB0"/>
    <w:rsid w:val="259A278C"/>
    <w:rsid w:val="259B0E7E"/>
    <w:rsid w:val="25F73376"/>
    <w:rsid w:val="26187156"/>
    <w:rsid w:val="26375A99"/>
    <w:rsid w:val="263B005D"/>
    <w:rsid w:val="263C28D1"/>
    <w:rsid w:val="26745816"/>
    <w:rsid w:val="26A40EA3"/>
    <w:rsid w:val="26A6565E"/>
    <w:rsid w:val="26AD3358"/>
    <w:rsid w:val="26B862A4"/>
    <w:rsid w:val="26FD16E5"/>
    <w:rsid w:val="27014F71"/>
    <w:rsid w:val="270A42B0"/>
    <w:rsid w:val="271150DB"/>
    <w:rsid w:val="271715B9"/>
    <w:rsid w:val="271A6AFE"/>
    <w:rsid w:val="271D4365"/>
    <w:rsid w:val="27232065"/>
    <w:rsid w:val="27346A64"/>
    <w:rsid w:val="27404753"/>
    <w:rsid w:val="27581DDA"/>
    <w:rsid w:val="277A4618"/>
    <w:rsid w:val="279404DF"/>
    <w:rsid w:val="27AD3DC7"/>
    <w:rsid w:val="27BD7DAE"/>
    <w:rsid w:val="27BE2BBA"/>
    <w:rsid w:val="27D90514"/>
    <w:rsid w:val="27E36B6E"/>
    <w:rsid w:val="28024461"/>
    <w:rsid w:val="28055A6A"/>
    <w:rsid w:val="280C708C"/>
    <w:rsid w:val="282063B6"/>
    <w:rsid w:val="284C6DB5"/>
    <w:rsid w:val="28840056"/>
    <w:rsid w:val="28A161C5"/>
    <w:rsid w:val="28AE5ADC"/>
    <w:rsid w:val="28B92559"/>
    <w:rsid w:val="28BB1549"/>
    <w:rsid w:val="28C725BD"/>
    <w:rsid w:val="28CA2DD8"/>
    <w:rsid w:val="28DF0819"/>
    <w:rsid w:val="28E0691E"/>
    <w:rsid w:val="28EB119D"/>
    <w:rsid w:val="292B50C1"/>
    <w:rsid w:val="29463740"/>
    <w:rsid w:val="296E140D"/>
    <w:rsid w:val="296E1DCE"/>
    <w:rsid w:val="296F4EEC"/>
    <w:rsid w:val="29766115"/>
    <w:rsid w:val="29793743"/>
    <w:rsid w:val="29D30C4D"/>
    <w:rsid w:val="29DC4233"/>
    <w:rsid w:val="29DC6430"/>
    <w:rsid w:val="2A0945DD"/>
    <w:rsid w:val="2A580BC9"/>
    <w:rsid w:val="2A6A0238"/>
    <w:rsid w:val="2A765DE2"/>
    <w:rsid w:val="2AAB25BD"/>
    <w:rsid w:val="2ABD516E"/>
    <w:rsid w:val="2ACE3149"/>
    <w:rsid w:val="2B183AA3"/>
    <w:rsid w:val="2B19703B"/>
    <w:rsid w:val="2B1A1D72"/>
    <w:rsid w:val="2B1B2F36"/>
    <w:rsid w:val="2B3749E4"/>
    <w:rsid w:val="2B86169F"/>
    <w:rsid w:val="2BE455A1"/>
    <w:rsid w:val="2BEF2765"/>
    <w:rsid w:val="2C336CF4"/>
    <w:rsid w:val="2C3A0FA6"/>
    <w:rsid w:val="2C5F02E5"/>
    <w:rsid w:val="2C607C9F"/>
    <w:rsid w:val="2C753EEB"/>
    <w:rsid w:val="2CA0487E"/>
    <w:rsid w:val="2CB26D21"/>
    <w:rsid w:val="2CCD43F8"/>
    <w:rsid w:val="2CEF5BE8"/>
    <w:rsid w:val="2D19700D"/>
    <w:rsid w:val="2D4B4C91"/>
    <w:rsid w:val="2D5E285D"/>
    <w:rsid w:val="2D896BB6"/>
    <w:rsid w:val="2DA11D06"/>
    <w:rsid w:val="2DBA20CB"/>
    <w:rsid w:val="2DBC0FBB"/>
    <w:rsid w:val="2DD16FF1"/>
    <w:rsid w:val="2DFE3987"/>
    <w:rsid w:val="2E0E31E4"/>
    <w:rsid w:val="2E2943E7"/>
    <w:rsid w:val="2E3F6015"/>
    <w:rsid w:val="2E3F69E8"/>
    <w:rsid w:val="2E560BAC"/>
    <w:rsid w:val="2E847824"/>
    <w:rsid w:val="2EAC7CFE"/>
    <w:rsid w:val="2EAE04E7"/>
    <w:rsid w:val="2EC106D6"/>
    <w:rsid w:val="2EE463E8"/>
    <w:rsid w:val="2EED20B6"/>
    <w:rsid w:val="2EFF5E2E"/>
    <w:rsid w:val="2F102808"/>
    <w:rsid w:val="2F180DD3"/>
    <w:rsid w:val="2F365ABC"/>
    <w:rsid w:val="2F496436"/>
    <w:rsid w:val="2F901252"/>
    <w:rsid w:val="2FA668B2"/>
    <w:rsid w:val="2FA6724D"/>
    <w:rsid w:val="2FA77B8F"/>
    <w:rsid w:val="2FBE1E00"/>
    <w:rsid w:val="2FD67A1E"/>
    <w:rsid w:val="2FE1534F"/>
    <w:rsid w:val="2FE75DFB"/>
    <w:rsid w:val="2FEF562D"/>
    <w:rsid w:val="2FF00AEA"/>
    <w:rsid w:val="3000531A"/>
    <w:rsid w:val="30377DA1"/>
    <w:rsid w:val="306B07C5"/>
    <w:rsid w:val="30A856C2"/>
    <w:rsid w:val="30AA2A80"/>
    <w:rsid w:val="30B45611"/>
    <w:rsid w:val="30BE6445"/>
    <w:rsid w:val="31182C99"/>
    <w:rsid w:val="312A43B7"/>
    <w:rsid w:val="31553DB7"/>
    <w:rsid w:val="31604686"/>
    <w:rsid w:val="31973380"/>
    <w:rsid w:val="3204359B"/>
    <w:rsid w:val="32071BE6"/>
    <w:rsid w:val="32251CF2"/>
    <w:rsid w:val="32355955"/>
    <w:rsid w:val="32367D5E"/>
    <w:rsid w:val="32562479"/>
    <w:rsid w:val="32740564"/>
    <w:rsid w:val="329333CA"/>
    <w:rsid w:val="32975CA6"/>
    <w:rsid w:val="329E103A"/>
    <w:rsid w:val="32C33123"/>
    <w:rsid w:val="32D05DBD"/>
    <w:rsid w:val="32D64BD9"/>
    <w:rsid w:val="32D81BD2"/>
    <w:rsid w:val="32D825F5"/>
    <w:rsid w:val="32DD4B55"/>
    <w:rsid w:val="32DF67DA"/>
    <w:rsid w:val="330A3480"/>
    <w:rsid w:val="332174A1"/>
    <w:rsid w:val="333C5910"/>
    <w:rsid w:val="3340292A"/>
    <w:rsid w:val="33475833"/>
    <w:rsid w:val="335E262C"/>
    <w:rsid w:val="33645BDB"/>
    <w:rsid w:val="336733BF"/>
    <w:rsid w:val="33755377"/>
    <w:rsid w:val="339B1518"/>
    <w:rsid w:val="339C5870"/>
    <w:rsid w:val="33AD59C5"/>
    <w:rsid w:val="33AE0616"/>
    <w:rsid w:val="33B27472"/>
    <w:rsid w:val="33C4219D"/>
    <w:rsid w:val="33E36510"/>
    <w:rsid w:val="33F7434A"/>
    <w:rsid w:val="33FB5074"/>
    <w:rsid w:val="34000D7D"/>
    <w:rsid w:val="34112283"/>
    <w:rsid w:val="34115350"/>
    <w:rsid w:val="34175367"/>
    <w:rsid w:val="3419773D"/>
    <w:rsid w:val="34403BED"/>
    <w:rsid w:val="345B2B60"/>
    <w:rsid w:val="34856E9F"/>
    <w:rsid w:val="34885FA7"/>
    <w:rsid w:val="34C5010D"/>
    <w:rsid w:val="34CC7767"/>
    <w:rsid w:val="34D64DA1"/>
    <w:rsid w:val="34F4279D"/>
    <w:rsid w:val="35085833"/>
    <w:rsid w:val="350E4D6A"/>
    <w:rsid w:val="3534028F"/>
    <w:rsid w:val="355164A9"/>
    <w:rsid w:val="356A6C7D"/>
    <w:rsid w:val="35810EE6"/>
    <w:rsid w:val="359C406B"/>
    <w:rsid w:val="35A14862"/>
    <w:rsid w:val="35A2529B"/>
    <w:rsid w:val="35B8371E"/>
    <w:rsid w:val="35CA6731"/>
    <w:rsid w:val="35CC0B00"/>
    <w:rsid w:val="35D1616C"/>
    <w:rsid w:val="35DA3C3E"/>
    <w:rsid w:val="35E10046"/>
    <w:rsid w:val="35E706FE"/>
    <w:rsid w:val="35F80377"/>
    <w:rsid w:val="360E00FC"/>
    <w:rsid w:val="362203E4"/>
    <w:rsid w:val="36251F69"/>
    <w:rsid w:val="3637481D"/>
    <w:rsid w:val="36384C01"/>
    <w:rsid w:val="365E16C8"/>
    <w:rsid w:val="36952D8B"/>
    <w:rsid w:val="369D6C32"/>
    <w:rsid w:val="36A753AB"/>
    <w:rsid w:val="36AE4EBE"/>
    <w:rsid w:val="36C93421"/>
    <w:rsid w:val="36DB72F9"/>
    <w:rsid w:val="371C320D"/>
    <w:rsid w:val="37324F70"/>
    <w:rsid w:val="3740467D"/>
    <w:rsid w:val="37441A07"/>
    <w:rsid w:val="374B0C4D"/>
    <w:rsid w:val="376C5D99"/>
    <w:rsid w:val="377C0C2A"/>
    <w:rsid w:val="3782017E"/>
    <w:rsid w:val="37897534"/>
    <w:rsid w:val="379F0342"/>
    <w:rsid w:val="37E71356"/>
    <w:rsid w:val="380849E1"/>
    <w:rsid w:val="38136C97"/>
    <w:rsid w:val="3821391C"/>
    <w:rsid w:val="38536921"/>
    <w:rsid w:val="389E4676"/>
    <w:rsid w:val="38C354BA"/>
    <w:rsid w:val="38ED0828"/>
    <w:rsid w:val="39013B08"/>
    <w:rsid w:val="39141078"/>
    <w:rsid w:val="392B0D3E"/>
    <w:rsid w:val="395E4F49"/>
    <w:rsid w:val="3960431B"/>
    <w:rsid w:val="3961159B"/>
    <w:rsid w:val="396F29EF"/>
    <w:rsid w:val="3979616D"/>
    <w:rsid w:val="397A4C33"/>
    <w:rsid w:val="397E1EE7"/>
    <w:rsid w:val="39B24965"/>
    <w:rsid w:val="39BA70C9"/>
    <w:rsid w:val="3A0768DF"/>
    <w:rsid w:val="3A256A4A"/>
    <w:rsid w:val="3A2E4707"/>
    <w:rsid w:val="3A3E7E57"/>
    <w:rsid w:val="3A443D20"/>
    <w:rsid w:val="3A8A1A06"/>
    <w:rsid w:val="3A95055F"/>
    <w:rsid w:val="3AF602C6"/>
    <w:rsid w:val="3AFA77C8"/>
    <w:rsid w:val="3B036735"/>
    <w:rsid w:val="3B192900"/>
    <w:rsid w:val="3B473EE1"/>
    <w:rsid w:val="3B6A454F"/>
    <w:rsid w:val="3B6E20F5"/>
    <w:rsid w:val="3B6F5B5D"/>
    <w:rsid w:val="3B7878FF"/>
    <w:rsid w:val="3B911BBA"/>
    <w:rsid w:val="3BA52DB8"/>
    <w:rsid w:val="3BB1727F"/>
    <w:rsid w:val="3BB83767"/>
    <w:rsid w:val="3BBD6798"/>
    <w:rsid w:val="3BD8198F"/>
    <w:rsid w:val="3C070759"/>
    <w:rsid w:val="3C122F45"/>
    <w:rsid w:val="3C165EE6"/>
    <w:rsid w:val="3C1B2275"/>
    <w:rsid w:val="3C3B5C1F"/>
    <w:rsid w:val="3C62350A"/>
    <w:rsid w:val="3C8C616C"/>
    <w:rsid w:val="3C9913A3"/>
    <w:rsid w:val="3CEC60F2"/>
    <w:rsid w:val="3D0C0E74"/>
    <w:rsid w:val="3D1D0E80"/>
    <w:rsid w:val="3D305E12"/>
    <w:rsid w:val="3D311093"/>
    <w:rsid w:val="3D3D1F2B"/>
    <w:rsid w:val="3D755B42"/>
    <w:rsid w:val="3D8226E8"/>
    <w:rsid w:val="3DD5243D"/>
    <w:rsid w:val="3E031A7E"/>
    <w:rsid w:val="3E071270"/>
    <w:rsid w:val="3E195858"/>
    <w:rsid w:val="3E2D4D9C"/>
    <w:rsid w:val="3E666E5F"/>
    <w:rsid w:val="3E9A58E9"/>
    <w:rsid w:val="3EA65363"/>
    <w:rsid w:val="3EEF00CC"/>
    <w:rsid w:val="3EF54DAF"/>
    <w:rsid w:val="3F0E2182"/>
    <w:rsid w:val="3F1A3FDD"/>
    <w:rsid w:val="3F3016E8"/>
    <w:rsid w:val="3F3269B1"/>
    <w:rsid w:val="3F6E6F6E"/>
    <w:rsid w:val="3FBD2C50"/>
    <w:rsid w:val="3FED618C"/>
    <w:rsid w:val="40021B98"/>
    <w:rsid w:val="40394F64"/>
    <w:rsid w:val="403C6701"/>
    <w:rsid w:val="403E7412"/>
    <w:rsid w:val="404563C3"/>
    <w:rsid w:val="406C5B9C"/>
    <w:rsid w:val="40873FCF"/>
    <w:rsid w:val="40924A13"/>
    <w:rsid w:val="40A9240E"/>
    <w:rsid w:val="40D40FF1"/>
    <w:rsid w:val="40DF5B83"/>
    <w:rsid w:val="40F06D74"/>
    <w:rsid w:val="41156005"/>
    <w:rsid w:val="414F4C69"/>
    <w:rsid w:val="41650A5E"/>
    <w:rsid w:val="416510A3"/>
    <w:rsid w:val="419D2063"/>
    <w:rsid w:val="41B9189B"/>
    <w:rsid w:val="41C81D46"/>
    <w:rsid w:val="41DE3672"/>
    <w:rsid w:val="41F9571A"/>
    <w:rsid w:val="42002C73"/>
    <w:rsid w:val="42074476"/>
    <w:rsid w:val="42327863"/>
    <w:rsid w:val="425962A8"/>
    <w:rsid w:val="42621A04"/>
    <w:rsid w:val="427A45C5"/>
    <w:rsid w:val="4285067A"/>
    <w:rsid w:val="42914D34"/>
    <w:rsid w:val="42C249BC"/>
    <w:rsid w:val="42D5084F"/>
    <w:rsid w:val="42F8541B"/>
    <w:rsid w:val="42FE3629"/>
    <w:rsid w:val="43095B2F"/>
    <w:rsid w:val="4365673F"/>
    <w:rsid w:val="436E5FEB"/>
    <w:rsid w:val="43A45283"/>
    <w:rsid w:val="43A60F1D"/>
    <w:rsid w:val="440C703C"/>
    <w:rsid w:val="44221543"/>
    <w:rsid w:val="44313A60"/>
    <w:rsid w:val="44331280"/>
    <w:rsid w:val="446729E1"/>
    <w:rsid w:val="44933608"/>
    <w:rsid w:val="44953784"/>
    <w:rsid w:val="44A31DB1"/>
    <w:rsid w:val="44B22735"/>
    <w:rsid w:val="44F45C34"/>
    <w:rsid w:val="450B188D"/>
    <w:rsid w:val="45176365"/>
    <w:rsid w:val="454139FF"/>
    <w:rsid w:val="458C5D8F"/>
    <w:rsid w:val="458E373D"/>
    <w:rsid w:val="45CC5841"/>
    <w:rsid w:val="45D5099E"/>
    <w:rsid w:val="45D669D7"/>
    <w:rsid w:val="45DD00B2"/>
    <w:rsid w:val="46151BF8"/>
    <w:rsid w:val="46195601"/>
    <w:rsid w:val="46395611"/>
    <w:rsid w:val="464671A5"/>
    <w:rsid w:val="46565179"/>
    <w:rsid w:val="465C3154"/>
    <w:rsid w:val="469460F7"/>
    <w:rsid w:val="46A30A46"/>
    <w:rsid w:val="46D71D27"/>
    <w:rsid w:val="46E057E8"/>
    <w:rsid w:val="46E61E09"/>
    <w:rsid w:val="46F40BBE"/>
    <w:rsid w:val="47076B0C"/>
    <w:rsid w:val="470D2D96"/>
    <w:rsid w:val="473B7868"/>
    <w:rsid w:val="47441E22"/>
    <w:rsid w:val="474B6601"/>
    <w:rsid w:val="474C414B"/>
    <w:rsid w:val="474F29AD"/>
    <w:rsid w:val="47603CA0"/>
    <w:rsid w:val="47616486"/>
    <w:rsid w:val="478732A9"/>
    <w:rsid w:val="47B20F4D"/>
    <w:rsid w:val="47CE2440"/>
    <w:rsid w:val="47D35838"/>
    <w:rsid w:val="47ED6750"/>
    <w:rsid w:val="47F50346"/>
    <w:rsid w:val="47FD5E99"/>
    <w:rsid w:val="47FF6138"/>
    <w:rsid w:val="48113C05"/>
    <w:rsid w:val="4822742D"/>
    <w:rsid w:val="488E47F4"/>
    <w:rsid w:val="48B40CFD"/>
    <w:rsid w:val="48D041C8"/>
    <w:rsid w:val="48D9294F"/>
    <w:rsid w:val="496F670A"/>
    <w:rsid w:val="497E3656"/>
    <w:rsid w:val="497E78BB"/>
    <w:rsid w:val="4994466C"/>
    <w:rsid w:val="499927AC"/>
    <w:rsid w:val="49CE2CD6"/>
    <w:rsid w:val="4A042740"/>
    <w:rsid w:val="4A2C374C"/>
    <w:rsid w:val="4A461C12"/>
    <w:rsid w:val="4A8F4AC8"/>
    <w:rsid w:val="4A9E5174"/>
    <w:rsid w:val="4AA31961"/>
    <w:rsid w:val="4AB234E8"/>
    <w:rsid w:val="4ADD1751"/>
    <w:rsid w:val="4B1433CB"/>
    <w:rsid w:val="4B1A185A"/>
    <w:rsid w:val="4B1B0690"/>
    <w:rsid w:val="4B3F6006"/>
    <w:rsid w:val="4B5B1ED2"/>
    <w:rsid w:val="4B5B75C5"/>
    <w:rsid w:val="4B5F098C"/>
    <w:rsid w:val="4B705E59"/>
    <w:rsid w:val="4B7E34AD"/>
    <w:rsid w:val="4B9F3654"/>
    <w:rsid w:val="4BF502C5"/>
    <w:rsid w:val="4BF53A95"/>
    <w:rsid w:val="4C110C97"/>
    <w:rsid w:val="4C2D631E"/>
    <w:rsid w:val="4C584F9F"/>
    <w:rsid w:val="4C6216AA"/>
    <w:rsid w:val="4C7045AD"/>
    <w:rsid w:val="4C925394"/>
    <w:rsid w:val="4CB44952"/>
    <w:rsid w:val="4CE063F0"/>
    <w:rsid w:val="4CE933BA"/>
    <w:rsid w:val="4D0510F7"/>
    <w:rsid w:val="4D0E5848"/>
    <w:rsid w:val="4D0F555B"/>
    <w:rsid w:val="4D6C3D76"/>
    <w:rsid w:val="4DAA1E18"/>
    <w:rsid w:val="4DB71B9C"/>
    <w:rsid w:val="4DB979FF"/>
    <w:rsid w:val="4DC335F6"/>
    <w:rsid w:val="4DCA6CBC"/>
    <w:rsid w:val="4DDA2A2F"/>
    <w:rsid w:val="4DE149EA"/>
    <w:rsid w:val="4DEB0C7A"/>
    <w:rsid w:val="4E13059F"/>
    <w:rsid w:val="4E2A2577"/>
    <w:rsid w:val="4E8A3AE0"/>
    <w:rsid w:val="4EC1667B"/>
    <w:rsid w:val="4EE431CF"/>
    <w:rsid w:val="4F1E5DBE"/>
    <w:rsid w:val="4F336379"/>
    <w:rsid w:val="4F424E4C"/>
    <w:rsid w:val="4F5F2953"/>
    <w:rsid w:val="4FA54D0E"/>
    <w:rsid w:val="4FBE2C6C"/>
    <w:rsid w:val="4FCE5A76"/>
    <w:rsid w:val="4FE67CCE"/>
    <w:rsid w:val="4FEC2207"/>
    <w:rsid w:val="503C0F8E"/>
    <w:rsid w:val="504404F3"/>
    <w:rsid w:val="505A542A"/>
    <w:rsid w:val="507F4CC6"/>
    <w:rsid w:val="50904381"/>
    <w:rsid w:val="50BE4FCA"/>
    <w:rsid w:val="50E05AC2"/>
    <w:rsid w:val="50EA0DE1"/>
    <w:rsid w:val="50FF35AE"/>
    <w:rsid w:val="51025A56"/>
    <w:rsid w:val="5122331E"/>
    <w:rsid w:val="51B96359"/>
    <w:rsid w:val="51C31D8E"/>
    <w:rsid w:val="51E519D4"/>
    <w:rsid w:val="51EB1662"/>
    <w:rsid w:val="522417F9"/>
    <w:rsid w:val="522C70B0"/>
    <w:rsid w:val="52320050"/>
    <w:rsid w:val="52611AF0"/>
    <w:rsid w:val="52720AC8"/>
    <w:rsid w:val="527505E5"/>
    <w:rsid w:val="5296743D"/>
    <w:rsid w:val="52A00BD7"/>
    <w:rsid w:val="52AD2468"/>
    <w:rsid w:val="52AF1CAF"/>
    <w:rsid w:val="52C30064"/>
    <w:rsid w:val="52D12E87"/>
    <w:rsid w:val="52ED5DC4"/>
    <w:rsid w:val="53132A6C"/>
    <w:rsid w:val="531C323A"/>
    <w:rsid w:val="532360F5"/>
    <w:rsid w:val="533F240F"/>
    <w:rsid w:val="534332DC"/>
    <w:rsid w:val="535D42B5"/>
    <w:rsid w:val="537F3036"/>
    <w:rsid w:val="53A8249E"/>
    <w:rsid w:val="53E4354E"/>
    <w:rsid w:val="54072A3A"/>
    <w:rsid w:val="54114A8C"/>
    <w:rsid w:val="541A10C4"/>
    <w:rsid w:val="54274071"/>
    <w:rsid w:val="54671B07"/>
    <w:rsid w:val="546B5E11"/>
    <w:rsid w:val="54A4314E"/>
    <w:rsid w:val="54C27A1E"/>
    <w:rsid w:val="54CA4DC6"/>
    <w:rsid w:val="54D25BFC"/>
    <w:rsid w:val="5507285D"/>
    <w:rsid w:val="55386F40"/>
    <w:rsid w:val="5544548D"/>
    <w:rsid w:val="55742328"/>
    <w:rsid w:val="55871B9C"/>
    <w:rsid w:val="55936DCE"/>
    <w:rsid w:val="559F0196"/>
    <w:rsid w:val="55AF05BD"/>
    <w:rsid w:val="55BB697F"/>
    <w:rsid w:val="55EF44D7"/>
    <w:rsid w:val="561700F8"/>
    <w:rsid w:val="562C0F6C"/>
    <w:rsid w:val="565B4B35"/>
    <w:rsid w:val="5679500A"/>
    <w:rsid w:val="5689133D"/>
    <w:rsid w:val="569C64EE"/>
    <w:rsid w:val="56A06DEA"/>
    <w:rsid w:val="56C04CF4"/>
    <w:rsid w:val="56D40870"/>
    <w:rsid w:val="573100DE"/>
    <w:rsid w:val="573E114D"/>
    <w:rsid w:val="576D605C"/>
    <w:rsid w:val="57E90E8D"/>
    <w:rsid w:val="57FE5877"/>
    <w:rsid w:val="58274995"/>
    <w:rsid w:val="58321294"/>
    <w:rsid w:val="584201FF"/>
    <w:rsid w:val="585C141A"/>
    <w:rsid w:val="586C0E1E"/>
    <w:rsid w:val="58A412C7"/>
    <w:rsid w:val="58C27D8D"/>
    <w:rsid w:val="590B2389"/>
    <w:rsid w:val="59182781"/>
    <w:rsid w:val="598547CC"/>
    <w:rsid w:val="598931D9"/>
    <w:rsid w:val="59CF1914"/>
    <w:rsid w:val="59D475D8"/>
    <w:rsid w:val="59E543BA"/>
    <w:rsid w:val="59EA4679"/>
    <w:rsid w:val="59F132AB"/>
    <w:rsid w:val="5A1409B7"/>
    <w:rsid w:val="5A201549"/>
    <w:rsid w:val="5A344C4C"/>
    <w:rsid w:val="5A3B3221"/>
    <w:rsid w:val="5A486EA5"/>
    <w:rsid w:val="5A560B10"/>
    <w:rsid w:val="5A714A0E"/>
    <w:rsid w:val="5A7D5792"/>
    <w:rsid w:val="5A840850"/>
    <w:rsid w:val="5ABE0F77"/>
    <w:rsid w:val="5ADA7075"/>
    <w:rsid w:val="5ADD4615"/>
    <w:rsid w:val="5AE1655A"/>
    <w:rsid w:val="5AF11166"/>
    <w:rsid w:val="5B1347A3"/>
    <w:rsid w:val="5B2C66B0"/>
    <w:rsid w:val="5B2E7F63"/>
    <w:rsid w:val="5B3E6D5C"/>
    <w:rsid w:val="5B433A81"/>
    <w:rsid w:val="5B44312D"/>
    <w:rsid w:val="5B605AF9"/>
    <w:rsid w:val="5B614669"/>
    <w:rsid w:val="5BC227A7"/>
    <w:rsid w:val="5BF00CC0"/>
    <w:rsid w:val="5C0D0FCE"/>
    <w:rsid w:val="5C5250F9"/>
    <w:rsid w:val="5C6A2F69"/>
    <w:rsid w:val="5C711BF6"/>
    <w:rsid w:val="5C8C7813"/>
    <w:rsid w:val="5CBD3785"/>
    <w:rsid w:val="5CBE78C4"/>
    <w:rsid w:val="5CC66800"/>
    <w:rsid w:val="5CD91246"/>
    <w:rsid w:val="5CDD17FC"/>
    <w:rsid w:val="5D1D1B04"/>
    <w:rsid w:val="5D1E6E9F"/>
    <w:rsid w:val="5D1F1D61"/>
    <w:rsid w:val="5D235D9F"/>
    <w:rsid w:val="5D2553CB"/>
    <w:rsid w:val="5D4A220D"/>
    <w:rsid w:val="5D5C7472"/>
    <w:rsid w:val="5D9B632C"/>
    <w:rsid w:val="5DBC7808"/>
    <w:rsid w:val="5DE94D57"/>
    <w:rsid w:val="5E1142FC"/>
    <w:rsid w:val="5E143344"/>
    <w:rsid w:val="5E170090"/>
    <w:rsid w:val="5E285A6A"/>
    <w:rsid w:val="5E31183B"/>
    <w:rsid w:val="5E534E1D"/>
    <w:rsid w:val="5E5911BE"/>
    <w:rsid w:val="5E593E3B"/>
    <w:rsid w:val="5E640D43"/>
    <w:rsid w:val="5E65083D"/>
    <w:rsid w:val="5E7D4A51"/>
    <w:rsid w:val="5EB91332"/>
    <w:rsid w:val="5EC22C03"/>
    <w:rsid w:val="5EDD7850"/>
    <w:rsid w:val="5F0D313E"/>
    <w:rsid w:val="5F1124AB"/>
    <w:rsid w:val="5F3A419B"/>
    <w:rsid w:val="5F44574A"/>
    <w:rsid w:val="5FAF0172"/>
    <w:rsid w:val="5FB1570F"/>
    <w:rsid w:val="5FB4355A"/>
    <w:rsid w:val="5FD20B45"/>
    <w:rsid w:val="60371209"/>
    <w:rsid w:val="60450122"/>
    <w:rsid w:val="608300AB"/>
    <w:rsid w:val="60A304B5"/>
    <w:rsid w:val="60A849AB"/>
    <w:rsid w:val="60DF7A88"/>
    <w:rsid w:val="60E359B8"/>
    <w:rsid w:val="60E50566"/>
    <w:rsid w:val="60E71ADF"/>
    <w:rsid w:val="610D2FD6"/>
    <w:rsid w:val="61112148"/>
    <w:rsid w:val="61182DED"/>
    <w:rsid w:val="6133130C"/>
    <w:rsid w:val="613A5702"/>
    <w:rsid w:val="613B1AB9"/>
    <w:rsid w:val="615E000B"/>
    <w:rsid w:val="616E119F"/>
    <w:rsid w:val="61707BBB"/>
    <w:rsid w:val="617E1852"/>
    <w:rsid w:val="619C3F1A"/>
    <w:rsid w:val="61AE4E8C"/>
    <w:rsid w:val="61FE6281"/>
    <w:rsid w:val="62150106"/>
    <w:rsid w:val="622847C1"/>
    <w:rsid w:val="62787F48"/>
    <w:rsid w:val="62823B68"/>
    <w:rsid w:val="628D67A4"/>
    <w:rsid w:val="62BF7893"/>
    <w:rsid w:val="62C768DF"/>
    <w:rsid w:val="62D617F7"/>
    <w:rsid w:val="62F76A6B"/>
    <w:rsid w:val="63286402"/>
    <w:rsid w:val="63407BC6"/>
    <w:rsid w:val="634173F4"/>
    <w:rsid w:val="635A6F5B"/>
    <w:rsid w:val="63626880"/>
    <w:rsid w:val="63674050"/>
    <w:rsid w:val="638504F9"/>
    <w:rsid w:val="6390314D"/>
    <w:rsid w:val="63E61E27"/>
    <w:rsid w:val="63F54E6A"/>
    <w:rsid w:val="64056E4D"/>
    <w:rsid w:val="640C0275"/>
    <w:rsid w:val="64823D3F"/>
    <w:rsid w:val="648E6082"/>
    <w:rsid w:val="64CE5BAF"/>
    <w:rsid w:val="64F0221A"/>
    <w:rsid w:val="64F3432C"/>
    <w:rsid w:val="653E328B"/>
    <w:rsid w:val="6562178A"/>
    <w:rsid w:val="65647777"/>
    <w:rsid w:val="657A134D"/>
    <w:rsid w:val="65B90DD0"/>
    <w:rsid w:val="65DA0D99"/>
    <w:rsid w:val="65DD132F"/>
    <w:rsid w:val="660957FF"/>
    <w:rsid w:val="660B5AC3"/>
    <w:rsid w:val="662C28E2"/>
    <w:rsid w:val="66365335"/>
    <w:rsid w:val="66481C67"/>
    <w:rsid w:val="665C5BAF"/>
    <w:rsid w:val="665F7588"/>
    <w:rsid w:val="666E0626"/>
    <w:rsid w:val="66721E90"/>
    <w:rsid w:val="66CB6D0F"/>
    <w:rsid w:val="66E73A95"/>
    <w:rsid w:val="670B017F"/>
    <w:rsid w:val="67122C14"/>
    <w:rsid w:val="67252D7F"/>
    <w:rsid w:val="672B3D23"/>
    <w:rsid w:val="675A445F"/>
    <w:rsid w:val="67716A03"/>
    <w:rsid w:val="67732006"/>
    <w:rsid w:val="679E7CFF"/>
    <w:rsid w:val="67AB62F4"/>
    <w:rsid w:val="67AC0D5F"/>
    <w:rsid w:val="67AE7945"/>
    <w:rsid w:val="680718CF"/>
    <w:rsid w:val="68206119"/>
    <w:rsid w:val="683A686C"/>
    <w:rsid w:val="683A71C3"/>
    <w:rsid w:val="683C3520"/>
    <w:rsid w:val="685D370B"/>
    <w:rsid w:val="68662030"/>
    <w:rsid w:val="68886A8D"/>
    <w:rsid w:val="68A13380"/>
    <w:rsid w:val="68AD5555"/>
    <w:rsid w:val="68D87410"/>
    <w:rsid w:val="68E21958"/>
    <w:rsid w:val="68EC6C35"/>
    <w:rsid w:val="690B5D4C"/>
    <w:rsid w:val="69234935"/>
    <w:rsid w:val="69396FAD"/>
    <w:rsid w:val="69426126"/>
    <w:rsid w:val="697D6D8A"/>
    <w:rsid w:val="699558D8"/>
    <w:rsid w:val="6A02066F"/>
    <w:rsid w:val="6A040139"/>
    <w:rsid w:val="6A3204E6"/>
    <w:rsid w:val="6A345D8A"/>
    <w:rsid w:val="6A3E4CBA"/>
    <w:rsid w:val="6A515909"/>
    <w:rsid w:val="6A521BA1"/>
    <w:rsid w:val="6A671E12"/>
    <w:rsid w:val="6A6D099E"/>
    <w:rsid w:val="6A882665"/>
    <w:rsid w:val="6AEB00DB"/>
    <w:rsid w:val="6AEB06C8"/>
    <w:rsid w:val="6AF747A0"/>
    <w:rsid w:val="6B3E2193"/>
    <w:rsid w:val="6B47428E"/>
    <w:rsid w:val="6B4E7D7C"/>
    <w:rsid w:val="6B4F7046"/>
    <w:rsid w:val="6B5853CD"/>
    <w:rsid w:val="6B675AE7"/>
    <w:rsid w:val="6B7515D2"/>
    <w:rsid w:val="6B911186"/>
    <w:rsid w:val="6BCF3803"/>
    <w:rsid w:val="6BD310BC"/>
    <w:rsid w:val="6BDB11DA"/>
    <w:rsid w:val="6BE33EC0"/>
    <w:rsid w:val="6BF1603C"/>
    <w:rsid w:val="6C240356"/>
    <w:rsid w:val="6C254939"/>
    <w:rsid w:val="6C5A6EFF"/>
    <w:rsid w:val="6C632D35"/>
    <w:rsid w:val="6C6A57C9"/>
    <w:rsid w:val="6C704A7A"/>
    <w:rsid w:val="6C725F7B"/>
    <w:rsid w:val="6C7519DE"/>
    <w:rsid w:val="6C897DBF"/>
    <w:rsid w:val="6CC42227"/>
    <w:rsid w:val="6CCA0567"/>
    <w:rsid w:val="6CF44CCB"/>
    <w:rsid w:val="6CF97449"/>
    <w:rsid w:val="6D150EDB"/>
    <w:rsid w:val="6D1D2E90"/>
    <w:rsid w:val="6D2B69B0"/>
    <w:rsid w:val="6D4E0B4F"/>
    <w:rsid w:val="6D5021BD"/>
    <w:rsid w:val="6D550E71"/>
    <w:rsid w:val="6D6A6A52"/>
    <w:rsid w:val="6D7F7450"/>
    <w:rsid w:val="6D94266B"/>
    <w:rsid w:val="6D951165"/>
    <w:rsid w:val="6DA95685"/>
    <w:rsid w:val="6DB33706"/>
    <w:rsid w:val="6DBF224B"/>
    <w:rsid w:val="6E0F34B7"/>
    <w:rsid w:val="6E1D6E3D"/>
    <w:rsid w:val="6E217809"/>
    <w:rsid w:val="6E241543"/>
    <w:rsid w:val="6E347423"/>
    <w:rsid w:val="6E3514A9"/>
    <w:rsid w:val="6E4910EA"/>
    <w:rsid w:val="6E650C23"/>
    <w:rsid w:val="6E7C0BFC"/>
    <w:rsid w:val="6EB03DB7"/>
    <w:rsid w:val="6EC30AA3"/>
    <w:rsid w:val="6EC472D2"/>
    <w:rsid w:val="6ED81D9D"/>
    <w:rsid w:val="6EF70812"/>
    <w:rsid w:val="6F0051AC"/>
    <w:rsid w:val="6F0F0B5F"/>
    <w:rsid w:val="6F2A5F14"/>
    <w:rsid w:val="6F4E3E29"/>
    <w:rsid w:val="6F5E420A"/>
    <w:rsid w:val="6F7B4F0E"/>
    <w:rsid w:val="6FB664CB"/>
    <w:rsid w:val="6FB70D40"/>
    <w:rsid w:val="6FDB5C23"/>
    <w:rsid w:val="6FE660A0"/>
    <w:rsid w:val="70046A60"/>
    <w:rsid w:val="7006321D"/>
    <w:rsid w:val="703B6B0F"/>
    <w:rsid w:val="703F7D18"/>
    <w:rsid w:val="705C0872"/>
    <w:rsid w:val="706F38B9"/>
    <w:rsid w:val="707800F1"/>
    <w:rsid w:val="708636B7"/>
    <w:rsid w:val="709802A2"/>
    <w:rsid w:val="70AD75BE"/>
    <w:rsid w:val="70B274B5"/>
    <w:rsid w:val="70C916A2"/>
    <w:rsid w:val="70E12B70"/>
    <w:rsid w:val="70EE668B"/>
    <w:rsid w:val="70F10B35"/>
    <w:rsid w:val="70FF3314"/>
    <w:rsid w:val="7101664A"/>
    <w:rsid w:val="71124206"/>
    <w:rsid w:val="7114293B"/>
    <w:rsid w:val="71225896"/>
    <w:rsid w:val="71376E37"/>
    <w:rsid w:val="7141500C"/>
    <w:rsid w:val="715E3CF3"/>
    <w:rsid w:val="719A16FE"/>
    <w:rsid w:val="71AD3661"/>
    <w:rsid w:val="71C932F3"/>
    <w:rsid w:val="71D77965"/>
    <w:rsid w:val="71EE0C07"/>
    <w:rsid w:val="71F61DB0"/>
    <w:rsid w:val="72055590"/>
    <w:rsid w:val="72124D45"/>
    <w:rsid w:val="72134078"/>
    <w:rsid w:val="721F37E4"/>
    <w:rsid w:val="72481BDA"/>
    <w:rsid w:val="724A14BF"/>
    <w:rsid w:val="725F387B"/>
    <w:rsid w:val="727D02EA"/>
    <w:rsid w:val="728F2B4B"/>
    <w:rsid w:val="729637FF"/>
    <w:rsid w:val="72B71B71"/>
    <w:rsid w:val="72E13725"/>
    <w:rsid w:val="73407234"/>
    <w:rsid w:val="73573545"/>
    <w:rsid w:val="73630D49"/>
    <w:rsid w:val="739724F8"/>
    <w:rsid w:val="73993D00"/>
    <w:rsid w:val="73A51864"/>
    <w:rsid w:val="73AE55D7"/>
    <w:rsid w:val="73B613D4"/>
    <w:rsid w:val="73F80E56"/>
    <w:rsid w:val="73FC2ADF"/>
    <w:rsid w:val="744D4618"/>
    <w:rsid w:val="74694727"/>
    <w:rsid w:val="74736BF0"/>
    <w:rsid w:val="74830D63"/>
    <w:rsid w:val="74C4795F"/>
    <w:rsid w:val="74D12C58"/>
    <w:rsid w:val="74D2642B"/>
    <w:rsid w:val="74DF4EE8"/>
    <w:rsid w:val="74EB79B5"/>
    <w:rsid w:val="750A4017"/>
    <w:rsid w:val="751B00EA"/>
    <w:rsid w:val="75211985"/>
    <w:rsid w:val="757655B4"/>
    <w:rsid w:val="757A4E2E"/>
    <w:rsid w:val="75A830B2"/>
    <w:rsid w:val="75AB3902"/>
    <w:rsid w:val="75C3560C"/>
    <w:rsid w:val="75ED5910"/>
    <w:rsid w:val="760035E4"/>
    <w:rsid w:val="76031BE1"/>
    <w:rsid w:val="76115A0E"/>
    <w:rsid w:val="761A7BF7"/>
    <w:rsid w:val="76465374"/>
    <w:rsid w:val="764D1504"/>
    <w:rsid w:val="7674618E"/>
    <w:rsid w:val="76EE73AE"/>
    <w:rsid w:val="77043936"/>
    <w:rsid w:val="771F1ABA"/>
    <w:rsid w:val="77214622"/>
    <w:rsid w:val="7726447F"/>
    <w:rsid w:val="77496387"/>
    <w:rsid w:val="775D40B0"/>
    <w:rsid w:val="77A36D4C"/>
    <w:rsid w:val="77A95C81"/>
    <w:rsid w:val="77C65CF5"/>
    <w:rsid w:val="77C77C30"/>
    <w:rsid w:val="77D65517"/>
    <w:rsid w:val="77F86C02"/>
    <w:rsid w:val="780E62BE"/>
    <w:rsid w:val="782C28A7"/>
    <w:rsid w:val="7830745D"/>
    <w:rsid w:val="78531243"/>
    <w:rsid w:val="78587EFA"/>
    <w:rsid w:val="78BB5875"/>
    <w:rsid w:val="792A6257"/>
    <w:rsid w:val="792F551B"/>
    <w:rsid w:val="793744E1"/>
    <w:rsid w:val="793A4DA5"/>
    <w:rsid w:val="796433A8"/>
    <w:rsid w:val="79710011"/>
    <w:rsid w:val="79756020"/>
    <w:rsid w:val="79926030"/>
    <w:rsid w:val="79B25F11"/>
    <w:rsid w:val="79E509B7"/>
    <w:rsid w:val="79FB5266"/>
    <w:rsid w:val="79FB70CC"/>
    <w:rsid w:val="7A057EB5"/>
    <w:rsid w:val="7A3D68C2"/>
    <w:rsid w:val="7A561BBC"/>
    <w:rsid w:val="7A74798E"/>
    <w:rsid w:val="7A831864"/>
    <w:rsid w:val="7ADB24EC"/>
    <w:rsid w:val="7B055B55"/>
    <w:rsid w:val="7B153D40"/>
    <w:rsid w:val="7B160118"/>
    <w:rsid w:val="7B216683"/>
    <w:rsid w:val="7B6A5027"/>
    <w:rsid w:val="7B8E5D36"/>
    <w:rsid w:val="7BAE6AB8"/>
    <w:rsid w:val="7BCD7058"/>
    <w:rsid w:val="7C064E1C"/>
    <w:rsid w:val="7C1303FF"/>
    <w:rsid w:val="7C296C74"/>
    <w:rsid w:val="7C423502"/>
    <w:rsid w:val="7C531A38"/>
    <w:rsid w:val="7C556FE1"/>
    <w:rsid w:val="7C5E610F"/>
    <w:rsid w:val="7C693C26"/>
    <w:rsid w:val="7C6B1D10"/>
    <w:rsid w:val="7C6B3352"/>
    <w:rsid w:val="7C836F7A"/>
    <w:rsid w:val="7C8616B1"/>
    <w:rsid w:val="7CCC6F05"/>
    <w:rsid w:val="7CDD4C23"/>
    <w:rsid w:val="7CE112FC"/>
    <w:rsid w:val="7D07748A"/>
    <w:rsid w:val="7D132343"/>
    <w:rsid w:val="7D4F3A71"/>
    <w:rsid w:val="7D7B2DEB"/>
    <w:rsid w:val="7D933078"/>
    <w:rsid w:val="7D9B50A5"/>
    <w:rsid w:val="7D9C70F6"/>
    <w:rsid w:val="7DCC3081"/>
    <w:rsid w:val="7DD45B87"/>
    <w:rsid w:val="7DDA354A"/>
    <w:rsid w:val="7DF023CD"/>
    <w:rsid w:val="7DF747BB"/>
    <w:rsid w:val="7E12562A"/>
    <w:rsid w:val="7E144C98"/>
    <w:rsid w:val="7E262DF0"/>
    <w:rsid w:val="7E2D4E56"/>
    <w:rsid w:val="7E3E4548"/>
    <w:rsid w:val="7E4A08DE"/>
    <w:rsid w:val="7E7A711F"/>
    <w:rsid w:val="7E8E66E6"/>
    <w:rsid w:val="7EA24478"/>
    <w:rsid w:val="7EA605B8"/>
    <w:rsid w:val="7EB312FF"/>
    <w:rsid w:val="7EDD6B1B"/>
    <w:rsid w:val="7EE055EF"/>
    <w:rsid w:val="7EE25BF8"/>
    <w:rsid w:val="7EF2111B"/>
    <w:rsid w:val="7EF62EFE"/>
    <w:rsid w:val="7F00306C"/>
    <w:rsid w:val="7F2867EC"/>
    <w:rsid w:val="7F2A128B"/>
    <w:rsid w:val="7F2D3079"/>
    <w:rsid w:val="7F3E0E3C"/>
    <w:rsid w:val="7F5E34A1"/>
    <w:rsid w:val="7F5F7DD4"/>
    <w:rsid w:val="7F764C10"/>
    <w:rsid w:val="7F991552"/>
    <w:rsid w:val="7FAF392E"/>
    <w:rsid w:val="7FB172F7"/>
    <w:rsid w:val="7FB221CC"/>
    <w:rsid w:val="7FD545A5"/>
    <w:rsid w:val="7FE7433A"/>
    <w:rsid w:val="7FEB245E"/>
    <w:rsid w:val="7FFD6F42"/>
    <w:rsid w:val="7FFF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Body Text"/>
    <w:basedOn w:val="1"/>
    <w:autoRedefine/>
    <w:qFormat/>
    <w:uiPriority w:val="1"/>
    <w:rPr>
      <w:rFonts w:ascii="仿宋_GB2312" w:hAnsi="仿宋_GB2312" w:eastAsia="仿宋_GB2312" w:cs="仿宋_GB2312"/>
      <w:sz w:val="32"/>
      <w:szCs w:val="32"/>
      <w:lang w:val="zh-CN" w:eastAsia="zh-CN" w:bidi="zh-CN"/>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800080"/>
      <w:u w:val="none"/>
    </w:rPr>
  </w:style>
  <w:style w:type="character" w:styleId="10">
    <w:name w:val="Hyperlink"/>
    <w:basedOn w:val="8"/>
    <w:autoRedefine/>
    <w:qFormat/>
    <w:uiPriority w:val="0"/>
    <w:rPr>
      <w:color w:val="0000FF"/>
      <w:u w:val="none"/>
    </w:rPr>
  </w:style>
  <w:style w:type="character" w:customStyle="1" w:styleId="11">
    <w:name w:val="page_this"/>
    <w:basedOn w:val="8"/>
    <w:autoRedefine/>
    <w:qFormat/>
    <w:uiPriority w:val="0"/>
    <w:rPr>
      <w:b/>
      <w:color w:val="FFFFFF"/>
      <w:bdr w:val="single" w:color="144E9C" w:sz="6" w:space="0"/>
      <w:shd w:val="clear" w:color="auto" w:fill="144E9C"/>
    </w:rPr>
  </w:style>
  <w:style w:type="character" w:customStyle="1" w:styleId="12">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paragraph" w:customStyle="1" w:styleId="14">
    <w:name w:val="p"/>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3016</Words>
  <Characters>3140</Characters>
  <Lines>22</Lines>
  <Paragraphs>6</Paragraphs>
  <TotalTime>0</TotalTime>
  <ScaleCrop>false</ScaleCrop>
  <LinksUpToDate>false</LinksUpToDate>
  <CharactersWithSpaces>3203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前后左右</cp:lastModifiedBy>
  <dcterms:modified xsi:type="dcterms:W3CDTF">2024-01-11T08:58:56Z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EF65081419FB4C86B5A8C2E72F03ECBF</vt:lpwstr>
  </property>
</Properties>
</file>