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after="100" w:afterAutospacing="1" w:line="580" w:lineRule="exact"/>
        <w:jc w:val="center"/>
        <w:rPr>
          <w:rFonts w:hint="eastAsia" w:ascii="方正小标宋简体" w:hAnsi="仿宋" w:eastAsia="方正小标宋简体" w:cs="Arial"/>
          <w:color w:val="auto"/>
          <w:kern w:val="0"/>
          <w:sz w:val="44"/>
          <w:szCs w:val="44"/>
        </w:rPr>
      </w:pPr>
      <w:r>
        <w:rPr>
          <w:rFonts w:hint="eastAsia" w:ascii="方正小标宋简体" w:hAnsi="仿宋" w:eastAsia="方正小标宋简体" w:cs="Arial"/>
          <w:color w:val="auto"/>
          <w:kern w:val="0"/>
          <w:sz w:val="44"/>
          <w:szCs w:val="44"/>
        </w:rPr>
        <w:t>滕州市气象局2020年度政府信息公开</w:t>
      </w:r>
    </w:p>
    <w:p>
      <w:pPr>
        <w:widowControl/>
        <w:spacing w:after="100" w:afterAutospacing="1" w:line="580" w:lineRule="exact"/>
        <w:jc w:val="center"/>
        <w:rPr>
          <w:rFonts w:ascii="方正小标宋简体" w:hAnsi="仿宋" w:eastAsia="方正小标宋简体" w:cs="Arial"/>
          <w:color w:val="auto"/>
          <w:kern w:val="0"/>
          <w:sz w:val="44"/>
          <w:szCs w:val="44"/>
        </w:rPr>
      </w:pPr>
      <w:r>
        <w:rPr>
          <w:rFonts w:hint="eastAsia" w:ascii="方正小标宋简体" w:hAnsi="仿宋" w:eastAsia="方正小标宋简体" w:cs="Arial"/>
          <w:color w:val="auto"/>
          <w:kern w:val="0"/>
          <w:sz w:val="44"/>
          <w:szCs w:val="44"/>
        </w:rPr>
        <w:t>工作年度报告</w:t>
      </w:r>
    </w:p>
    <w:p>
      <w:pPr>
        <w:widowControl/>
        <w:spacing w:after="100" w:afterAutospacing="1" w:line="315" w:lineRule="atLeast"/>
        <w:ind w:firstLine="645"/>
        <w:jc w:val="left"/>
        <w:rPr>
          <w:rFonts w:ascii="Arial" w:hAnsi="Arial" w:cs="Arial"/>
          <w:color w:val="auto"/>
        </w:rPr>
      </w:pPr>
    </w:p>
    <w:p>
      <w:pPr>
        <w:widowControl/>
        <w:spacing w:after="100" w:afterAutospacing="1" w:line="315" w:lineRule="atLeast"/>
        <w:ind w:firstLine="645"/>
        <w:jc w:val="left"/>
        <w:rPr>
          <w:rFonts w:ascii="仿宋_GB2312" w:hAnsi="仿宋" w:eastAsia="仿宋_GB2312" w:cs="Arial"/>
          <w:color w:val="auto"/>
          <w:kern w:val="0"/>
          <w:sz w:val="32"/>
          <w:szCs w:val="32"/>
        </w:rPr>
      </w:pPr>
      <w:r>
        <w:rPr>
          <w:rFonts w:ascii="Arial" w:hAnsi="Arial" w:cs="Arial"/>
          <w:color w:val="auto"/>
        </w:rPr>
        <w:t> </w:t>
      </w:r>
      <w:r>
        <w:rPr>
          <w:rFonts w:hint="eastAsia" w:ascii="仿宋_GB2312" w:hAnsi="Arial" w:eastAsia="仿宋_GB2312" w:cs="Arial"/>
          <w:color w:val="auto"/>
          <w:sz w:val="32"/>
          <w:szCs w:val="32"/>
        </w:rPr>
        <w:t>2020年，市气象局在市委、市政府的领导下，认真学习贯彻《中华人民共和国政府信息公开条</w:t>
      </w:r>
      <w:bookmarkStart w:id="0" w:name="_GoBack"/>
      <w:bookmarkEnd w:id="0"/>
      <w:r>
        <w:rPr>
          <w:rFonts w:hint="eastAsia" w:ascii="仿宋_GB2312" w:hAnsi="Arial" w:eastAsia="仿宋_GB2312" w:cs="Arial"/>
          <w:color w:val="auto"/>
          <w:sz w:val="32"/>
          <w:szCs w:val="32"/>
        </w:rPr>
        <w:t>例》，进一步强化政府信息公开工作领导，增强信息公开意识和责任意识，认真编制了本年度工作报告。报告主要内容包括：主动公开政府信息情况、依申请公开政府信息情况、建议提案办理公开情况、政府信息管理情况、公开平台建设情况、监督保障情况、政府信息公开工作存在的主要问题及改进情况等。现在公开滕州市气象局2020年政府信息公开工作年度报告。本报告所列数据的统计时限自2020年1月1日起至2020年12月31日止。</w:t>
      </w:r>
      <w:r>
        <w:rPr>
          <w:rFonts w:ascii="仿宋_GB2312" w:hAnsi="Arial" w:eastAsia="仿宋_GB2312" w:cs="Arial"/>
          <w:color w:val="auto"/>
          <w:sz w:val="32"/>
          <w:szCs w:val="32"/>
        </w:rPr>
        <w:br w:type="textWrapping"/>
      </w:r>
      <w:r>
        <w:rPr>
          <w:rFonts w:hint="eastAsia" w:ascii="仿宋_GB2312" w:hAnsi="Arial" w:eastAsia="仿宋_GB2312" w:cs="Arial"/>
          <w:color w:val="auto"/>
          <w:sz w:val="32"/>
          <w:szCs w:val="32"/>
        </w:rPr>
        <w:t xml:space="preserve">  </w:t>
      </w:r>
      <w:r>
        <w:rPr>
          <w:rFonts w:hint="eastAsia" w:ascii="仿宋" w:hAnsi="仿宋" w:eastAsia="仿宋" w:cs="Arial"/>
          <w:color w:val="auto"/>
          <w:kern w:val="0"/>
          <w:sz w:val="32"/>
          <w:szCs w:val="32"/>
        </w:rPr>
        <w:t> </w:t>
      </w:r>
      <w:r>
        <w:rPr>
          <w:rFonts w:hint="eastAsia" w:ascii="黑体" w:hAnsi="黑体" w:eastAsia="黑体" w:cs="Arial"/>
          <w:color w:val="auto"/>
          <w:kern w:val="0"/>
          <w:sz w:val="32"/>
          <w:szCs w:val="32"/>
        </w:rPr>
        <w:t>一、总体情况</w:t>
      </w:r>
      <w:r>
        <w:rPr>
          <w:rFonts w:ascii="黑体" w:hAnsi="黑体" w:eastAsia="黑体" w:cs="Arial"/>
          <w:color w:val="auto"/>
          <w:kern w:val="0"/>
          <w:sz w:val="32"/>
          <w:szCs w:val="32"/>
        </w:rPr>
        <w:br w:type="textWrapping"/>
      </w:r>
      <w:r>
        <w:rPr>
          <w:rFonts w:hint="eastAsia" w:ascii="仿宋" w:hAnsi="仿宋" w:eastAsia="仿宋" w:cs="Arial"/>
          <w:color w:val="auto"/>
          <w:kern w:val="0"/>
          <w:sz w:val="32"/>
          <w:szCs w:val="32"/>
        </w:rPr>
        <w:t xml:space="preserve">  </w:t>
      </w:r>
      <w:r>
        <w:rPr>
          <w:rFonts w:hint="eastAsia" w:ascii="仿宋_GB2312" w:hAnsi="仿宋" w:eastAsia="仿宋_GB2312" w:cs="Arial"/>
          <w:color w:val="auto"/>
          <w:kern w:val="0"/>
          <w:sz w:val="32"/>
          <w:szCs w:val="32"/>
        </w:rPr>
        <w:t xml:space="preserve">  2020年，市气象局按照市委、市政府的统一部署，认真贯彻落实《条例》和省、市以及上级气象部门关于政府信息公开工作的要求，紧扣本单位的工作实际，加强组织领导，优化政务服务机制，提高工作效率，不断提升政府信息公开工作力度和实效，政府信息公开水平实现新的突破。</w:t>
      </w:r>
      <w:r>
        <w:rPr>
          <w:rFonts w:hint="eastAsia" w:ascii="仿宋_GB2312" w:hAnsi="仿宋" w:eastAsia="仿宋_GB2312" w:cs="Arial"/>
          <w:color w:val="auto"/>
          <w:kern w:val="0"/>
          <w:sz w:val="32"/>
          <w:szCs w:val="32"/>
        </w:rPr>
        <w:br w:type="textWrapping"/>
      </w:r>
      <w:r>
        <w:rPr>
          <w:rFonts w:hint="eastAsia" w:ascii="仿宋" w:hAnsi="仿宋" w:eastAsia="仿宋" w:cs="Arial"/>
          <w:color w:val="auto"/>
          <w:kern w:val="0"/>
          <w:sz w:val="32"/>
          <w:szCs w:val="32"/>
        </w:rPr>
        <w:t xml:space="preserve">    </w:t>
      </w:r>
      <w:r>
        <w:rPr>
          <w:rFonts w:hint="eastAsia" w:ascii="楷体_GB2312" w:hAnsi="仿宋" w:eastAsia="楷体_GB2312" w:cs="Arial"/>
          <w:color w:val="auto"/>
          <w:kern w:val="0"/>
          <w:sz w:val="32"/>
          <w:szCs w:val="32"/>
        </w:rPr>
        <w:t>（一）政府信息主动公开情况。</w:t>
      </w:r>
      <w:r>
        <w:rPr>
          <w:rFonts w:hint="eastAsia" w:ascii="楷体_GB2312" w:hAnsi="仿宋" w:eastAsia="楷体_GB2312" w:cs="Arial"/>
          <w:color w:val="auto"/>
          <w:kern w:val="0"/>
          <w:sz w:val="32"/>
          <w:szCs w:val="32"/>
        </w:rPr>
        <w:br w:type="textWrapping"/>
      </w:r>
      <w:r>
        <w:rPr>
          <w:rFonts w:hint="eastAsia" w:ascii="仿宋" w:hAnsi="仿宋" w:eastAsia="仿宋" w:cs="Arial"/>
          <w:color w:val="auto"/>
          <w:kern w:val="0"/>
          <w:sz w:val="32"/>
          <w:szCs w:val="32"/>
        </w:rPr>
        <w:t xml:space="preserve">    市气象局通过市政府信息公开专栏、枣庄市气象局门户网站等渠道，主动做好政府信息主动公开工作。截止2020年12月31日，主动公开政府信息194条。其中，通过市政府信息公开专栏主动公开政府信息90条，通过枣庄市气象局网站主动公开政府信息104条。</w:t>
      </w:r>
      <w:r>
        <w:rPr>
          <w:rFonts w:ascii="仿宋" w:hAnsi="仿宋" w:eastAsia="仿宋" w:cs="Arial"/>
          <w:color w:val="auto"/>
          <w:kern w:val="0"/>
          <w:sz w:val="32"/>
          <w:szCs w:val="32"/>
        </w:rPr>
        <w:br w:type="textWrapping"/>
      </w:r>
      <w:r>
        <w:rPr>
          <w:rFonts w:hint="eastAsia" w:ascii="仿宋" w:hAnsi="仿宋" w:eastAsia="仿宋" w:cs="Arial"/>
          <w:color w:val="auto"/>
          <w:kern w:val="0"/>
          <w:sz w:val="32"/>
          <w:szCs w:val="32"/>
        </w:rPr>
        <w:t xml:space="preserve">  </w:t>
      </w:r>
      <w:r>
        <w:rPr>
          <w:rFonts w:hint="eastAsia" w:ascii="仿宋" w:hAnsi="仿宋" w:eastAsia="仿宋" w:cs="Arial"/>
          <w:b/>
          <w:color w:val="auto"/>
          <w:kern w:val="0"/>
          <w:sz w:val="32"/>
          <w:szCs w:val="32"/>
        </w:rPr>
        <w:t xml:space="preserve">  </w:t>
      </w:r>
      <w:r>
        <w:rPr>
          <w:rFonts w:hint="eastAsia" w:ascii="仿宋_GB2312" w:hAnsi="仿宋" w:eastAsia="仿宋_GB2312" w:cs="Arial"/>
          <w:b/>
          <w:color w:val="auto"/>
          <w:kern w:val="0"/>
          <w:sz w:val="32"/>
          <w:szCs w:val="32"/>
        </w:rPr>
        <w:t>1、及时公开机构概况。</w:t>
      </w:r>
      <w:r>
        <w:rPr>
          <w:rFonts w:hint="eastAsia" w:ascii="仿宋_GB2312" w:hAnsi="仿宋" w:eastAsia="仿宋_GB2312" w:cs="Arial"/>
          <w:color w:val="auto"/>
          <w:kern w:val="0"/>
          <w:sz w:val="32"/>
          <w:szCs w:val="32"/>
        </w:rPr>
        <w:t>根据《中华人民共和国政府信息公开条例》第二十条第（二）款要求，及时更新机关职能、机构设置、办公地址、办公时间、联系方式等，并在市政府信息公开专栏网站公布。</w:t>
      </w:r>
    </w:p>
    <w:p>
      <w:pPr>
        <w:widowControl/>
        <w:spacing w:after="100" w:afterAutospacing="1" w:line="315" w:lineRule="atLeast"/>
        <w:ind w:firstLine="645"/>
        <w:jc w:val="left"/>
        <w:rPr>
          <w:rFonts w:ascii="Arial" w:hAnsi="Arial" w:eastAsia="宋体" w:cs="Arial"/>
          <w:color w:val="auto"/>
          <w:kern w:val="0"/>
          <w:sz w:val="24"/>
          <w:szCs w:val="24"/>
        </w:rPr>
      </w:pPr>
      <w:r>
        <w:rPr>
          <w:rFonts w:ascii="Arial" w:hAnsi="Arial" w:eastAsia="宋体" w:cs="Arial"/>
          <w:color w:val="auto"/>
          <w:kern w:val="0"/>
          <w:sz w:val="24"/>
          <w:szCs w:val="24"/>
        </w:rPr>
        <w:drawing>
          <wp:anchor distT="0" distB="0" distL="114300" distR="114300" simplePos="0" relativeHeight="251659264" behindDoc="0" locked="0" layoutInCell="1" allowOverlap="1">
            <wp:simplePos x="0" y="0"/>
            <wp:positionH relativeFrom="column">
              <wp:posOffset>-342900</wp:posOffset>
            </wp:positionH>
            <wp:positionV relativeFrom="paragraph">
              <wp:posOffset>-103505</wp:posOffset>
            </wp:positionV>
            <wp:extent cx="6029325" cy="2384425"/>
            <wp:effectExtent l="19050" t="0" r="9525" b="0"/>
            <wp:wrapNone/>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noChangeArrowheads="1"/>
                    </pic:cNvPicPr>
                  </pic:nvPicPr>
                  <pic:blipFill>
                    <a:blip r:embed="rId5" cstate="print"/>
                    <a:srcRect/>
                    <a:stretch>
                      <a:fillRect/>
                    </a:stretch>
                  </pic:blipFill>
                  <pic:spPr>
                    <a:xfrm>
                      <a:off x="0" y="0"/>
                      <a:ext cx="6034239" cy="2386607"/>
                    </a:xfrm>
                    <a:prstGeom prst="rect">
                      <a:avLst/>
                    </a:prstGeom>
                    <a:noFill/>
                    <a:ln w="9525">
                      <a:noFill/>
                      <a:miter lim="800000"/>
                      <a:headEnd/>
                      <a:tailEnd/>
                    </a:ln>
                  </pic:spPr>
                </pic:pic>
              </a:graphicData>
            </a:graphic>
          </wp:anchor>
        </w:drawing>
      </w:r>
    </w:p>
    <w:p>
      <w:pPr>
        <w:widowControl/>
        <w:spacing w:before="100" w:beforeAutospacing="1" w:after="100" w:afterAutospacing="1" w:line="360" w:lineRule="atLeast"/>
        <w:jc w:val="center"/>
        <w:rPr>
          <w:rFonts w:ascii="Arial" w:hAnsi="Arial" w:eastAsia="宋体" w:cs="Arial"/>
          <w:color w:val="auto"/>
          <w:kern w:val="0"/>
          <w:sz w:val="24"/>
          <w:szCs w:val="24"/>
        </w:rPr>
      </w:pPr>
    </w:p>
    <w:p>
      <w:pPr>
        <w:widowControl/>
        <w:spacing w:before="100" w:beforeAutospacing="1" w:after="100" w:afterAutospacing="1" w:line="360" w:lineRule="atLeast"/>
        <w:jc w:val="center"/>
        <w:rPr>
          <w:rFonts w:ascii="Arial" w:hAnsi="Arial" w:eastAsia="宋体" w:cs="Arial"/>
          <w:color w:val="auto"/>
          <w:kern w:val="0"/>
          <w:sz w:val="24"/>
          <w:szCs w:val="24"/>
        </w:rPr>
      </w:pPr>
    </w:p>
    <w:p>
      <w:pPr>
        <w:widowControl/>
        <w:spacing w:before="100" w:beforeAutospacing="1" w:after="100" w:afterAutospacing="1" w:line="360" w:lineRule="atLeast"/>
        <w:jc w:val="center"/>
        <w:rPr>
          <w:rFonts w:ascii="Arial" w:hAnsi="Arial" w:eastAsia="宋体" w:cs="Arial"/>
          <w:color w:val="auto"/>
          <w:kern w:val="0"/>
          <w:sz w:val="24"/>
          <w:szCs w:val="24"/>
        </w:rPr>
      </w:pPr>
    </w:p>
    <w:p>
      <w:pPr>
        <w:widowControl/>
        <w:spacing w:before="100" w:beforeAutospacing="1" w:after="100" w:afterAutospacing="1" w:line="360" w:lineRule="atLeast"/>
        <w:jc w:val="center"/>
        <w:rPr>
          <w:rFonts w:ascii="Arial" w:hAnsi="Arial" w:eastAsia="宋体" w:cs="Arial"/>
          <w:color w:val="auto"/>
          <w:kern w:val="0"/>
          <w:sz w:val="24"/>
          <w:szCs w:val="24"/>
        </w:rPr>
      </w:pPr>
    </w:p>
    <w:p>
      <w:pPr>
        <w:widowControl/>
        <w:spacing w:after="100" w:afterAutospacing="1" w:line="315" w:lineRule="atLeast"/>
        <w:ind w:firstLine="645"/>
        <w:jc w:val="left"/>
        <w:rPr>
          <w:rFonts w:ascii="Arial" w:hAnsi="Arial" w:eastAsia="宋体" w:cs="Arial"/>
          <w:color w:val="auto"/>
          <w:kern w:val="0"/>
          <w:sz w:val="24"/>
          <w:szCs w:val="24"/>
        </w:rPr>
      </w:pPr>
    </w:p>
    <w:p>
      <w:pPr>
        <w:widowControl/>
        <w:spacing w:after="100" w:afterAutospacing="1" w:line="315" w:lineRule="atLeast"/>
        <w:ind w:left="-15" w:firstLine="645"/>
        <w:jc w:val="left"/>
        <w:rPr>
          <w:rFonts w:ascii="仿宋_GB2312" w:hAnsi="Arial" w:eastAsia="仿宋_GB2312" w:cs="Arial"/>
          <w:color w:val="auto"/>
          <w:kern w:val="0"/>
          <w:sz w:val="24"/>
          <w:szCs w:val="24"/>
        </w:rPr>
      </w:pPr>
      <w:r>
        <w:rPr>
          <w:rFonts w:hint="eastAsia" w:ascii="仿宋_GB2312" w:hAnsi="仿宋" w:eastAsia="仿宋_GB2312" w:cs="Arial"/>
          <w:b/>
          <w:color w:val="auto"/>
          <w:kern w:val="0"/>
          <w:sz w:val="32"/>
          <w:szCs w:val="32"/>
        </w:rPr>
        <w:t>2、及时公开发展规划。</w:t>
      </w:r>
      <w:r>
        <w:rPr>
          <w:rFonts w:hint="eastAsia" w:ascii="仿宋_GB2312" w:hAnsi="仿宋" w:eastAsia="仿宋_GB2312" w:cs="Arial"/>
          <w:color w:val="auto"/>
          <w:kern w:val="0"/>
          <w:sz w:val="32"/>
          <w:szCs w:val="32"/>
        </w:rPr>
        <w:t>结合我市对气象事业发展的需要和市气象局工作实际，及时公开发布滕州市气象事业发展等方面的规划，让公众了解。</w:t>
      </w:r>
      <w:r>
        <w:rPr>
          <w:rFonts w:ascii="Arial" w:hAnsi="Arial" w:eastAsia="宋体" w:cs="Arial"/>
          <w:color w:val="auto"/>
          <w:kern w:val="0"/>
          <w:sz w:val="24"/>
          <w:szCs w:val="24"/>
        </w:rPr>
        <w:drawing>
          <wp:inline distT="0" distB="0" distL="0" distR="0">
            <wp:extent cx="5274310" cy="1830070"/>
            <wp:effectExtent l="19050" t="0" r="2540" b="0"/>
            <wp:docPr id="7"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1"/>
                    <pic:cNvPicPr>
                      <a:picLocks noChangeAspect="1" noChangeArrowheads="1"/>
                    </pic:cNvPicPr>
                  </pic:nvPicPr>
                  <pic:blipFill>
                    <a:blip r:embed="rId6" cstate="print"/>
                    <a:srcRect/>
                    <a:stretch>
                      <a:fillRect/>
                    </a:stretch>
                  </pic:blipFill>
                  <pic:spPr>
                    <a:xfrm>
                      <a:off x="0" y="0"/>
                      <a:ext cx="5274310" cy="1830465"/>
                    </a:xfrm>
                    <a:prstGeom prst="rect">
                      <a:avLst/>
                    </a:prstGeom>
                    <a:noFill/>
                    <a:ln w="9525">
                      <a:noFill/>
                      <a:miter lim="800000"/>
                      <a:headEnd/>
                      <a:tailEnd/>
                    </a:ln>
                  </pic:spPr>
                </pic:pic>
              </a:graphicData>
            </a:graphic>
          </wp:inline>
        </w:drawing>
      </w:r>
    </w:p>
    <w:p>
      <w:pPr>
        <w:widowControl/>
        <w:spacing w:after="100" w:afterAutospacing="1" w:line="315" w:lineRule="atLeast"/>
        <w:ind w:left="-15" w:firstLine="645"/>
        <w:jc w:val="left"/>
        <w:rPr>
          <w:rFonts w:ascii="仿宋_GB2312" w:hAnsi="仿宋" w:eastAsia="仿宋_GB2312" w:cs="Arial"/>
          <w:color w:val="auto"/>
          <w:kern w:val="0"/>
          <w:sz w:val="32"/>
          <w:szCs w:val="32"/>
        </w:rPr>
      </w:pPr>
      <w:r>
        <w:rPr>
          <w:rFonts w:hint="eastAsia" w:ascii="仿宋_GB2312" w:hAnsi="仿宋" w:eastAsia="仿宋_GB2312" w:cs="Arial"/>
          <w:b/>
          <w:color w:val="auto"/>
          <w:kern w:val="0"/>
          <w:sz w:val="32"/>
          <w:szCs w:val="32"/>
        </w:rPr>
        <w:drawing>
          <wp:anchor distT="0" distB="0" distL="114300" distR="114300" simplePos="0" relativeHeight="251660288" behindDoc="0" locked="0" layoutInCell="1" allowOverlap="1">
            <wp:simplePos x="0" y="0"/>
            <wp:positionH relativeFrom="column">
              <wp:posOffset>-152400</wp:posOffset>
            </wp:positionH>
            <wp:positionV relativeFrom="paragraph">
              <wp:posOffset>1212850</wp:posOffset>
            </wp:positionV>
            <wp:extent cx="5762625" cy="4448175"/>
            <wp:effectExtent l="19050" t="0" r="9525" b="0"/>
            <wp:wrapNone/>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noChangeArrowheads="1"/>
                    </pic:cNvPicPr>
                  </pic:nvPicPr>
                  <pic:blipFill>
                    <a:blip r:embed="rId7" cstate="print"/>
                    <a:srcRect/>
                    <a:stretch>
                      <a:fillRect/>
                    </a:stretch>
                  </pic:blipFill>
                  <pic:spPr>
                    <a:xfrm>
                      <a:off x="0" y="0"/>
                      <a:ext cx="5762625" cy="4448175"/>
                    </a:xfrm>
                    <a:prstGeom prst="rect">
                      <a:avLst/>
                    </a:prstGeom>
                    <a:noFill/>
                    <a:ln w="9525">
                      <a:noFill/>
                      <a:miter lim="800000"/>
                      <a:headEnd/>
                      <a:tailEnd/>
                    </a:ln>
                  </pic:spPr>
                </pic:pic>
              </a:graphicData>
            </a:graphic>
          </wp:anchor>
        </w:drawing>
      </w:r>
      <w:r>
        <w:rPr>
          <w:rFonts w:hint="eastAsia" w:ascii="仿宋_GB2312" w:hAnsi="仿宋" w:eastAsia="仿宋_GB2312" w:cs="Arial"/>
          <w:b/>
          <w:color w:val="auto"/>
          <w:kern w:val="0"/>
          <w:sz w:val="32"/>
          <w:szCs w:val="32"/>
        </w:rPr>
        <w:t>3、推进行政权力运行公开。</w:t>
      </w:r>
      <w:r>
        <w:rPr>
          <w:rFonts w:hint="eastAsia" w:ascii="仿宋_GB2312" w:hAnsi="仿宋" w:eastAsia="仿宋_GB2312" w:cs="Arial"/>
          <w:color w:val="auto"/>
          <w:kern w:val="0"/>
          <w:sz w:val="32"/>
          <w:szCs w:val="32"/>
        </w:rPr>
        <w:t>及时公开权责清单、行政执法信息。公开行政执法服务指南、年报，公布行政执法流程图，及时公示行政执法结果信息。</w:t>
      </w:r>
    </w:p>
    <w:p>
      <w:pPr>
        <w:widowControl/>
        <w:spacing w:after="100" w:afterAutospacing="1" w:line="315" w:lineRule="atLeast"/>
        <w:ind w:left="-15" w:firstLine="645"/>
        <w:jc w:val="left"/>
        <w:rPr>
          <w:rFonts w:ascii="仿宋_GB2312" w:hAnsi="仿宋" w:eastAsia="仿宋_GB2312" w:cs="Arial"/>
          <w:color w:val="auto"/>
          <w:kern w:val="0"/>
          <w:sz w:val="32"/>
          <w:szCs w:val="32"/>
        </w:rPr>
      </w:pPr>
    </w:p>
    <w:p>
      <w:pPr>
        <w:widowControl/>
        <w:spacing w:after="100" w:afterAutospacing="1" w:line="315" w:lineRule="atLeast"/>
        <w:ind w:left="-15" w:firstLine="645"/>
        <w:jc w:val="left"/>
        <w:rPr>
          <w:rFonts w:ascii="仿宋_GB2312" w:hAnsi="Arial" w:eastAsia="仿宋_GB2312" w:cs="Arial"/>
          <w:color w:val="auto"/>
          <w:kern w:val="0"/>
          <w:sz w:val="24"/>
          <w:szCs w:val="24"/>
        </w:rPr>
      </w:pPr>
    </w:p>
    <w:p>
      <w:pPr>
        <w:widowControl/>
        <w:spacing w:before="100" w:beforeAutospacing="1" w:after="100" w:afterAutospacing="1" w:line="360" w:lineRule="atLeast"/>
        <w:jc w:val="center"/>
        <w:rPr>
          <w:rFonts w:ascii="Arial" w:hAnsi="Arial" w:eastAsia="宋体" w:cs="Arial"/>
          <w:color w:val="auto"/>
          <w:kern w:val="0"/>
          <w:sz w:val="24"/>
          <w:szCs w:val="24"/>
        </w:rPr>
      </w:pPr>
    </w:p>
    <w:p>
      <w:pPr>
        <w:widowControl/>
        <w:spacing w:before="100" w:beforeAutospacing="1" w:after="100" w:afterAutospacing="1" w:line="360" w:lineRule="atLeast"/>
        <w:jc w:val="center"/>
        <w:rPr>
          <w:rFonts w:ascii="Arial" w:hAnsi="Arial" w:eastAsia="宋体" w:cs="Arial"/>
          <w:color w:val="auto"/>
          <w:kern w:val="0"/>
          <w:sz w:val="24"/>
          <w:szCs w:val="24"/>
        </w:rPr>
      </w:pPr>
    </w:p>
    <w:p>
      <w:pPr>
        <w:widowControl/>
        <w:spacing w:before="100" w:beforeAutospacing="1" w:after="100" w:afterAutospacing="1" w:line="360" w:lineRule="atLeast"/>
        <w:jc w:val="center"/>
        <w:rPr>
          <w:rFonts w:ascii="Arial" w:hAnsi="Arial" w:eastAsia="宋体" w:cs="Arial"/>
          <w:color w:val="auto"/>
          <w:kern w:val="0"/>
          <w:sz w:val="24"/>
          <w:szCs w:val="24"/>
        </w:rPr>
      </w:pPr>
    </w:p>
    <w:p>
      <w:pPr>
        <w:widowControl/>
        <w:spacing w:before="100" w:beforeAutospacing="1" w:after="100" w:afterAutospacing="1" w:line="360" w:lineRule="atLeast"/>
        <w:jc w:val="center"/>
        <w:rPr>
          <w:rFonts w:ascii="Arial" w:hAnsi="Arial" w:eastAsia="宋体" w:cs="Arial"/>
          <w:color w:val="auto"/>
          <w:kern w:val="0"/>
          <w:sz w:val="24"/>
          <w:szCs w:val="24"/>
        </w:rPr>
      </w:pPr>
    </w:p>
    <w:p>
      <w:pPr>
        <w:widowControl/>
        <w:spacing w:before="100" w:beforeAutospacing="1" w:after="100" w:afterAutospacing="1" w:line="360" w:lineRule="atLeast"/>
        <w:jc w:val="center"/>
        <w:rPr>
          <w:rFonts w:ascii="Arial" w:hAnsi="Arial" w:eastAsia="宋体" w:cs="Arial"/>
          <w:color w:val="auto"/>
          <w:kern w:val="0"/>
          <w:sz w:val="24"/>
          <w:szCs w:val="24"/>
        </w:rPr>
      </w:pPr>
    </w:p>
    <w:p>
      <w:pPr>
        <w:widowControl/>
        <w:spacing w:before="100" w:beforeAutospacing="1" w:after="100" w:afterAutospacing="1" w:line="360" w:lineRule="atLeast"/>
        <w:jc w:val="center"/>
        <w:rPr>
          <w:rFonts w:ascii="Arial" w:hAnsi="Arial" w:eastAsia="宋体" w:cs="Arial"/>
          <w:color w:val="auto"/>
          <w:kern w:val="0"/>
          <w:sz w:val="24"/>
          <w:szCs w:val="24"/>
        </w:rPr>
      </w:pPr>
    </w:p>
    <w:p>
      <w:pPr>
        <w:widowControl/>
        <w:spacing w:before="100" w:beforeAutospacing="1" w:after="100" w:afterAutospacing="1" w:line="360" w:lineRule="atLeast"/>
        <w:jc w:val="center"/>
        <w:rPr>
          <w:rFonts w:ascii="Arial" w:hAnsi="Arial" w:eastAsia="宋体" w:cs="Arial"/>
          <w:color w:val="auto"/>
          <w:kern w:val="0"/>
          <w:sz w:val="24"/>
          <w:szCs w:val="24"/>
        </w:rPr>
      </w:pPr>
    </w:p>
    <w:p>
      <w:pPr>
        <w:widowControl/>
        <w:spacing w:before="100" w:beforeAutospacing="1" w:after="100" w:afterAutospacing="1" w:line="360" w:lineRule="atLeast"/>
        <w:jc w:val="center"/>
        <w:rPr>
          <w:rFonts w:ascii="Arial" w:hAnsi="Arial" w:eastAsia="宋体" w:cs="Arial"/>
          <w:color w:val="auto"/>
          <w:kern w:val="0"/>
          <w:sz w:val="24"/>
          <w:szCs w:val="24"/>
        </w:rPr>
      </w:pPr>
    </w:p>
    <w:p>
      <w:pPr>
        <w:widowControl/>
        <w:spacing w:before="100" w:beforeAutospacing="1" w:after="100" w:afterAutospacing="1" w:line="360" w:lineRule="atLeast"/>
        <w:ind w:firstLine="643" w:firstLineChars="200"/>
        <w:jc w:val="left"/>
        <w:rPr>
          <w:rFonts w:ascii="仿宋_GB2312" w:hAnsi="Arial" w:eastAsia="仿宋_GB2312" w:cs="Arial"/>
          <w:color w:val="auto"/>
          <w:kern w:val="0"/>
          <w:sz w:val="32"/>
          <w:szCs w:val="32"/>
        </w:rPr>
      </w:pPr>
      <w:r>
        <w:rPr>
          <w:rFonts w:hint="eastAsia" w:ascii="仿宋_GB2312" w:hAnsi="Arial" w:eastAsia="仿宋_GB2312" w:cs="Arial"/>
          <w:b/>
          <w:color w:val="auto"/>
          <w:kern w:val="0"/>
          <w:sz w:val="32"/>
          <w:szCs w:val="32"/>
        </w:rPr>
        <w:drawing>
          <wp:anchor distT="0" distB="0" distL="114300" distR="114300" simplePos="0" relativeHeight="251661312" behindDoc="0" locked="0" layoutInCell="1" allowOverlap="1">
            <wp:simplePos x="0" y="0"/>
            <wp:positionH relativeFrom="column">
              <wp:posOffset>-151765</wp:posOffset>
            </wp:positionH>
            <wp:positionV relativeFrom="paragraph">
              <wp:posOffset>796290</wp:posOffset>
            </wp:positionV>
            <wp:extent cx="5848350" cy="2790825"/>
            <wp:effectExtent l="19050" t="0" r="0" b="0"/>
            <wp:wrapNone/>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noChangeArrowheads="1"/>
                    </pic:cNvPicPr>
                  </pic:nvPicPr>
                  <pic:blipFill>
                    <a:blip r:embed="rId8" cstate="print"/>
                    <a:srcRect/>
                    <a:stretch>
                      <a:fillRect/>
                    </a:stretch>
                  </pic:blipFill>
                  <pic:spPr>
                    <a:xfrm>
                      <a:off x="0" y="0"/>
                      <a:ext cx="5848350" cy="2790825"/>
                    </a:xfrm>
                    <a:prstGeom prst="rect">
                      <a:avLst/>
                    </a:prstGeom>
                    <a:noFill/>
                    <a:ln w="9525">
                      <a:noFill/>
                      <a:miter lim="800000"/>
                      <a:headEnd/>
                      <a:tailEnd/>
                    </a:ln>
                  </pic:spPr>
                </pic:pic>
              </a:graphicData>
            </a:graphic>
          </wp:anchor>
        </w:drawing>
      </w:r>
      <w:r>
        <w:rPr>
          <w:rFonts w:hint="eastAsia" w:ascii="仿宋_GB2312" w:hAnsi="Arial" w:eastAsia="仿宋_GB2312" w:cs="Arial"/>
          <w:b/>
          <w:color w:val="auto"/>
          <w:kern w:val="0"/>
          <w:sz w:val="32"/>
          <w:szCs w:val="32"/>
        </w:rPr>
        <w:t>4、加强重点领域信息公开。</w:t>
      </w:r>
      <w:r>
        <w:rPr>
          <w:rFonts w:hint="eastAsia" w:ascii="仿宋_GB2312" w:hAnsi="Arial" w:eastAsia="仿宋_GB2312" w:cs="Arial"/>
          <w:color w:val="auto"/>
          <w:kern w:val="0"/>
          <w:sz w:val="32"/>
          <w:szCs w:val="32"/>
        </w:rPr>
        <w:t>及时更新气象预警信息和人影信息发布，2020年共发布预警和人影信息64条。</w:t>
      </w:r>
    </w:p>
    <w:p>
      <w:pPr>
        <w:widowControl/>
        <w:spacing w:before="100" w:beforeAutospacing="1" w:after="100" w:afterAutospacing="1" w:line="360" w:lineRule="atLeast"/>
        <w:ind w:firstLine="640" w:firstLineChars="200"/>
        <w:jc w:val="left"/>
        <w:rPr>
          <w:rFonts w:ascii="仿宋_GB2312" w:hAnsi="Arial" w:eastAsia="仿宋_GB2312" w:cs="Arial"/>
          <w:color w:val="auto"/>
          <w:kern w:val="0"/>
          <w:sz w:val="32"/>
          <w:szCs w:val="32"/>
        </w:rPr>
      </w:pPr>
    </w:p>
    <w:p>
      <w:pPr>
        <w:widowControl/>
        <w:spacing w:before="100" w:beforeAutospacing="1" w:after="100" w:afterAutospacing="1" w:line="360" w:lineRule="atLeast"/>
        <w:ind w:firstLine="640" w:firstLineChars="200"/>
        <w:jc w:val="left"/>
        <w:rPr>
          <w:rFonts w:ascii="仿宋_GB2312" w:hAnsi="Arial" w:eastAsia="仿宋_GB2312" w:cs="Arial"/>
          <w:color w:val="auto"/>
          <w:kern w:val="0"/>
          <w:sz w:val="32"/>
          <w:szCs w:val="32"/>
        </w:rPr>
      </w:pPr>
    </w:p>
    <w:p>
      <w:pPr>
        <w:widowControl/>
        <w:spacing w:before="100" w:beforeAutospacing="1" w:after="100" w:afterAutospacing="1" w:line="360" w:lineRule="atLeast"/>
        <w:ind w:firstLine="640" w:firstLineChars="200"/>
        <w:jc w:val="left"/>
        <w:rPr>
          <w:rFonts w:ascii="仿宋_GB2312" w:hAnsi="Arial" w:eastAsia="仿宋_GB2312" w:cs="Arial"/>
          <w:color w:val="auto"/>
          <w:kern w:val="0"/>
          <w:sz w:val="32"/>
          <w:szCs w:val="32"/>
        </w:rPr>
      </w:pPr>
    </w:p>
    <w:p>
      <w:pPr>
        <w:widowControl/>
        <w:spacing w:before="100" w:beforeAutospacing="1" w:after="100" w:afterAutospacing="1" w:line="360" w:lineRule="atLeast"/>
        <w:ind w:firstLine="640" w:firstLineChars="200"/>
        <w:jc w:val="left"/>
        <w:rPr>
          <w:rFonts w:ascii="仿宋_GB2312" w:hAnsi="Arial" w:eastAsia="仿宋_GB2312" w:cs="Arial"/>
          <w:color w:val="auto"/>
          <w:kern w:val="0"/>
          <w:sz w:val="32"/>
          <w:szCs w:val="32"/>
        </w:rPr>
      </w:pPr>
    </w:p>
    <w:p>
      <w:pPr>
        <w:widowControl/>
        <w:spacing w:before="100" w:beforeAutospacing="1" w:after="100" w:afterAutospacing="1" w:line="360" w:lineRule="atLeast"/>
        <w:ind w:firstLine="640" w:firstLineChars="200"/>
        <w:jc w:val="left"/>
        <w:rPr>
          <w:rFonts w:ascii="仿宋_GB2312" w:hAnsi="Arial" w:eastAsia="仿宋_GB2312" w:cs="Arial"/>
          <w:color w:val="auto"/>
          <w:kern w:val="0"/>
          <w:sz w:val="32"/>
          <w:szCs w:val="32"/>
        </w:rPr>
      </w:pPr>
      <w:r>
        <w:rPr>
          <w:rFonts w:hint="eastAsia" w:ascii="仿宋_GB2312" w:hAnsi="Arial" w:eastAsia="仿宋_GB2312" w:cs="Arial"/>
          <w:color w:val="auto"/>
          <w:kern w:val="0"/>
          <w:sz w:val="32"/>
          <w:szCs w:val="32"/>
        </w:rPr>
        <w:drawing>
          <wp:anchor distT="0" distB="0" distL="114300" distR="114300" simplePos="0" relativeHeight="251662336" behindDoc="0" locked="0" layoutInCell="1" allowOverlap="1">
            <wp:simplePos x="0" y="0"/>
            <wp:positionH relativeFrom="column">
              <wp:posOffset>-200025</wp:posOffset>
            </wp:positionH>
            <wp:positionV relativeFrom="paragraph">
              <wp:posOffset>-47625</wp:posOffset>
            </wp:positionV>
            <wp:extent cx="5895975" cy="2190750"/>
            <wp:effectExtent l="19050" t="0" r="9525" b="0"/>
            <wp:wrapNone/>
            <wp:docPr id="6"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8"/>
                    <pic:cNvPicPr>
                      <a:picLocks noChangeAspect="1" noChangeArrowheads="1"/>
                    </pic:cNvPicPr>
                  </pic:nvPicPr>
                  <pic:blipFill>
                    <a:blip r:embed="rId9" cstate="print"/>
                    <a:srcRect/>
                    <a:stretch>
                      <a:fillRect/>
                    </a:stretch>
                  </pic:blipFill>
                  <pic:spPr>
                    <a:xfrm>
                      <a:off x="0" y="0"/>
                      <a:ext cx="5895975" cy="2190750"/>
                    </a:xfrm>
                    <a:prstGeom prst="rect">
                      <a:avLst/>
                    </a:prstGeom>
                    <a:noFill/>
                    <a:ln w="9525">
                      <a:noFill/>
                      <a:miter lim="800000"/>
                      <a:headEnd/>
                      <a:tailEnd/>
                    </a:ln>
                  </pic:spPr>
                </pic:pic>
              </a:graphicData>
            </a:graphic>
          </wp:anchor>
        </w:drawing>
      </w:r>
    </w:p>
    <w:p>
      <w:pPr>
        <w:widowControl/>
        <w:spacing w:before="100" w:beforeAutospacing="1" w:after="100" w:afterAutospacing="1" w:line="360" w:lineRule="atLeast"/>
        <w:ind w:firstLine="640" w:firstLineChars="200"/>
        <w:jc w:val="left"/>
        <w:rPr>
          <w:rFonts w:ascii="仿宋_GB2312" w:hAnsi="Arial" w:eastAsia="仿宋_GB2312" w:cs="Arial"/>
          <w:color w:val="auto"/>
          <w:kern w:val="0"/>
          <w:sz w:val="32"/>
          <w:szCs w:val="32"/>
        </w:rPr>
      </w:pPr>
    </w:p>
    <w:p>
      <w:pPr>
        <w:widowControl/>
        <w:spacing w:before="100" w:beforeAutospacing="1" w:after="100" w:afterAutospacing="1" w:line="360" w:lineRule="atLeast"/>
        <w:jc w:val="center"/>
        <w:rPr>
          <w:rFonts w:ascii="Arial" w:hAnsi="Arial" w:eastAsia="宋体" w:cs="Arial"/>
          <w:color w:val="auto"/>
          <w:kern w:val="0"/>
          <w:sz w:val="24"/>
          <w:szCs w:val="24"/>
        </w:rPr>
      </w:pPr>
    </w:p>
    <w:p>
      <w:pPr>
        <w:pStyle w:val="8"/>
        <w:rPr>
          <w:color w:val="auto"/>
          <w:kern w:val="0"/>
        </w:rPr>
      </w:pPr>
    </w:p>
    <w:p>
      <w:pPr>
        <w:pStyle w:val="8"/>
        <w:rPr>
          <w:rFonts w:hint="eastAsia" w:ascii="楷体_GB2312" w:eastAsia="楷体_GB2312"/>
          <w:color w:val="auto"/>
          <w:kern w:val="0"/>
          <w:sz w:val="32"/>
          <w:szCs w:val="32"/>
        </w:rPr>
      </w:pPr>
    </w:p>
    <w:p>
      <w:pPr>
        <w:pStyle w:val="8"/>
        <w:ind w:left="637" w:leftChars="200" w:hanging="217" w:hangingChars="68"/>
        <w:rPr>
          <w:rFonts w:ascii="仿宋_GB2312" w:eastAsia="仿宋_GB2312"/>
          <w:color w:val="auto"/>
          <w:kern w:val="0"/>
          <w:sz w:val="32"/>
          <w:szCs w:val="32"/>
        </w:rPr>
      </w:pPr>
      <w:r>
        <w:rPr>
          <w:rFonts w:hint="eastAsia" w:ascii="楷体_GB2312" w:eastAsia="楷体_GB2312"/>
          <w:color w:val="auto"/>
          <w:kern w:val="0"/>
          <w:sz w:val="32"/>
          <w:szCs w:val="32"/>
        </w:rPr>
        <w:t>（二）政府信息依申请公开情况</w:t>
      </w:r>
      <w:r>
        <w:rPr>
          <w:rFonts w:hint="eastAsia" w:ascii="楷体_GB2312" w:eastAsia="楷体_GB2312"/>
          <w:color w:val="auto"/>
          <w:kern w:val="0"/>
          <w:sz w:val="32"/>
          <w:szCs w:val="32"/>
        </w:rPr>
        <w:br w:type="textWrapping"/>
      </w:r>
      <w:r>
        <w:rPr>
          <w:rFonts w:hint="eastAsia" w:ascii="仿宋_GB2312" w:eastAsia="仿宋_GB2312"/>
          <w:color w:val="auto"/>
          <w:kern w:val="0"/>
          <w:sz w:val="32"/>
          <w:szCs w:val="32"/>
        </w:rPr>
        <w:t>2020年，市气象局未受理政府信息公开申请。</w:t>
      </w:r>
    </w:p>
    <w:p>
      <w:pPr>
        <w:pStyle w:val="8"/>
        <w:ind w:left="580" w:leftChars="200" w:hanging="160" w:hangingChars="50"/>
        <w:rPr>
          <w:rFonts w:ascii="仿宋_GB2312" w:eastAsia="仿宋_GB2312"/>
          <w:color w:val="auto"/>
          <w:kern w:val="0"/>
          <w:sz w:val="32"/>
          <w:szCs w:val="32"/>
        </w:rPr>
      </w:pPr>
      <w:r>
        <w:rPr>
          <w:rFonts w:hint="eastAsia" w:ascii="楷体_GB2312" w:eastAsia="楷体_GB2312"/>
          <w:color w:val="auto"/>
          <w:kern w:val="0"/>
          <w:sz w:val="32"/>
          <w:szCs w:val="32"/>
        </w:rPr>
        <w:t>（三）建议提案办理公开情况</w:t>
      </w:r>
      <w:r>
        <w:rPr>
          <w:rFonts w:hint="eastAsia" w:ascii="楷体_GB2312" w:eastAsia="楷体_GB2312"/>
          <w:color w:val="auto"/>
          <w:kern w:val="0"/>
          <w:sz w:val="32"/>
          <w:szCs w:val="32"/>
        </w:rPr>
        <w:br w:type="textWrapping"/>
      </w:r>
      <w:r>
        <w:rPr>
          <w:rFonts w:hint="eastAsia" w:ascii="仿宋_GB2312" w:eastAsia="仿宋_GB2312"/>
          <w:color w:val="auto"/>
          <w:kern w:val="0"/>
          <w:sz w:val="32"/>
          <w:szCs w:val="32"/>
        </w:rPr>
        <w:t>2020年，市气象局未办理人大建议和政协提案。</w:t>
      </w:r>
    </w:p>
    <w:p>
      <w:pPr>
        <w:pStyle w:val="8"/>
        <w:ind w:firstLine="480" w:firstLineChars="150"/>
        <w:rPr>
          <w:rStyle w:val="7"/>
          <w:rFonts w:ascii="楷体_GB2312" w:eastAsia="楷体_GB2312"/>
          <w:i w:val="0"/>
          <w:iCs w:val="0"/>
          <w:color w:val="auto"/>
          <w:sz w:val="32"/>
          <w:szCs w:val="32"/>
        </w:rPr>
      </w:pPr>
      <w:r>
        <w:rPr>
          <w:rStyle w:val="7"/>
          <w:rFonts w:hint="eastAsia" w:ascii="楷体_GB2312" w:eastAsia="楷体_GB2312"/>
          <w:i w:val="0"/>
          <w:iCs w:val="0"/>
          <w:color w:val="auto"/>
          <w:sz w:val="32"/>
          <w:szCs w:val="32"/>
        </w:rPr>
        <w:t>（四）政府信息管理情况</w:t>
      </w:r>
    </w:p>
    <w:p>
      <w:pPr>
        <w:pStyle w:val="8"/>
        <w:ind w:firstLine="640" w:firstLineChars="200"/>
        <w:rPr>
          <w:rStyle w:val="7"/>
          <w:rFonts w:ascii="仿宋_GB2312" w:eastAsia="仿宋_GB2312"/>
          <w:i w:val="0"/>
          <w:iCs w:val="0"/>
          <w:color w:val="auto"/>
          <w:sz w:val="32"/>
          <w:szCs w:val="32"/>
        </w:rPr>
      </w:pPr>
      <w:r>
        <w:rPr>
          <w:rStyle w:val="7"/>
          <w:rFonts w:hint="eastAsia" w:ascii="仿宋_GB2312" w:eastAsia="仿宋_GB2312"/>
          <w:i w:val="0"/>
          <w:iCs w:val="0"/>
          <w:color w:val="auto"/>
          <w:sz w:val="32"/>
          <w:szCs w:val="32"/>
        </w:rPr>
        <w:t>2020年，市气象局认真全面梳理了政府信息公开目录，搜集整理各类政府公开信息，确定政府信息公开目录并按照要求及时公开。同时严格遵循“谁公开、谁审查、谁负责”原则，严格执行保密审查制度，扎实做好政府信息公开工作。</w:t>
      </w:r>
    </w:p>
    <w:p>
      <w:pPr>
        <w:pStyle w:val="8"/>
        <w:ind w:firstLine="480" w:firstLineChars="150"/>
        <w:rPr>
          <w:rFonts w:ascii="仿宋_GB2312" w:eastAsia="仿宋_GB2312"/>
          <w:color w:val="auto"/>
          <w:kern w:val="0"/>
          <w:sz w:val="32"/>
          <w:szCs w:val="32"/>
        </w:rPr>
      </w:pPr>
      <w:r>
        <w:rPr>
          <w:rFonts w:hint="eastAsia" w:ascii="楷体_GB2312" w:eastAsia="楷体_GB2312"/>
          <w:color w:val="auto"/>
          <w:kern w:val="0"/>
          <w:sz w:val="32"/>
          <w:szCs w:val="32"/>
        </w:rPr>
        <w:t>（五）政府信息平台建设情况</w:t>
      </w:r>
      <w:r>
        <w:rPr>
          <w:rFonts w:hint="eastAsia" w:ascii="楷体_GB2312" w:eastAsia="楷体_GB2312"/>
          <w:color w:val="auto"/>
          <w:kern w:val="0"/>
          <w:sz w:val="32"/>
          <w:szCs w:val="32"/>
        </w:rPr>
        <w:br w:type="textWrapping"/>
      </w:r>
      <w:r>
        <w:rPr>
          <w:rFonts w:hint="eastAsia" w:ascii="仿宋_GB2312" w:eastAsia="仿宋_GB2312"/>
          <w:color w:val="auto"/>
          <w:kern w:val="0"/>
          <w:sz w:val="32"/>
          <w:szCs w:val="32"/>
        </w:rPr>
        <w:t xml:space="preserve">    结合气象工作实际，不断完善政府信息公开制度，确定政府信息公开职责、范围、方式和操作流程，将政府信息公开的内容和时效性作为该项工作的核心，明确专人负责政府信息的编辑、审核、发布等。</w:t>
      </w:r>
      <w:r>
        <w:rPr>
          <w:rFonts w:hint="eastAsia" w:ascii="仿宋_GB2312" w:eastAsia="仿宋_GB2312"/>
          <w:color w:val="auto"/>
          <w:kern w:val="0"/>
          <w:sz w:val="32"/>
          <w:szCs w:val="32"/>
        </w:rPr>
        <w:br w:type="textWrapping"/>
      </w:r>
      <w:r>
        <w:rPr>
          <w:rFonts w:hint="eastAsia" w:ascii="仿宋_GB2312" w:eastAsia="仿宋_GB2312"/>
          <w:color w:val="auto"/>
          <w:kern w:val="0"/>
          <w:sz w:val="32"/>
          <w:szCs w:val="32"/>
        </w:rPr>
        <w:t xml:space="preserve"> </w:t>
      </w:r>
      <w:r>
        <w:rPr>
          <w:rFonts w:hint="eastAsia" w:ascii="楷体_GB2312" w:eastAsia="楷体_GB2312"/>
          <w:color w:val="auto"/>
          <w:kern w:val="0"/>
          <w:sz w:val="32"/>
          <w:szCs w:val="32"/>
        </w:rPr>
        <w:t xml:space="preserve">   （六）监督保障情况</w:t>
      </w:r>
      <w:r>
        <w:rPr>
          <w:rFonts w:hint="eastAsia" w:ascii="楷体_GB2312" w:eastAsia="楷体_GB2312"/>
          <w:color w:val="auto"/>
          <w:kern w:val="0"/>
          <w:sz w:val="32"/>
          <w:szCs w:val="32"/>
        </w:rPr>
        <w:br w:type="textWrapping"/>
      </w:r>
      <w:r>
        <w:rPr>
          <w:rFonts w:hint="eastAsia" w:ascii="仿宋_GB2312" w:eastAsia="仿宋_GB2312"/>
          <w:color w:val="auto"/>
          <w:kern w:val="0"/>
          <w:sz w:val="32"/>
          <w:szCs w:val="32"/>
        </w:rPr>
        <w:t xml:space="preserve">    根据市政府政府信息公开工作的安排部署，市气象局成立了政府信息公开领导小组，</w:t>
      </w:r>
      <w:r>
        <w:rPr>
          <w:rFonts w:hint="eastAsia" w:ascii="仿宋_GB2312" w:hAnsi="Arial" w:eastAsia="仿宋_GB2312"/>
          <w:color w:val="auto"/>
          <w:sz w:val="32"/>
          <w:szCs w:val="32"/>
        </w:rPr>
        <w:t>局长为信息公开第一责任人，副局长具体分管，办公室牵头，专人负责。同时，建立了《滕州市气象局政府信息公开制度》，要求相关工作人员要严守制度要求，确保信息的发布及时、准确。</w:t>
      </w:r>
      <w:r>
        <w:rPr>
          <w:rFonts w:hint="eastAsia" w:ascii="仿宋_GB2312" w:hAnsi="Arial" w:eastAsia="仿宋_GB2312"/>
          <w:color w:val="auto"/>
          <w:sz w:val="32"/>
          <w:szCs w:val="32"/>
        </w:rPr>
        <w:br w:type="textWrapping"/>
      </w:r>
      <w:r>
        <w:rPr>
          <w:rFonts w:hint="eastAsia" w:ascii="仿宋_GB2312" w:hAnsi="Arial" w:eastAsia="仿宋_GB2312"/>
          <w:color w:val="auto"/>
          <w:sz w:val="32"/>
          <w:szCs w:val="32"/>
        </w:rPr>
        <w:t xml:space="preserve">    2020年，市气象局未发生因政府信息公开审查不当或保密审查机构未履行保密审查职责而引起的失泄密情况。2020年度未进行社会评议，未发生责任追究情况。</w:t>
      </w:r>
    </w:p>
    <w:p>
      <w:pPr>
        <w:widowControl/>
        <w:tabs>
          <w:tab w:val="left" w:pos="6540"/>
        </w:tabs>
        <w:spacing w:before="100" w:beforeAutospacing="1" w:after="100" w:afterAutospacing="1" w:line="360" w:lineRule="atLeast"/>
        <w:ind w:firstLine="645"/>
        <w:jc w:val="left"/>
        <w:rPr>
          <w:rFonts w:ascii="黑体" w:hAnsi="黑体" w:eastAsia="黑体" w:cs="Arial"/>
          <w:color w:val="auto"/>
          <w:kern w:val="0"/>
          <w:sz w:val="32"/>
          <w:szCs w:val="32"/>
        </w:rPr>
      </w:pPr>
      <w:r>
        <w:rPr>
          <w:rFonts w:hint="eastAsia" w:ascii="黑体" w:hAnsi="黑体" w:eastAsia="黑体" w:cs="Arial"/>
          <w:color w:val="auto"/>
          <w:kern w:val="0"/>
          <w:sz w:val="32"/>
          <w:szCs w:val="32"/>
        </w:rPr>
        <w:t>二、主动公开政府信息情况</w:t>
      </w:r>
      <w:r>
        <w:rPr>
          <w:rFonts w:ascii="黑体" w:hAnsi="黑体" w:eastAsia="黑体" w:cs="Arial"/>
          <w:color w:val="auto"/>
          <w:kern w:val="0"/>
          <w:sz w:val="32"/>
          <w:szCs w:val="32"/>
        </w:rPr>
        <w:tab/>
      </w:r>
    </w:p>
    <w:tbl>
      <w:tblPr>
        <w:tblStyle w:val="5"/>
        <w:tblW w:w="8140" w:type="dxa"/>
        <w:jc w:val="center"/>
        <w:tblLayout w:type="autofit"/>
        <w:tblCellMar>
          <w:top w:w="0" w:type="dxa"/>
          <w:left w:w="0" w:type="dxa"/>
          <w:bottom w:w="0" w:type="dxa"/>
          <w:right w:w="0" w:type="dxa"/>
        </w:tblCellMar>
      </w:tblPr>
      <w:tblGrid>
        <w:gridCol w:w="3113"/>
        <w:gridCol w:w="1875"/>
        <w:gridCol w:w="6"/>
        <w:gridCol w:w="1265"/>
        <w:gridCol w:w="1881"/>
      </w:tblGrid>
      <w:tr>
        <w:tblPrEx>
          <w:tblCellMar>
            <w:top w:w="0" w:type="dxa"/>
            <w:left w:w="0" w:type="dxa"/>
            <w:bottom w:w="0" w:type="dxa"/>
            <w:right w:w="0" w:type="dxa"/>
          </w:tblCellMar>
        </w:tblPrEx>
        <w:trPr>
          <w:trHeight w:val="495" w:hRule="atLeast"/>
          <w:jc w:val="center"/>
        </w:trPr>
        <w:tc>
          <w:tcPr>
            <w:tcW w:w="8140" w:type="dxa"/>
            <w:gridSpan w:val="5"/>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第二十条第（一）项</w:t>
            </w:r>
          </w:p>
        </w:tc>
      </w:tr>
      <w:tr>
        <w:tblPrEx>
          <w:tblCellMar>
            <w:top w:w="0" w:type="dxa"/>
            <w:left w:w="0" w:type="dxa"/>
            <w:bottom w:w="0" w:type="dxa"/>
            <w:right w:w="0" w:type="dxa"/>
          </w:tblCellMar>
        </w:tblPrEx>
        <w:trPr>
          <w:trHeight w:val="882"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本年新</w:t>
            </w:r>
            <w:r>
              <w:rPr>
                <w:rFonts w:hint="eastAsia" w:ascii="宋体" w:hAnsi="宋体" w:eastAsia="宋体" w:cs="宋体"/>
                <w:color w:val="auto"/>
                <w:kern w:val="0"/>
                <w:sz w:val="20"/>
                <w:szCs w:val="20"/>
              </w:rPr>
              <w:br w:type="textWrapping"/>
            </w:r>
            <w:r>
              <w:rPr>
                <w:rFonts w:ascii="宋体" w:hAnsi="宋体" w:eastAsia="宋体" w:cs="宋体"/>
                <w:color w:val="auto"/>
                <w:kern w:val="0"/>
                <w:sz w:val="20"/>
                <w:szCs w:val="20"/>
              </w:rPr>
              <w:t>制作数量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本年新</w:t>
            </w:r>
            <w:r>
              <w:rPr>
                <w:rFonts w:hint="eastAsia" w:ascii="宋体" w:hAnsi="宋体" w:eastAsia="宋体" w:cs="宋体"/>
                <w:color w:val="auto"/>
                <w:kern w:val="0"/>
                <w:sz w:val="20"/>
                <w:szCs w:val="20"/>
              </w:rPr>
              <w:br w:type="textWrapping"/>
            </w:r>
            <w:r>
              <w:rPr>
                <w:rFonts w:ascii="宋体" w:hAnsi="宋体" w:eastAsia="宋体" w:cs="宋体"/>
                <w:color w:val="auto"/>
                <w:kern w:val="0"/>
                <w:sz w:val="20"/>
                <w:szCs w:val="20"/>
              </w:rPr>
              <w:t>公开数量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对外公开总数量</w:t>
            </w:r>
          </w:p>
        </w:tc>
      </w:tr>
      <w:tr>
        <w:tblPrEx>
          <w:tblCellMar>
            <w:top w:w="0" w:type="dxa"/>
            <w:left w:w="0" w:type="dxa"/>
            <w:bottom w:w="0" w:type="dxa"/>
            <w:right w:w="0" w:type="dxa"/>
          </w:tblCellMar>
        </w:tblPrEx>
        <w:trPr>
          <w:trHeight w:val="523"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规章</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0</w:t>
            </w:r>
          </w:p>
        </w:tc>
      </w:tr>
      <w:tr>
        <w:tblPrEx>
          <w:tblCellMar>
            <w:top w:w="0" w:type="dxa"/>
            <w:left w:w="0" w:type="dxa"/>
            <w:bottom w:w="0" w:type="dxa"/>
            <w:right w:w="0" w:type="dxa"/>
          </w:tblCellMar>
        </w:tblPrEx>
        <w:trPr>
          <w:trHeight w:val="47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规范性文件</w:t>
            </w:r>
          </w:p>
        </w:tc>
        <w:tc>
          <w:tcPr>
            <w:tcW w:w="187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0</w:t>
            </w:r>
          </w:p>
        </w:tc>
        <w:tc>
          <w:tcPr>
            <w:tcW w:w="1271"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0</w:t>
            </w:r>
          </w:p>
        </w:tc>
      </w:tr>
      <w:tr>
        <w:tblPrEx>
          <w:tblCellMar>
            <w:top w:w="0" w:type="dxa"/>
            <w:left w:w="0" w:type="dxa"/>
            <w:bottom w:w="0" w:type="dxa"/>
            <w:right w:w="0" w:type="dxa"/>
          </w:tblCellMar>
        </w:tblPrEx>
        <w:trPr>
          <w:trHeight w:val="480"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第二十条第（五）项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处理决定数量</w:t>
            </w:r>
          </w:p>
        </w:tc>
      </w:tr>
      <w:tr>
        <w:tblPrEx>
          <w:tblCellMar>
            <w:top w:w="0" w:type="dxa"/>
            <w:left w:w="0" w:type="dxa"/>
            <w:bottom w:w="0" w:type="dxa"/>
            <w:right w:w="0" w:type="dxa"/>
          </w:tblCellMar>
        </w:tblPrEx>
        <w:trPr>
          <w:trHeight w:val="528"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行政许可</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3</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2</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5</w:t>
            </w:r>
          </w:p>
        </w:tc>
      </w:tr>
      <w:tr>
        <w:tblPrEx>
          <w:tblCellMar>
            <w:top w:w="0" w:type="dxa"/>
            <w:left w:w="0" w:type="dxa"/>
            <w:bottom w:w="0" w:type="dxa"/>
            <w:right w:w="0" w:type="dxa"/>
          </w:tblCellMar>
        </w:tblPrEx>
        <w:trPr>
          <w:trHeight w:val="55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其他对外管理服务事项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0</w:t>
            </w:r>
          </w:p>
        </w:tc>
      </w:tr>
      <w:tr>
        <w:tblPrEx>
          <w:tblCellMar>
            <w:top w:w="0" w:type="dxa"/>
            <w:left w:w="0" w:type="dxa"/>
            <w:bottom w:w="0" w:type="dxa"/>
            <w:right w:w="0" w:type="dxa"/>
          </w:tblCellMar>
        </w:tblPrEx>
        <w:trPr>
          <w:trHeight w:val="40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第二十条第（六）项</w:t>
            </w:r>
          </w:p>
        </w:tc>
      </w:tr>
      <w:tr>
        <w:tblPrEx>
          <w:tblCellMar>
            <w:top w:w="0" w:type="dxa"/>
            <w:left w:w="0" w:type="dxa"/>
            <w:bottom w:w="0" w:type="dxa"/>
            <w:right w:w="0" w:type="dxa"/>
          </w:tblCellMar>
        </w:tblPrEx>
        <w:trPr>
          <w:trHeight w:val="634"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信息内容</w:t>
            </w:r>
          </w:p>
        </w:tc>
        <w:tc>
          <w:tcPr>
            <w:tcW w:w="1875"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上一年项目数量</w:t>
            </w:r>
          </w:p>
        </w:tc>
        <w:tc>
          <w:tcPr>
            <w:tcW w:w="1271" w:type="dxa"/>
            <w:gridSpan w:val="2"/>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本年增/减</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处理决定数量</w:t>
            </w:r>
          </w:p>
        </w:tc>
      </w:tr>
      <w:tr>
        <w:tblPrEx>
          <w:tblCellMar>
            <w:top w:w="0" w:type="dxa"/>
            <w:left w:w="0" w:type="dxa"/>
            <w:bottom w:w="0" w:type="dxa"/>
            <w:right w:w="0" w:type="dxa"/>
          </w:tblCellMar>
        </w:tblPrEx>
        <w:trPr>
          <w:trHeight w:val="43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行政处罚</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0</w:t>
            </w:r>
          </w:p>
        </w:tc>
      </w:tr>
      <w:tr>
        <w:trPr>
          <w:trHeight w:val="40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行政强制</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0</w:t>
            </w:r>
          </w:p>
        </w:tc>
        <w:tc>
          <w:tcPr>
            <w:tcW w:w="126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0</w:t>
            </w:r>
          </w:p>
        </w:tc>
        <w:tc>
          <w:tcPr>
            <w:tcW w:w="1881"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0</w:t>
            </w:r>
          </w:p>
        </w:tc>
      </w:tr>
      <w:tr>
        <w:tblPrEx>
          <w:tblCellMar>
            <w:top w:w="0" w:type="dxa"/>
            <w:left w:w="0" w:type="dxa"/>
            <w:bottom w:w="0" w:type="dxa"/>
            <w:right w:w="0" w:type="dxa"/>
          </w:tblCellMar>
        </w:tblPrEx>
        <w:trPr>
          <w:trHeight w:val="474"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第二十条第（八）项</w:t>
            </w:r>
          </w:p>
        </w:tc>
      </w:tr>
      <w:tr>
        <w:tblPrEx>
          <w:tblCellMar>
            <w:top w:w="0" w:type="dxa"/>
            <w:left w:w="0" w:type="dxa"/>
            <w:bottom w:w="0" w:type="dxa"/>
            <w:right w:w="0" w:type="dxa"/>
          </w:tblCellMar>
        </w:tblPrEx>
        <w:trPr>
          <w:trHeight w:val="270"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上一年项目数量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本年增/减</w:t>
            </w:r>
          </w:p>
        </w:tc>
      </w:tr>
      <w:tr>
        <w:tblPrEx>
          <w:tblCellMar>
            <w:top w:w="0" w:type="dxa"/>
            <w:left w:w="0" w:type="dxa"/>
            <w:bottom w:w="0" w:type="dxa"/>
            <w:right w:w="0" w:type="dxa"/>
          </w:tblCellMar>
        </w:tblPrEx>
        <w:trPr>
          <w:trHeight w:val="551"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行政事业性收费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0</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0</w:t>
            </w:r>
          </w:p>
        </w:tc>
      </w:tr>
      <w:tr>
        <w:tblPrEx>
          <w:tblCellMar>
            <w:top w:w="0" w:type="dxa"/>
            <w:left w:w="0" w:type="dxa"/>
            <w:bottom w:w="0" w:type="dxa"/>
            <w:right w:w="0" w:type="dxa"/>
          </w:tblCellMar>
        </w:tblPrEx>
        <w:trPr>
          <w:trHeight w:val="476" w:hRule="atLeast"/>
          <w:jc w:val="center"/>
        </w:trPr>
        <w:tc>
          <w:tcPr>
            <w:tcW w:w="8140" w:type="dxa"/>
            <w:gridSpan w:val="5"/>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第二十条第（九）项</w:t>
            </w:r>
          </w:p>
        </w:tc>
      </w:tr>
      <w:tr>
        <w:tblPrEx>
          <w:tblCellMar>
            <w:top w:w="0" w:type="dxa"/>
            <w:left w:w="0" w:type="dxa"/>
            <w:bottom w:w="0" w:type="dxa"/>
            <w:right w:w="0" w:type="dxa"/>
          </w:tblCellMar>
        </w:tblPrEx>
        <w:trPr>
          <w:trHeight w:val="585"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信息内容</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采购项目数量</w:t>
            </w:r>
          </w:p>
        </w:tc>
        <w:tc>
          <w:tcPr>
            <w:tcW w:w="3146" w:type="dxa"/>
            <w:gridSpan w:val="2"/>
            <w:tcBorders>
              <w:top w:val="single" w:color="auto" w:sz="8" w:space="0"/>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采购总金额</w:t>
            </w:r>
          </w:p>
        </w:tc>
      </w:tr>
      <w:tr>
        <w:tblPrEx>
          <w:tblCellMar>
            <w:top w:w="0" w:type="dxa"/>
            <w:left w:w="0" w:type="dxa"/>
            <w:bottom w:w="0" w:type="dxa"/>
            <w:right w:w="0" w:type="dxa"/>
          </w:tblCellMar>
        </w:tblPrEx>
        <w:trPr>
          <w:trHeight w:val="539" w:hRule="atLeast"/>
          <w:jc w:val="center"/>
        </w:trPr>
        <w:tc>
          <w:tcPr>
            <w:tcW w:w="3113"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政府集中采购</w:t>
            </w:r>
          </w:p>
        </w:tc>
        <w:tc>
          <w:tcPr>
            <w:tcW w:w="1881" w:type="dxa"/>
            <w:gridSpan w:val="2"/>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楷体_GB2312" w:hAnsi="宋体" w:eastAsia="楷体_GB2312" w:cs="宋体"/>
                <w:color w:val="auto"/>
                <w:kern w:val="0"/>
                <w:sz w:val="24"/>
                <w:szCs w:val="24"/>
              </w:rPr>
            </w:pPr>
            <w:r>
              <w:rPr>
                <w:rFonts w:hint="eastAsia" w:ascii="楷体_GB2312" w:hAnsi="宋体" w:eastAsia="楷体_GB2312" w:cs="宋体"/>
                <w:color w:val="auto"/>
                <w:kern w:val="0"/>
                <w:sz w:val="24"/>
                <w:szCs w:val="24"/>
              </w:rPr>
              <w:t>18</w:t>
            </w:r>
          </w:p>
        </w:tc>
        <w:tc>
          <w:tcPr>
            <w:tcW w:w="3146" w:type="dxa"/>
            <w:gridSpan w:val="2"/>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楷体_GB2312" w:hAnsi="宋体" w:eastAsia="楷体_GB2312" w:cs="宋体"/>
                <w:color w:val="auto"/>
                <w:kern w:val="0"/>
                <w:sz w:val="24"/>
                <w:szCs w:val="24"/>
              </w:rPr>
            </w:pPr>
            <w:r>
              <w:rPr>
                <w:rFonts w:hint="eastAsia" w:ascii="楷体_GB2312" w:hAnsi="宋体" w:eastAsia="楷体_GB2312" w:cs="宋体"/>
                <w:color w:val="auto"/>
                <w:kern w:val="0"/>
                <w:sz w:val="24"/>
                <w:szCs w:val="24"/>
              </w:rPr>
              <w:t>7.5</w:t>
            </w:r>
          </w:p>
        </w:tc>
      </w:tr>
    </w:tbl>
    <w:p>
      <w:pPr>
        <w:widowControl/>
        <w:spacing w:before="100" w:beforeAutospacing="1" w:after="100" w:afterAutospacing="1" w:line="360" w:lineRule="atLeast"/>
        <w:ind w:firstLine="645"/>
        <w:jc w:val="left"/>
        <w:rPr>
          <w:rFonts w:ascii="黑体" w:hAnsi="黑体" w:eastAsia="黑体" w:cs="Arial"/>
          <w:color w:val="auto"/>
          <w:kern w:val="0"/>
          <w:sz w:val="32"/>
          <w:szCs w:val="32"/>
        </w:rPr>
      </w:pPr>
      <w:r>
        <w:rPr>
          <w:rFonts w:hint="eastAsia" w:ascii="黑体" w:hAnsi="黑体" w:eastAsia="黑体" w:cs="Arial"/>
          <w:color w:val="auto"/>
          <w:kern w:val="0"/>
          <w:sz w:val="32"/>
          <w:szCs w:val="32"/>
        </w:rPr>
        <w:t>三、收到和处理政府信息公开申请情况</w:t>
      </w:r>
    </w:p>
    <w:tbl>
      <w:tblPr>
        <w:tblStyle w:val="5"/>
        <w:tblW w:w="9135" w:type="dxa"/>
        <w:jc w:val="center"/>
        <w:tblLayout w:type="autofit"/>
        <w:tblCellMar>
          <w:top w:w="0" w:type="dxa"/>
          <w:left w:w="0" w:type="dxa"/>
          <w:bottom w:w="0" w:type="dxa"/>
          <w:right w:w="0" w:type="dxa"/>
        </w:tblCellMar>
      </w:tblPr>
      <w:tblGrid>
        <w:gridCol w:w="622"/>
        <w:gridCol w:w="822"/>
        <w:gridCol w:w="2261"/>
        <w:gridCol w:w="727"/>
        <w:gridCol w:w="756"/>
        <w:gridCol w:w="756"/>
        <w:gridCol w:w="881"/>
        <w:gridCol w:w="903"/>
        <w:gridCol w:w="712"/>
        <w:gridCol w:w="695"/>
      </w:tblGrid>
      <w:tr>
        <w:tblPrEx>
          <w:tblCellMar>
            <w:top w:w="0" w:type="dxa"/>
            <w:left w:w="0" w:type="dxa"/>
            <w:bottom w:w="0" w:type="dxa"/>
            <w:right w:w="0" w:type="dxa"/>
          </w:tblCellMar>
        </w:tblPrEx>
        <w:trPr>
          <w:trHeight w:val="346" w:hRule="atLeast"/>
          <w:jc w:val="center"/>
        </w:trPr>
        <w:tc>
          <w:tcPr>
            <w:tcW w:w="3705"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（本列数据的勾稽关系为：第一项加第二项之和，等于第三项加第四项之和）</w:t>
            </w:r>
          </w:p>
        </w:tc>
        <w:tc>
          <w:tcPr>
            <w:tcW w:w="5430"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申请人情况</w:t>
            </w:r>
          </w:p>
        </w:tc>
      </w:tr>
      <w:tr>
        <w:tblPrEx>
          <w:tblCellMar>
            <w:top w:w="0" w:type="dxa"/>
            <w:left w:w="0" w:type="dxa"/>
            <w:bottom w:w="0" w:type="dxa"/>
            <w:right w:w="0" w:type="dxa"/>
          </w:tblCellMar>
        </w:tblPrEx>
        <w:trPr>
          <w:trHeight w:val="363" w:hRule="atLeast"/>
          <w:jc w:val="center"/>
        </w:trPr>
        <w:tc>
          <w:tcPr>
            <w:tcW w:w="3705"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727"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自然人</w:t>
            </w:r>
          </w:p>
        </w:tc>
        <w:tc>
          <w:tcPr>
            <w:tcW w:w="4008"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法人或其他组织</w:t>
            </w:r>
          </w:p>
        </w:tc>
        <w:tc>
          <w:tcPr>
            <w:tcW w:w="695"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总计</w:t>
            </w:r>
          </w:p>
        </w:tc>
      </w:tr>
      <w:tr>
        <w:tblPrEx>
          <w:tblCellMar>
            <w:top w:w="0" w:type="dxa"/>
            <w:left w:w="0" w:type="dxa"/>
            <w:bottom w:w="0" w:type="dxa"/>
            <w:right w:w="0" w:type="dxa"/>
          </w:tblCellMar>
        </w:tblPrEx>
        <w:trPr>
          <w:trHeight w:val="695" w:hRule="atLeast"/>
          <w:jc w:val="center"/>
        </w:trPr>
        <w:tc>
          <w:tcPr>
            <w:tcW w:w="3705"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727"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商业企业</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科研机构</w:t>
            </w:r>
          </w:p>
        </w:tc>
        <w:tc>
          <w:tcPr>
            <w:tcW w:w="88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社会公益组织</w:t>
            </w:r>
          </w:p>
        </w:tc>
        <w:tc>
          <w:tcPr>
            <w:tcW w:w="903"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法律服务机构</w:t>
            </w:r>
          </w:p>
        </w:tc>
        <w:tc>
          <w:tcPr>
            <w:tcW w:w="712"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r>
      <w:tr>
        <w:tblPrEx>
          <w:tblCellMar>
            <w:top w:w="0" w:type="dxa"/>
            <w:left w:w="0" w:type="dxa"/>
            <w:bottom w:w="0" w:type="dxa"/>
            <w:right w:w="0" w:type="dxa"/>
          </w:tblCellMar>
        </w:tblPrEx>
        <w:trPr>
          <w:trHeight w:val="346"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一、本年新收政府信息公开申请数量</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cs="宋体"/>
                <w:color w:val="auto"/>
                <w:kern w:val="0"/>
                <w:szCs w:val="21"/>
              </w:rPr>
            </w:pPr>
            <w:r>
              <w:rPr>
                <w:rFonts w:hint="eastAsia" w:ascii="楷体_GB2312" w:hAnsi="Calibri" w:eastAsia="楷体_GB2312" w:cs="宋体"/>
                <w:color w:val="auto"/>
                <w:kern w:val="0"/>
                <w:szCs w:val="21"/>
              </w:rPr>
              <w:t>1</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cs="宋体"/>
                <w:color w:val="auto"/>
                <w:kern w:val="0"/>
                <w:szCs w:val="21"/>
              </w:rPr>
            </w:pPr>
            <w:r>
              <w:rPr>
                <w:rFonts w:hint="eastAsia" w:ascii="楷体_GB2312" w:hAnsi="Calibri" w:eastAsia="楷体_GB2312" w:cs="宋体"/>
                <w:color w:val="auto"/>
                <w:kern w:val="0"/>
                <w:szCs w:val="21"/>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cs="宋体"/>
                <w:color w:val="auto"/>
                <w:kern w:val="0"/>
                <w:szCs w:val="21"/>
              </w:rPr>
            </w:pPr>
            <w:r>
              <w:rPr>
                <w:rFonts w:hint="eastAsia" w:ascii="楷体_GB2312" w:hAnsi="Calibri" w:eastAsia="楷体_GB2312" w:cs="宋体"/>
                <w:color w:val="auto"/>
                <w:kern w:val="0"/>
                <w:szCs w:val="21"/>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cs="宋体"/>
                <w:color w:val="auto"/>
                <w:kern w:val="0"/>
                <w:szCs w:val="21"/>
              </w:rPr>
            </w:pPr>
            <w:r>
              <w:rPr>
                <w:rFonts w:hint="eastAsia" w:ascii="楷体_GB2312" w:hAnsi="Calibri" w:eastAsia="楷体_GB2312" w:cs="宋体"/>
                <w:color w:val="auto"/>
                <w:kern w:val="0"/>
                <w:szCs w:val="21"/>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cs="宋体"/>
                <w:color w:val="auto"/>
                <w:kern w:val="0"/>
                <w:szCs w:val="21"/>
              </w:rPr>
            </w:pPr>
            <w:r>
              <w:rPr>
                <w:rFonts w:hint="eastAsia" w:ascii="楷体_GB2312" w:hAnsi="Calibri" w:eastAsia="楷体_GB2312" w:cs="宋体"/>
                <w:color w:val="auto"/>
                <w:kern w:val="0"/>
                <w:szCs w:val="21"/>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cs="宋体"/>
                <w:color w:val="auto"/>
                <w:kern w:val="0"/>
                <w:szCs w:val="21"/>
              </w:rPr>
            </w:pPr>
            <w:r>
              <w:rPr>
                <w:rFonts w:hint="eastAsia" w:ascii="楷体_GB2312" w:hAnsi="Calibri" w:eastAsia="楷体_GB2312" w:cs="宋体"/>
                <w:color w:val="auto"/>
                <w:kern w:val="0"/>
                <w:szCs w:val="21"/>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cs="宋体"/>
                <w:color w:val="auto"/>
                <w:kern w:val="0"/>
                <w:szCs w:val="21"/>
              </w:rPr>
            </w:pPr>
            <w:r>
              <w:rPr>
                <w:rFonts w:hint="eastAsia" w:ascii="楷体_GB2312" w:hAnsi="Calibri" w:eastAsia="楷体_GB2312" w:cs="宋体"/>
                <w:color w:val="auto"/>
                <w:kern w:val="0"/>
                <w:szCs w:val="21"/>
              </w:rPr>
              <w:t>1</w:t>
            </w:r>
          </w:p>
        </w:tc>
      </w:tr>
      <w:tr>
        <w:tblPrEx>
          <w:tblCellMar>
            <w:top w:w="0" w:type="dxa"/>
            <w:left w:w="0" w:type="dxa"/>
            <w:bottom w:w="0" w:type="dxa"/>
            <w:right w:w="0" w:type="dxa"/>
          </w:tblCellMar>
        </w:tblPrEx>
        <w:trPr>
          <w:trHeight w:val="346"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宋体" w:hAnsi="宋体" w:eastAsia="宋体" w:cs="宋体"/>
                <w:color w:val="auto"/>
                <w:kern w:val="0"/>
                <w:sz w:val="20"/>
                <w:szCs w:val="20"/>
              </w:rPr>
              <w:t>二、上年结转政府信息公开申请数量</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cs="宋体"/>
                <w:color w:val="auto"/>
                <w:kern w:val="0"/>
                <w:szCs w:val="21"/>
              </w:rPr>
            </w:pPr>
            <w:r>
              <w:rPr>
                <w:rFonts w:hint="eastAsia" w:ascii="楷体_GB2312" w:hAnsi="Calibri" w:eastAsia="楷体_GB2312" w:cs="宋体"/>
                <w:color w:val="auto"/>
                <w:kern w:val="0"/>
                <w:szCs w:val="21"/>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cs="宋体"/>
                <w:color w:val="auto"/>
                <w:kern w:val="0"/>
                <w:szCs w:val="21"/>
              </w:rPr>
            </w:pPr>
            <w:r>
              <w:rPr>
                <w:rFonts w:hint="eastAsia" w:ascii="楷体_GB2312" w:hAnsi="Calibri" w:eastAsia="楷体_GB2312" w:cs="宋体"/>
                <w:color w:val="auto"/>
                <w:kern w:val="0"/>
                <w:szCs w:val="21"/>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cs="宋体"/>
                <w:color w:val="auto"/>
                <w:kern w:val="0"/>
                <w:szCs w:val="21"/>
              </w:rPr>
            </w:pPr>
            <w:r>
              <w:rPr>
                <w:rFonts w:hint="eastAsia" w:ascii="楷体_GB2312" w:hAnsi="Calibri" w:eastAsia="楷体_GB2312" w:cs="宋体"/>
                <w:color w:val="auto"/>
                <w:kern w:val="0"/>
                <w:szCs w:val="21"/>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cs="宋体"/>
                <w:color w:val="auto"/>
                <w:kern w:val="0"/>
                <w:szCs w:val="21"/>
              </w:rPr>
            </w:pPr>
            <w:r>
              <w:rPr>
                <w:rFonts w:hint="eastAsia" w:ascii="楷体_GB2312" w:hAnsi="Calibri" w:eastAsia="楷体_GB2312" w:cs="宋体"/>
                <w:color w:val="auto"/>
                <w:kern w:val="0"/>
                <w:szCs w:val="21"/>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cs="宋体"/>
                <w:color w:val="auto"/>
                <w:kern w:val="0"/>
                <w:szCs w:val="21"/>
              </w:rPr>
            </w:pPr>
            <w:r>
              <w:rPr>
                <w:rFonts w:hint="eastAsia" w:ascii="楷体_GB2312" w:hAnsi="Calibri" w:eastAsia="楷体_GB2312" w:cs="宋体"/>
                <w:color w:val="auto"/>
                <w:kern w:val="0"/>
                <w:szCs w:val="21"/>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cs="宋体"/>
                <w:color w:val="auto"/>
                <w:kern w:val="0"/>
                <w:szCs w:val="21"/>
              </w:rPr>
            </w:pPr>
            <w:r>
              <w:rPr>
                <w:rFonts w:hint="eastAsia" w:ascii="楷体_GB2312" w:hAnsi="Calibri" w:eastAsia="楷体_GB2312" w:cs="宋体"/>
                <w:color w:val="auto"/>
                <w:kern w:val="0"/>
                <w:szCs w:val="21"/>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cs="宋体"/>
                <w:color w:val="auto"/>
                <w:kern w:val="0"/>
                <w:szCs w:val="21"/>
              </w:rPr>
            </w:pPr>
            <w:r>
              <w:rPr>
                <w:rFonts w:hint="eastAsia" w:ascii="楷体_GB2312" w:hAnsi="Calibri" w:eastAsia="楷体_GB2312" w:cs="宋体"/>
                <w:color w:val="auto"/>
                <w:kern w:val="0"/>
                <w:szCs w:val="21"/>
              </w:rPr>
              <w:t>0</w:t>
            </w:r>
          </w:p>
        </w:tc>
      </w:tr>
      <w:tr>
        <w:tblPrEx>
          <w:tblCellMar>
            <w:top w:w="0" w:type="dxa"/>
            <w:left w:w="0" w:type="dxa"/>
            <w:bottom w:w="0" w:type="dxa"/>
            <w:right w:w="0" w:type="dxa"/>
          </w:tblCellMar>
        </w:tblPrEx>
        <w:trPr>
          <w:trHeight w:val="346" w:hRule="atLeast"/>
          <w:jc w:val="center"/>
        </w:trPr>
        <w:tc>
          <w:tcPr>
            <w:tcW w:w="622"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color w:val="auto"/>
                <w:kern w:val="0"/>
                <w:sz w:val="24"/>
                <w:szCs w:val="24"/>
              </w:rPr>
            </w:pPr>
            <w:r>
              <w:rPr>
                <w:rFonts w:hint="eastAsia" w:ascii="宋体" w:hAnsi="宋体" w:eastAsia="宋体" w:cs="宋体"/>
                <w:color w:val="auto"/>
                <w:kern w:val="0"/>
                <w:sz w:val="20"/>
                <w:szCs w:val="20"/>
              </w:rPr>
              <w:t>三、本年度办理结果</w:t>
            </w: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楷体" w:hAnsi="楷体" w:eastAsia="楷体" w:cs="宋体"/>
                <w:color w:val="auto"/>
                <w:kern w:val="0"/>
                <w:sz w:val="20"/>
                <w:szCs w:val="20"/>
              </w:rPr>
              <w:t>（一）予以公开</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cs="宋体"/>
                <w:color w:val="auto"/>
                <w:kern w:val="0"/>
                <w:szCs w:val="21"/>
              </w:rPr>
            </w:pPr>
            <w:r>
              <w:rPr>
                <w:rFonts w:hint="eastAsia" w:ascii="楷体_GB2312" w:hAnsi="Calibri" w:eastAsia="楷体_GB2312" w:cs="宋体"/>
                <w:color w:val="auto"/>
                <w:kern w:val="0"/>
                <w:szCs w:val="21"/>
              </w:rPr>
              <w:t>1</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cs="宋体"/>
                <w:color w:val="auto"/>
                <w:kern w:val="0"/>
                <w:szCs w:val="21"/>
              </w:rPr>
            </w:pPr>
            <w:r>
              <w:rPr>
                <w:rFonts w:hint="eastAsia" w:ascii="楷体_GB2312" w:hAnsi="Calibri" w:eastAsia="楷体_GB2312" w:cs="宋体"/>
                <w:color w:val="auto"/>
                <w:kern w:val="0"/>
                <w:szCs w:val="21"/>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cs="宋体"/>
                <w:color w:val="auto"/>
                <w:kern w:val="0"/>
                <w:szCs w:val="21"/>
              </w:rPr>
            </w:pPr>
            <w:r>
              <w:rPr>
                <w:rFonts w:hint="eastAsia" w:ascii="楷体_GB2312" w:hAnsi="Calibri" w:eastAsia="楷体_GB2312" w:cs="宋体"/>
                <w:color w:val="auto"/>
                <w:kern w:val="0"/>
                <w:szCs w:val="21"/>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cs="宋体"/>
                <w:color w:val="auto"/>
                <w:kern w:val="0"/>
                <w:szCs w:val="21"/>
              </w:rPr>
            </w:pPr>
            <w:r>
              <w:rPr>
                <w:rFonts w:hint="eastAsia" w:ascii="楷体_GB2312" w:hAnsi="Calibri" w:eastAsia="楷体_GB2312" w:cs="宋体"/>
                <w:color w:val="auto"/>
                <w:kern w:val="0"/>
                <w:szCs w:val="21"/>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cs="宋体"/>
                <w:color w:val="auto"/>
                <w:kern w:val="0"/>
                <w:szCs w:val="21"/>
              </w:rPr>
            </w:pPr>
            <w:r>
              <w:rPr>
                <w:rFonts w:hint="eastAsia" w:ascii="楷体_GB2312" w:hAnsi="Calibri" w:eastAsia="楷体_GB2312" w:cs="宋体"/>
                <w:color w:val="auto"/>
                <w:kern w:val="0"/>
                <w:szCs w:val="21"/>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cs="宋体"/>
                <w:color w:val="auto"/>
                <w:kern w:val="0"/>
                <w:szCs w:val="21"/>
              </w:rPr>
            </w:pPr>
            <w:r>
              <w:rPr>
                <w:rFonts w:hint="eastAsia" w:ascii="楷体_GB2312" w:hAnsi="Calibri" w:eastAsia="楷体_GB2312" w:cs="宋体"/>
                <w:color w:val="auto"/>
                <w:kern w:val="0"/>
                <w:szCs w:val="21"/>
              </w:rPr>
              <w:t>0</w:t>
            </w:r>
          </w:p>
        </w:tc>
        <w:tc>
          <w:tcPr>
            <w:tcW w:w="6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cs="宋体"/>
                <w:color w:val="auto"/>
                <w:kern w:val="0"/>
                <w:szCs w:val="21"/>
              </w:rPr>
            </w:pPr>
            <w:r>
              <w:rPr>
                <w:rFonts w:hint="eastAsia" w:ascii="楷体_GB2312" w:hAnsi="Calibri" w:eastAsia="楷体_GB2312" w:cs="宋体"/>
                <w:color w:val="auto"/>
                <w:kern w:val="0"/>
                <w:szCs w:val="21"/>
              </w:rPr>
              <w:t>0</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楷体" w:hAnsi="楷体" w:eastAsia="楷体" w:cs="宋体"/>
                <w:color w:val="auto"/>
                <w:kern w:val="0"/>
                <w:sz w:val="20"/>
                <w:szCs w:val="20"/>
              </w:rPr>
              <w:t>（二）部分公开（区分处理的，只计这一情形，不计其他情形）</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cs="宋体"/>
                <w:color w:val="auto"/>
                <w:kern w:val="0"/>
                <w:szCs w:val="21"/>
              </w:rPr>
            </w:pPr>
            <w:r>
              <w:rPr>
                <w:rFonts w:hint="eastAsia" w:ascii="楷体_GB2312" w:hAnsi="宋体" w:eastAsia="楷体_GB2312" w:cs="宋体"/>
                <w:color w:val="auto"/>
                <w:kern w:val="0"/>
                <w:szCs w:val="21"/>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楷体" w:hAnsi="楷体" w:eastAsia="楷体" w:cs="宋体"/>
                <w:color w:val="auto"/>
                <w:kern w:val="0"/>
                <w:sz w:val="20"/>
                <w:szCs w:val="20"/>
              </w:rPr>
              <w:t>（三）不予公开</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楷体" w:hAnsi="楷体" w:eastAsia="楷体" w:cs="宋体"/>
                <w:color w:val="auto"/>
                <w:kern w:val="0"/>
                <w:sz w:val="20"/>
                <w:szCs w:val="20"/>
              </w:rPr>
              <w:t>1.属于国家秘密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69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cs="宋体"/>
                <w:color w:val="auto"/>
                <w:kern w:val="0"/>
                <w:szCs w:val="21"/>
              </w:rPr>
            </w:pPr>
            <w:r>
              <w:rPr>
                <w:rFonts w:hint="eastAsia" w:ascii="楷体_GB2312" w:hAnsi="Calibri" w:eastAsia="楷体_GB2312" w:cs="宋体"/>
                <w:color w:val="auto"/>
                <w:kern w:val="0"/>
                <w:szCs w:val="21"/>
              </w:rPr>
              <w:t>0</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楷体" w:hAnsi="楷体" w:eastAsia="楷体" w:cs="宋体"/>
                <w:color w:val="auto"/>
                <w:kern w:val="0"/>
                <w:sz w:val="20"/>
                <w:szCs w:val="20"/>
              </w:rPr>
              <w:t>2.其他法律行政法规禁止公开</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cs="宋体"/>
                <w:color w:val="auto"/>
                <w:kern w:val="0"/>
                <w:szCs w:val="21"/>
              </w:rPr>
            </w:pPr>
            <w:r>
              <w:rPr>
                <w:rFonts w:hint="eastAsia" w:ascii="楷体_GB2312" w:hAnsi="Calibri" w:eastAsia="楷体_GB2312" w:cs="宋体"/>
                <w:color w:val="auto"/>
                <w:kern w:val="0"/>
                <w:szCs w:val="21"/>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楷体" w:hAnsi="楷体" w:eastAsia="楷体" w:cs="宋体"/>
                <w:color w:val="auto"/>
                <w:kern w:val="0"/>
                <w:sz w:val="20"/>
                <w:szCs w:val="20"/>
              </w:rPr>
              <w:t>3.危及“三安全一稳定”</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cs="宋体"/>
                <w:color w:val="auto"/>
                <w:kern w:val="0"/>
                <w:szCs w:val="21"/>
              </w:rPr>
            </w:pPr>
            <w:r>
              <w:rPr>
                <w:rFonts w:hint="eastAsia" w:ascii="楷体_GB2312" w:hAnsi="Calibri" w:eastAsia="楷体_GB2312" w:cs="宋体"/>
                <w:color w:val="auto"/>
                <w:kern w:val="0"/>
                <w:szCs w:val="21"/>
              </w:rPr>
              <w:t>0</w:t>
            </w:r>
          </w:p>
        </w:tc>
      </w:tr>
      <w:tr>
        <w:tblPrEx>
          <w:tblCellMar>
            <w:top w:w="0" w:type="dxa"/>
            <w:left w:w="0" w:type="dxa"/>
            <w:bottom w:w="0" w:type="dxa"/>
            <w:right w:w="0" w:type="dxa"/>
          </w:tblCellMar>
        </w:tblPrEx>
        <w:trPr>
          <w:trHeight w:val="34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楷体" w:hAnsi="楷体" w:eastAsia="楷体" w:cs="宋体"/>
                <w:color w:val="auto"/>
                <w:kern w:val="0"/>
                <w:sz w:val="20"/>
                <w:szCs w:val="20"/>
              </w:rPr>
              <w:t>4.保护第三方合法权益</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cs="宋体"/>
                <w:color w:val="auto"/>
                <w:kern w:val="0"/>
                <w:szCs w:val="21"/>
              </w:rPr>
            </w:pPr>
            <w:r>
              <w:rPr>
                <w:rFonts w:hint="eastAsia" w:ascii="楷体_GB2312" w:hAnsi="Calibri" w:eastAsia="楷体_GB2312" w:cs="宋体"/>
                <w:color w:val="auto"/>
                <w:kern w:val="0"/>
                <w:szCs w:val="21"/>
              </w:rPr>
              <w:t>0</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楷体" w:hAnsi="楷体" w:eastAsia="楷体" w:cs="宋体"/>
                <w:color w:val="auto"/>
                <w:kern w:val="0"/>
                <w:sz w:val="20"/>
                <w:szCs w:val="20"/>
              </w:rPr>
              <w:t>5.属于三类内部事务信息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cs="宋体"/>
                <w:color w:val="auto"/>
                <w:kern w:val="0"/>
                <w:szCs w:val="21"/>
              </w:rPr>
            </w:pPr>
            <w:r>
              <w:rPr>
                <w:rFonts w:hint="eastAsia" w:ascii="楷体_GB2312" w:hAnsi="Calibri" w:eastAsia="楷体_GB2312" w:cs="宋体"/>
                <w:color w:val="auto"/>
                <w:kern w:val="0"/>
                <w:szCs w:val="21"/>
              </w:rPr>
              <w:t>0</w:t>
            </w:r>
          </w:p>
        </w:tc>
      </w:tr>
      <w:tr>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楷体" w:hAnsi="楷体" w:eastAsia="楷体" w:cs="宋体"/>
                <w:color w:val="auto"/>
                <w:kern w:val="0"/>
                <w:sz w:val="20"/>
                <w:szCs w:val="20"/>
              </w:rPr>
              <w:t>6.属于四类过程性信息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cs="宋体"/>
                <w:color w:val="auto"/>
                <w:kern w:val="0"/>
                <w:szCs w:val="21"/>
              </w:rPr>
            </w:pPr>
            <w:r>
              <w:rPr>
                <w:rFonts w:hint="eastAsia" w:ascii="楷体_GB2312" w:hAnsi="Calibri" w:eastAsia="楷体_GB2312" w:cs="宋体"/>
                <w:color w:val="auto"/>
                <w:kern w:val="0"/>
                <w:szCs w:val="21"/>
              </w:rPr>
              <w:t>0</w:t>
            </w:r>
          </w:p>
        </w:tc>
      </w:tr>
      <w:tr>
        <w:tblPrEx>
          <w:tblCellMar>
            <w:top w:w="0" w:type="dxa"/>
            <w:left w:w="0" w:type="dxa"/>
            <w:bottom w:w="0" w:type="dxa"/>
            <w:right w:w="0" w:type="dxa"/>
          </w:tblCellMar>
        </w:tblPrEx>
        <w:trPr>
          <w:trHeight w:val="34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楷体" w:hAnsi="楷体" w:eastAsia="楷体" w:cs="宋体"/>
                <w:color w:val="auto"/>
                <w:kern w:val="0"/>
                <w:sz w:val="20"/>
                <w:szCs w:val="20"/>
              </w:rPr>
              <w:t>7.属于行政执法案卷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cs="宋体"/>
                <w:color w:val="auto"/>
                <w:kern w:val="0"/>
                <w:szCs w:val="21"/>
              </w:rPr>
            </w:pPr>
            <w:r>
              <w:rPr>
                <w:rFonts w:hint="eastAsia" w:ascii="楷体_GB2312" w:hAnsi="Calibri" w:eastAsia="楷体_GB2312" w:cs="宋体"/>
                <w:color w:val="auto"/>
                <w:kern w:val="0"/>
                <w:szCs w:val="21"/>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楷体" w:hAnsi="楷体" w:eastAsia="楷体" w:cs="宋体"/>
                <w:color w:val="auto"/>
                <w:kern w:val="0"/>
                <w:sz w:val="20"/>
                <w:szCs w:val="20"/>
              </w:rPr>
              <w:t>8.属于行政查询事项</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cs="宋体"/>
                <w:color w:val="auto"/>
                <w:kern w:val="0"/>
                <w:szCs w:val="21"/>
              </w:rPr>
            </w:pPr>
            <w:r>
              <w:rPr>
                <w:rFonts w:hint="eastAsia" w:ascii="楷体_GB2312" w:hAnsi="Calibri" w:eastAsia="楷体_GB2312" w:cs="宋体"/>
                <w:color w:val="auto"/>
                <w:kern w:val="0"/>
                <w:szCs w:val="21"/>
              </w:rPr>
              <w:t>0</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楷体" w:hAnsi="楷体" w:eastAsia="楷体" w:cs="宋体"/>
                <w:color w:val="auto"/>
                <w:kern w:val="0"/>
                <w:sz w:val="20"/>
                <w:szCs w:val="20"/>
              </w:rPr>
              <w:t>（四）无法提供</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楷体" w:hAnsi="楷体" w:eastAsia="楷体" w:cs="宋体"/>
                <w:color w:val="auto"/>
                <w:kern w:val="0"/>
                <w:sz w:val="20"/>
                <w:szCs w:val="20"/>
              </w:rPr>
              <w:t>1.本机关不掌握相关政府信息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cs="宋体"/>
                <w:color w:val="auto"/>
                <w:kern w:val="0"/>
                <w:szCs w:val="21"/>
              </w:rPr>
            </w:pPr>
            <w:r>
              <w:rPr>
                <w:rFonts w:hint="eastAsia" w:ascii="楷体_GB2312" w:hAnsi="Calibri" w:eastAsia="楷体_GB2312" w:cs="宋体"/>
                <w:color w:val="auto"/>
                <w:kern w:val="0"/>
                <w:szCs w:val="21"/>
              </w:rPr>
              <w:t>0</w:t>
            </w:r>
          </w:p>
        </w:tc>
      </w:tr>
      <w:tr>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楷体" w:hAnsi="楷体" w:eastAsia="楷体" w:cs="宋体"/>
                <w:color w:val="auto"/>
                <w:kern w:val="0"/>
                <w:sz w:val="20"/>
                <w:szCs w:val="20"/>
              </w:rPr>
              <w:t>2.没有现成信息需要另行制作</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cs="宋体"/>
                <w:color w:val="auto"/>
                <w:kern w:val="0"/>
                <w:szCs w:val="21"/>
              </w:rPr>
            </w:pPr>
            <w:r>
              <w:rPr>
                <w:rFonts w:hint="eastAsia" w:ascii="楷体_GB2312" w:hAnsi="Calibri" w:eastAsia="楷体_GB2312" w:cs="宋体"/>
                <w:color w:val="auto"/>
                <w:kern w:val="0"/>
                <w:szCs w:val="21"/>
              </w:rPr>
              <w:t>0</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楷体" w:hAnsi="楷体" w:eastAsia="楷体" w:cs="宋体"/>
                <w:color w:val="auto"/>
                <w:kern w:val="0"/>
                <w:sz w:val="20"/>
                <w:szCs w:val="20"/>
              </w:rPr>
              <w:t>3.补正后申请内容仍不明确</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cs="宋体"/>
                <w:color w:val="auto"/>
                <w:kern w:val="0"/>
                <w:szCs w:val="21"/>
              </w:rPr>
            </w:pPr>
            <w:r>
              <w:rPr>
                <w:rFonts w:hint="eastAsia" w:ascii="楷体_GB2312" w:hAnsi="Calibri" w:eastAsia="楷体_GB2312" w:cs="宋体"/>
                <w:color w:val="auto"/>
                <w:kern w:val="0"/>
                <w:szCs w:val="21"/>
              </w:rPr>
              <w:t>0</w:t>
            </w:r>
          </w:p>
        </w:tc>
      </w:tr>
      <w:tr>
        <w:trPr>
          <w:trHeight w:val="346"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822"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楷体" w:hAnsi="楷体" w:eastAsia="楷体" w:cs="宋体"/>
                <w:color w:val="auto"/>
                <w:kern w:val="0"/>
                <w:sz w:val="20"/>
                <w:szCs w:val="20"/>
              </w:rPr>
              <w:t>（五）不予处理</w:t>
            </w: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楷体" w:hAnsi="楷体" w:eastAsia="楷体" w:cs="宋体"/>
                <w:color w:val="auto"/>
                <w:kern w:val="0"/>
                <w:sz w:val="20"/>
                <w:szCs w:val="20"/>
              </w:rPr>
              <w:t>1.信访举报投诉类申请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cs="宋体"/>
                <w:color w:val="auto"/>
                <w:kern w:val="0"/>
                <w:szCs w:val="21"/>
              </w:rPr>
            </w:pPr>
            <w:r>
              <w:rPr>
                <w:rFonts w:hint="eastAsia" w:ascii="楷体_GB2312" w:hAnsi="Calibri" w:eastAsia="楷体_GB2312" w:cs="宋体"/>
                <w:color w:val="auto"/>
                <w:kern w:val="0"/>
                <w:szCs w:val="21"/>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楷体" w:hAnsi="楷体" w:eastAsia="楷体" w:cs="宋体"/>
                <w:color w:val="auto"/>
                <w:kern w:val="0"/>
                <w:sz w:val="20"/>
                <w:szCs w:val="20"/>
              </w:rPr>
              <w:t>2.重复申请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cs="宋体"/>
                <w:color w:val="auto"/>
                <w:kern w:val="0"/>
                <w:szCs w:val="21"/>
              </w:rPr>
            </w:pPr>
            <w:r>
              <w:rPr>
                <w:rFonts w:hint="eastAsia" w:ascii="楷体_GB2312" w:hAnsi="Calibri" w:eastAsia="楷体_GB2312" w:cs="宋体"/>
                <w:color w:val="auto"/>
                <w:kern w:val="0"/>
                <w:szCs w:val="21"/>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楷体" w:hAnsi="楷体" w:eastAsia="楷体" w:cs="宋体"/>
                <w:color w:val="auto"/>
                <w:kern w:val="0"/>
                <w:sz w:val="20"/>
                <w:szCs w:val="20"/>
              </w:rPr>
              <w:t>3.要求提供公开出版物</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cs="宋体"/>
                <w:color w:val="auto"/>
                <w:kern w:val="0"/>
                <w:szCs w:val="21"/>
              </w:rPr>
            </w:pPr>
            <w:r>
              <w:rPr>
                <w:rFonts w:hint="eastAsia" w:ascii="楷体_GB2312" w:hAnsi="Calibri" w:eastAsia="楷体_GB2312" w:cs="宋体"/>
                <w:color w:val="auto"/>
                <w:kern w:val="0"/>
                <w:szCs w:val="21"/>
              </w:rPr>
              <w:t>0</w:t>
            </w:r>
          </w:p>
        </w:tc>
      </w:tr>
      <w:tr>
        <w:tblPrEx>
          <w:tblCellMar>
            <w:top w:w="0" w:type="dxa"/>
            <w:left w:w="0" w:type="dxa"/>
            <w:bottom w:w="0" w:type="dxa"/>
            <w:right w:w="0" w:type="dxa"/>
          </w:tblCellMar>
        </w:tblPrEx>
        <w:trPr>
          <w:trHeight w:val="71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楷体" w:hAnsi="楷体" w:eastAsia="楷体" w:cs="宋体"/>
                <w:color w:val="auto"/>
                <w:kern w:val="0"/>
                <w:sz w:val="20"/>
                <w:szCs w:val="20"/>
              </w:rPr>
              <w:t>4.无正当理由大量反复申请</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cs="宋体"/>
                <w:color w:val="auto"/>
                <w:kern w:val="0"/>
                <w:szCs w:val="21"/>
              </w:rPr>
            </w:pPr>
            <w:r>
              <w:rPr>
                <w:rFonts w:hint="eastAsia" w:ascii="楷体_GB2312" w:hAnsi="Calibri" w:eastAsia="楷体_GB2312" w:cs="宋体"/>
                <w:color w:val="auto"/>
                <w:kern w:val="0"/>
                <w:szCs w:val="21"/>
              </w:rPr>
              <w:t>0</w:t>
            </w:r>
          </w:p>
        </w:tc>
      </w:tr>
      <w:tr>
        <w:tblPrEx>
          <w:tblCellMar>
            <w:top w:w="0" w:type="dxa"/>
            <w:left w:w="0" w:type="dxa"/>
            <w:bottom w:w="0" w:type="dxa"/>
            <w:right w:w="0" w:type="dxa"/>
          </w:tblCellMar>
        </w:tblPrEx>
        <w:trPr>
          <w:trHeight w:val="69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822"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22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楷体" w:hAnsi="楷体" w:eastAsia="楷体" w:cs="宋体"/>
                <w:color w:val="auto"/>
                <w:kern w:val="0"/>
                <w:sz w:val="20"/>
                <w:szCs w:val="20"/>
              </w:rPr>
              <w:t>5.要求行政机关确认或重新出具已获取信息</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cs="宋体"/>
                <w:color w:val="auto"/>
                <w:kern w:val="0"/>
                <w:szCs w:val="21"/>
              </w:rPr>
            </w:pPr>
            <w:r>
              <w:rPr>
                <w:rFonts w:hint="eastAsia" w:ascii="楷体_GB2312" w:hAnsi="Calibri" w:eastAsia="楷体_GB2312" w:cs="宋体"/>
                <w:color w:val="auto"/>
                <w:kern w:val="0"/>
                <w:szCs w:val="21"/>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楷体" w:hAnsi="楷体" w:eastAsia="楷体" w:cs="宋体"/>
                <w:color w:val="auto"/>
                <w:kern w:val="0"/>
                <w:sz w:val="20"/>
                <w:szCs w:val="20"/>
              </w:rPr>
              <w:t>（六）其他处理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cs="宋体"/>
                <w:color w:val="auto"/>
                <w:kern w:val="0"/>
                <w:szCs w:val="21"/>
              </w:rPr>
            </w:pPr>
            <w:r>
              <w:rPr>
                <w:rFonts w:hint="eastAsia" w:ascii="楷体_GB2312" w:hAnsi="Calibri" w:eastAsia="楷体_GB2312" w:cs="宋体"/>
                <w:color w:val="auto"/>
                <w:kern w:val="0"/>
                <w:szCs w:val="21"/>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r>
      <w:tr>
        <w:tblPrEx>
          <w:tblCellMar>
            <w:top w:w="0" w:type="dxa"/>
            <w:left w:w="0" w:type="dxa"/>
            <w:bottom w:w="0" w:type="dxa"/>
            <w:right w:w="0" w:type="dxa"/>
          </w:tblCellMar>
        </w:tblPrEx>
        <w:trPr>
          <w:trHeight w:val="363"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auto"/>
                <w:kern w:val="0"/>
                <w:sz w:val="24"/>
                <w:szCs w:val="24"/>
              </w:rPr>
            </w:pPr>
          </w:p>
        </w:tc>
        <w:tc>
          <w:tcPr>
            <w:tcW w:w="3083"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 w:val="24"/>
                <w:szCs w:val="24"/>
              </w:rPr>
            </w:pPr>
            <w:r>
              <w:rPr>
                <w:rFonts w:hint="eastAsia" w:ascii="楷体" w:hAnsi="楷体" w:eastAsia="楷体" w:cs="宋体"/>
                <w:color w:val="auto"/>
                <w:kern w:val="0"/>
                <w:sz w:val="20"/>
                <w:szCs w:val="20"/>
              </w:rPr>
              <w:t>（七）总计</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cs="宋体"/>
                <w:color w:val="auto"/>
                <w:kern w:val="0"/>
                <w:szCs w:val="21"/>
              </w:rPr>
            </w:pPr>
            <w:r>
              <w:rPr>
                <w:rFonts w:hint="eastAsia" w:ascii="楷体_GB2312" w:hAnsi="Calibri" w:eastAsia="楷体_GB2312" w:cs="宋体"/>
                <w:color w:val="auto"/>
                <w:kern w:val="0"/>
                <w:szCs w:val="21"/>
              </w:rPr>
              <w:t>1</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r>
      <w:tr>
        <w:tblPrEx>
          <w:tblCellMar>
            <w:top w:w="0" w:type="dxa"/>
            <w:left w:w="0" w:type="dxa"/>
            <w:bottom w:w="0" w:type="dxa"/>
            <w:right w:w="0" w:type="dxa"/>
          </w:tblCellMar>
        </w:tblPrEx>
        <w:trPr>
          <w:trHeight w:val="485" w:hRule="atLeast"/>
          <w:jc w:val="center"/>
        </w:trPr>
        <w:tc>
          <w:tcPr>
            <w:tcW w:w="3705"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color w:val="auto"/>
                <w:kern w:val="0"/>
                <w:sz w:val="20"/>
                <w:szCs w:val="20"/>
              </w:rPr>
            </w:pPr>
            <w:r>
              <w:rPr>
                <w:rFonts w:hint="eastAsia" w:ascii="宋体" w:hAnsi="宋体" w:eastAsia="宋体" w:cs="宋体"/>
                <w:color w:val="auto"/>
                <w:kern w:val="0"/>
                <w:sz w:val="20"/>
                <w:szCs w:val="20"/>
              </w:rPr>
              <w:t>四、结转下年度继续办理</w:t>
            </w:r>
          </w:p>
        </w:tc>
        <w:tc>
          <w:tcPr>
            <w:tcW w:w="727"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cs="宋体"/>
                <w:color w:val="auto"/>
                <w:kern w:val="0"/>
                <w:szCs w:val="21"/>
              </w:rPr>
            </w:pPr>
            <w:r>
              <w:rPr>
                <w:rFonts w:hint="eastAsia" w:ascii="楷体_GB2312" w:hAnsi="宋体" w:eastAsia="楷体_GB2312" w:cs="宋体"/>
                <w:color w:val="auto"/>
                <w:kern w:val="0"/>
                <w:szCs w:val="21"/>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楷体_GB2312" w:hAnsi="宋体" w:eastAsia="楷体_GB2312" w:cs="宋体"/>
                <w:color w:val="auto"/>
                <w:kern w:val="0"/>
                <w:szCs w:val="21"/>
              </w:rPr>
            </w:pPr>
            <w:r>
              <w:rPr>
                <w:rFonts w:hint="eastAsia" w:ascii="楷体_GB2312" w:hAnsi="宋体" w:eastAsia="楷体_GB2312" w:cs="宋体"/>
                <w:color w:val="auto"/>
                <w:kern w:val="0"/>
                <w:szCs w:val="21"/>
              </w:rPr>
              <w:t>0</w:t>
            </w:r>
          </w:p>
        </w:tc>
        <w:tc>
          <w:tcPr>
            <w:tcW w:w="756"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881"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903"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712"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c>
          <w:tcPr>
            <w:tcW w:w="695" w:type="dxa"/>
            <w:tcBorders>
              <w:top w:val="nil"/>
              <w:left w:val="nil"/>
              <w:bottom w:val="single" w:color="auto" w:sz="8" w:space="0"/>
              <w:right w:val="single" w:color="auto" w:sz="8" w:space="0"/>
            </w:tcBorders>
            <w:tcMar>
              <w:top w:w="0" w:type="dxa"/>
              <w:left w:w="108" w:type="dxa"/>
              <w:bottom w:w="0" w:type="dxa"/>
              <w:right w:w="108" w:type="dxa"/>
            </w:tcMar>
            <w:vAlign w:val="center"/>
          </w:tcPr>
          <w:p>
            <w:pPr>
              <w:jc w:val="center"/>
              <w:rPr>
                <w:rFonts w:ascii="楷体_GB2312" w:eastAsia="楷体_GB2312"/>
                <w:color w:val="auto"/>
                <w:szCs w:val="21"/>
              </w:rPr>
            </w:pPr>
            <w:r>
              <w:rPr>
                <w:rFonts w:hint="eastAsia" w:ascii="楷体_GB2312" w:hAnsi="Calibri" w:eastAsia="楷体_GB2312" w:cs="宋体"/>
                <w:color w:val="auto"/>
                <w:kern w:val="0"/>
                <w:szCs w:val="21"/>
              </w:rPr>
              <w:t>0</w:t>
            </w:r>
          </w:p>
        </w:tc>
      </w:tr>
    </w:tbl>
    <w:p>
      <w:pPr>
        <w:widowControl/>
        <w:spacing w:before="100" w:beforeAutospacing="1" w:after="100" w:afterAutospacing="1" w:line="360" w:lineRule="atLeast"/>
        <w:ind w:firstLine="645"/>
        <w:jc w:val="left"/>
        <w:rPr>
          <w:rFonts w:ascii="黑体" w:hAnsi="黑体" w:eastAsia="黑体" w:cs="Arial"/>
          <w:color w:val="auto"/>
          <w:kern w:val="0"/>
          <w:sz w:val="24"/>
          <w:szCs w:val="24"/>
        </w:rPr>
      </w:pPr>
      <w:r>
        <w:rPr>
          <w:rFonts w:hint="eastAsia" w:ascii="黑体" w:hAnsi="黑体" w:eastAsia="黑体" w:cs="Arial"/>
          <w:color w:val="auto"/>
          <w:kern w:val="0"/>
          <w:sz w:val="32"/>
          <w:szCs w:val="32"/>
        </w:rPr>
        <w:t>四、政府信息公开行政复议、行政诉讼情况</w:t>
      </w:r>
    </w:p>
    <w:tbl>
      <w:tblPr>
        <w:tblStyle w:val="5"/>
        <w:tblW w:w="0" w:type="auto"/>
        <w:jc w:val="center"/>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Layout w:type="autofit"/>
        <w:tblCellMar>
          <w:top w:w="75" w:type="dxa"/>
          <w:left w:w="150" w:type="dxa"/>
          <w:bottom w:w="75" w:type="dxa"/>
          <w:right w:w="150" w:type="dxa"/>
        </w:tblCellMar>
      </w:tblPr>
      <w:tblGrid>
        <w:gridCol w:w="598"/>
        <w:gridCol w:w="598"/>
        <w:gridCol w:w="598"/>
        <w:gridCol w:w="599"/>
        <w:gridCol w:w="673"/>
        <w:gridCol w:w="554"/>
        <w:gridCol w:w="599"/>
        <w:gridCol w:w="599"/>
        <w:gridCol w:w="599"/>
        <w:gridCol w:w="614"/>
        <w:gridCol w:w="599"/>
        <w:gridCol w:w="599"/>
        <w:gridCol w:w="599"/>
        <w:gridCol w:w="599"/>
        <w:gridCol w:w="628"/>
      </w:tblGrid>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3075" w:type="dxa"/>
            <w:gridSpan w:val="5"/>
            <w:tcBorders>
              <w:top w:val="single" w:color="auto" w:sz="6" w:space="0"/>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tLeast"/>
              <w:jc w:val="center"/>
              <w:rPr>
                <w:rFonts w:ascii="Arial" w:hAnsi="Arial" w:eastAsia="宋体" w:cs="Arial"/>
                <w:color w:val="auto"/>
                <w:kern w:val="0"/>
                <w:sz w:val="24"/>
                <w:szCs w:val="24"/>
              </w:rPr>
            </w:pPr>
            <w:r>
              <w:rPr>
                <w:rFonts w:hint="eastAsia" w:ascii="宋体" w:hAnsi="宋体" w:eastAsia="宋体" w:cs="Arial"/>
                <w:color w:val="auto"/>
                <w:kern w:val="0"/>
                <w:sz w:val="24"/>
                <w:szCs w:val="24"/>
              </w:rPr>
              <w:t>行政复议</w:t>
            </w:r>
          </w:p>
        </w:tc>
        <w:tc>
          <w:tcPr>
            <w:tcW w:w="6000" w:type="dxa"/>
            <w:gridSpan w:val="10"/>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tLeast"/>
              <w:jc w:val="center"/>
              <w:rPr>
                <w:rFonts w:ascii="Arial" w:hAnsi="Arial" w:eastAsia="宋体" w:cs="Arial"/>
                <w:color w:val="auto"/>
                <w:kern w:val="0"/>
                <w:sz w:val="24"/>
                <w:szCs w:val="24"/>
              </w:rPr>
            </w:pPr>
            <w:r>
              <w:rPr>
                <w:rFonts w:hint="eastAsia" w:ascii="宋体" w:hAnsi="宋体" w:eastAsia="宋体" w:cs="Arial"/>
                <w:color w:val="auto"/>
                <w:kern w:val="0"/>
                <w:sz w:val="24"/>
                <w:szCs w:val="24"/>
              </w:rPr>
              <w:t>行政诉讼</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600" w:type="dxa"/>
            <w:vMerge w:val="restart"/>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tLeast"/>
              <w:jc w:val="center"/>
              <w:rPr>
                <w:rFonts w:ascii="Arial" w:hAnsi="Arial" w:eastAsia="宋体" w:cs="Arial"/>
                <w:color w:val="auto"/>
                <w:kern w:val="0"/>
                <w:sz w:val="24"/>
                <w:szCs w:val="24"/>
              </w:rPr>
            </w:pPr>
            <w:r>
              <w:rPr>
                <w:rFonts w:hint="eastAsia" w:ascii="宋体" w:hAnsi="宋体" w:eastAsia="宋体" w:cs="Arial"/>
                <w:color w:val="auto"/>
                <w:kern w:val="0"/>
                <w:sz w:val="24"/>
                <w:szCs w:val="24"/>
              </w:rPr>
              <w:t>结果维持</w:t>
            </w:r>
          </w:p>
        </w:tc>
        <w:tc>
          <w:tcPr>
            <w:tcW w:w="600" w:type="dxa"/>
            <w:vMerge w:val="restart"/>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tLeast"/>
              <w:jc w:val="center"/>
              <w:rPr>
                <w:rFonts w:ascii="Arial" w:hAnsi="Arial" w:eastAsia="宋体" w:cs="Arial"/>
                <w:color w:val="auto"/>
                <w:kern w:val="0"/>
                <w:sz w:val="24"/>
                <w:szCs w:val="24"/>
              </w:rPr>
            </w:pPr>
            <w:r>
              <w:rPr>
                <w:rFonts w:hint="eastAsia" w:ascii="宋体" w:hAnsi="宋体" w:eastAsia="宋体" w:cs="Arial"/>
                <w:color w:val="auto"/>
                <w:kern w:val="0"/>
                <w:sz w:val="24"/>
                <w:szCs w:val="24"/>
              </w:rPr>
              <w:t>结果纠正</w:t>
            </w:r>
          </w:p>
        </w:tc>
        <w:tc>
          <w:tcPr>
            <w:tcW w:w="600" w:type="dxa"/>
            <w:vMerge w:val="restar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tLeast"/>
              <w:jc w:val="center"/>
              <w:rPr>
                <w:rFonts w:ascii="Arial" w:hAnsi="Arial" w:eastAsia="宋体" w:cs="Arial"/>
                <w:color w:val="auto"/>
                <w:kern w:val="0"/>
                <w:sz w:val="24"/>
                <w:szCs w:val="24"/>
              </w:rPr>
            </w:pPr>
            <w:r>
              <w:rPr>
                <w:rFonts w:hint="eastAsia" w:ascii="宋体" w:hAnsi="宋体" w:eastAsia="宋体" w:cs="Arial"/>
                <w:color w:val="auto"/>
                <w:kern w:val="0"/>
                <w:sz w:val="24"/>
                <w:szCs w:val="24"/>
              </w:rPr>
              <w:t>其他结果</w:t>
            </w:r>
          </w:p>
        </w:tc>
        <w:tc>
          <w:tcPr>
            <w:tcW w:w="600" w:type="dxa"/>
            <w:vMerge w:val="restar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tLeast"/>
              <w:jc w:val="center"/>
              <w:rPr>
                <w:rFonts w:ascii="Arial" w:hAnsi="Arial" w:eastAsia="宋体" w:cs="Arial"/>
                <w:color w:val="auto"/>
                <w:kern w:val="0"/>
                <w:sz w:val="24"/>
                <w:szCs w:val="24"/>
              </w:rPr>
            </w:pPr>
            <w:r>
              <w:rPr>
                <w:rFonts w:hint="eastAsia" w:ascii="宋体" w:hAnsi="宋体" w:eastAsia="宋体" w:cs="Arial"/>
                <w:color w:val="auto"/>
                <w:kern w:val="0"/>
                <w:sz w:val="24"/>
                <w:szCs w:val="24"/>
              </w:rPr>
              <w:t>尚未审结</w:t>
            </w:r>
          </w:p>
        </w:tc>
        <w:tc>
          <w:tcPr>
            <w:tcW w:w="660" w:type="dxa"/>
            <w:vMerge w:val="restart"/>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tLeast"/>
              <w:jc w:val="center"/>
              <w:rPr>
                <w:rFonts w:ascii="Arial" w:hAnsi="Arial" w:eastAsia="宋体" w:cs="Arial"/>
                <w:color w:val="auto"/>
                <w:kern w:val="0"/>
                <w:sz w:val="24"/>
                <w:szCs w:val="24"/>
              </w:rPr>
            </w:pPr>
            <w:r>
              <w:rPr>
                <w:rFonts w:hint="eastAsia" w:ascii="宋体" w:hAnsi="宋体" w:eastAsia="宋体" w:cs="Arial"/>
                <w:color w:val="auto"/>
                <w:kern w:val="0"/>
                <w:sz w:val="24"/>
                <w:szCs w:val="24"/>
              </w:rPr>
              <w:t>总计</w:t>
            </w:r>
          </w:p>
        </w:tc>
        <w:tc>
          <w:tcPr>
            <w:tcW w:w="2970" w:type="dxa"/>
            <w:gridSpan w:val="5"/>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tLeast"/>
              <w:jc w:val="center"/>
              <w:rPr>
                <w:rFonts w:ascii="Arial" w:hAnsi="Arial" w:eastAsia="宋体" w:cs="Arial"/>
                <w:color w:val="auto"/>
                <w:kern w:val="0"/>
                <w:sz w:val="24"/>
                <w:szCs w:val="24"/>
              </w:rPr>
            </w:pPr>
            <w:r>
              <w:rPr>
                <w:rFonts w:hint="eastAsia" w:ascii="宋体" w:hAnsi="宋体" w:eastAsia="宋体" w:cs="Arial"/>
                <w:color w:val="auto"/>
                <w:kern w:val="0"/>
                <w:sz w:val="24"/>
                <w:szCs w:val="24"/>
              </w:rPr>
              <w:t>未经复议直接起诉</w:t>
            </w:r>
          </w:p>
        </w:tc>
        <w:tc>
          <w:tcPr>
            <w:tcW w:w="3030" w:type="dxa"/>
            <w:gridSpan w:val="5"/>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tLeast"/>
              <w:jc w:val="center"/>
              <w:rPr>
                <w:rFonts w:ascii="Arial" w:hAnsi="Arial" w:eastAsia="宋体" w:cs="Arial"/>
                <w:color w:val="auto"/>
                <w:kern w:val="0"/>
                <w:sz w:val="24"/>
                <w:szCs w:val="24"/>
              </w:rPr>
            </w:pPr>
            <w:r>
              <w:rPr>
                <w:rFonts w:hint="eastAsia" w:ascii="宋体" w:hAnsi="宋体" w:eastAsia="宋体" w:cs="Arial"/>
                <w:color w:val="auto"/>
                <w:kern w:val="0"/>
                <w:sz w:val="24"/>
                <w:szCs w:val="24"/>
              </w:rPr>
              <w:t>复议后起诉</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jc w:val="center"/>
        </w:trPr>
        <w:tc>
          <w:tcPr>
            <w:tcW w:w="0" w:type="auto"/>
            <w:vMerge w:val="continue"/>
            <w:tcBorders>
              <w:top w:val="nil"/>
              <w:left w:val="single" w:color="auto" w:sz="6" w:space="0"/>
              <w:bottom w:val="single" w:color="auto" w:sz="6" w:space="0"/>
              <w:right w:val="single" w:color="auto" w:sz="6" w:space="0"/>
            </w:tcBorders>
            <w:vAlign w:val="center"/>
          </w:tcPr>
          <w:p>
            <w:pPr>
              <w:widowControl/>
              <w:jc w:val="left"/>
              <w:rPr>
                <w:rFonts w:ascii="Arial" w:hAnsi="Arial" w:eastAsia="宋体" w:cs="Arial"/>
                <w:color w:val="auto"/>
                <w:kern w:val="0"/>
                <w:sz w:val="24"/>
                <w:szCs w:val="24"/>
              </w:rPr>
            </w:pPr>
          </w:p>
        </w:tc>
        <w:tc>
          <w:tcPr>
            <w:tcW w:w="0" w:type="auto"/>
            <w:vMerge w:val="continue"/>
            <w:tcBorders>
              <w:top w:val="nil"/>
              <w:left w:val="nil"/>
              <w:bottom w:val="single" w:color="auto" w:sz="6" w:space="0"/>
              <w:right w:val="single" w:color="auto" w:sz="6" w:space="0"/>
            </w:tcBorders>
            <w:vAlign w:val="center"/>
          </w:tcPr>
          <w:p>
            <w:pPr>
              <w:widowControl/>
              <w:jc w:val="left"/>
              <w:rPr>
                <w:rFonts w:ascii="Arial" w:hAnsi="Arial" w:eastAsia="宋体" w:cs="Arial"/>
                <w:color w:val="auto"/>
                <w:kern w:val="0"/>
                <w:sz w:val="24"/>
                <w:szCs w:val="24"/>
              </w:rPr>
            </w:pPr>
          </w:p>
        </w:tc>
        <w:tc>
          <w:tcPr>
            <w:tcW w:w="0" w:type="auto"/>
            <w:vMerge w:val="continue"/>
            <w:tcBorders>
              <w:top w:val="single" w:color="auto" w:sz="6" w:space="0"/>
              <w:left w:val="nil"/>
              <w:bottom w:val="single" w:color="auto" w:sz="6" w:space="0"/>
              <w:right w:val="single" w:color="auto" w:sz="6" w:space="0"/>
            </w:tcBorders>
            <w:vAlign w:val="center"/>
          </w:tcPr>
          <w:p>
            <w:pPr>
              <w:widowControl/>
              <w:jc w:val="left"/>
              <w:rPr>
                <w:rFonts w:ascii="Arial" w:hAnsi="Arial" w:eastAsia="宋体" w:cs="Arial"/>
                <w:color w:val="auto"/>
                <w:kern w:val="0"/>
                <w:sz w:val="24"/>
                <w:szCs w:val="24"/>
              </w:rPr>
            </w:pPr>
          </w:p>
        </w:tc>
        <w:tc>
          <w:tcPr>
            <w:tcW w:w="0" w:type="auto"/>
            <w:vMerge w:val="continue"/>
            <w:tcBorders>
              <w:top w:val="single" w:color="auto" w:sz="6" w:space="0"/>
              <w:left w:val="nil"/>
              <w:bottom w:val="single" w:color="auto" w:sz="6" w:space="0"/>
              <w:right w:val="single" w:color="auto" w:sz="6" w:space="0"/>
            </w:tcBorders>
            <w:vAlign w:val="center"/>
          </w:tcPr>
          <w:p>
            <w:pPr>
              <w:widowControl/>
              <w:jc w:val="left"/>
              <w:rPr>
                <w:rFonts w:ascii="Arial" w:hAnsi="Arial" w:eastAsia="宋体" w:cs="Arial"/>
                <w:color w:val="auto"/>
                <w:kern w:val="0"/>
                <w:sz w:val="24"/>
                <w:szCs w:val="24"/>
              </w:rPr>
            </w:pPr>
          </w:p>
        </w:tc>
        <w:tc>
          <w:tcPr>
            <w:tcW w:w="0" w:type="auto"/>
            <w:vMerge w:val="continue"/>
            <w:tcBorders>
              <w:top w:val="single" w:color="auto" w:sz="6" w:space="0"/>
              <w:left w:val="nil"/>
              <w:bottom w:val="single" w:color="auto" w:sz="6" w:space="0"/>
              <w:right w:val="single" w:color="auto" w:sz="6" w:space="0"/>
            </w:tcBorders>
            <w:vAlign w:val="center"/>
          </w:tcPr>
          <w:p>
            <w:pPr>
              <w:widowControl/>
              <w:jc w:val="left"/>
              <w:rPr>
                <w:rFonts w:ascii="Arial" w:hAnsi="Arial" w:eastAsia="宋体" w:cs="Arial"/>
                <w:color w:val="auto"/>
                <w:kern w:val="0"/>
                <w:sz w:val="24"/>
                <w:szCs w:val="24"/>
              </w:rPr>
            </w:pPr>
          </w:p>
        </w:tc>
        <w:tc>
          <w:tcPr>
            <w:tcW w:w="55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tLeast"/>
              <w:jc w:val="center"/>
              <w:rPr>
                <w:rFonts w:ascii="Arial" w:hAnsi="Arial" w:eastAsia="宋体" w:cs="Arial"/>
                <w:color w:val="auto"/>
                <w:kern w:val="0"/>
                <w:sz w:val="24"/>
                <w:szCs w:val="24"/>
              </w:rPr>
            </w:pPr>
            <w:r>
              <w:rPr>
                <w:rFonts w:hint="eastAsia" w:ascii="宋体" w:hAnsi="宋体" w:eastAsia="宋体" w:cs="Arial"/>
                <w:color w:val="auto"/>
                <w:kern w:val="0"/>
                <w:sz w:val="24"/>
                <w:szCs w:val="24"/>
              </w:rPr>
              <w:t>结果维持</w:t>
            </w:r>
          </w:p>
        </w:tc>
        <w:tc>
          <w:tcPr>
            <w:tcW w:w="60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tLeast"/>
              <w:jc w:val="center"/>
              <w:rPr>
                <w:rFonts w:ascii="Arial" w:hAnsi="Arial" w:eastAsia="宋体" w:cs="Arial"/>
                <w:color w:val="auto"/>
                <w:kern w:val="0"/>
                <w:sz w:val="24"/>
                <w:szCs w:val="24"/>
              </w:rPr>
            </w:pPr>
            <w:r>
              <w:rPr>
                <w:rFonts w:hint="eastAsia" w:ascii="宋体" w:hAnsi="宋体" w:eastAsia="宋体" w:cs="Arial"/>
                <w:color w:val="auto"/>
                <w:kern w:val="0"/>
                <w:sz w:val="24"/>
                <w:szCs w:val="24"/>
              </w:rPr>
              <w:t>结果纠正</w:t>
            </w:r>
          </w:p>
        </w:tc>
        <w:tc>
          <w:tcPr>
            <w:tcW w:w="60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tLeast"/>
              <w:jc w:val="center"/>
              <w:rPr>
                <w:rFonts w:ascii="Arial" w:hAnsi="Arial" w:eastAsia="宋体" w:cs="Arial"/>
                <w:color w:val="auto"/>
                <w:kern w:val="0"/>
                <w:sz w:val="24"/>
                <w:szCs w:val="24"/>
              </w:rPr>
            </w:pPr>
            <w:r>
              <w:rPr>
                <w:rFonts w:hint="eastAsia" w:ascii="宋体" w:hAnsi="宋体" w:eastAsia="宋体" w:cs="Arial"/>
                <w:color w:val="auto"/>
                <w:kern w:val="0"/>
                <w:sz w:val="24"/>
                <w:szCs w:val="24"/>
              </w:rPr>
              <w:t>其他结果</w:t>
            </w:r>
          </w:p>
        </w:tc>
        <w:tc>
          <w:tcPr>
            <w:tcW w:w="60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tLeast"/>
              <w:jc w:val="center"/>
              <w:rPr>
                <w:rFonts w:ascii="Arial" w:hAnsi="Arial" w:eastAsia="宋体" w:cs="Arial"/>
                <w:color w:val="auto"/>
                <w:kern w:val="0"/>
                <w:sz w:val="24"/>
                <w:szCs w:val="24"/>
              </w:rPr>
            </w:pPr>
            <w:r>
              <w:rPr>
                <w:rFonts w:hint="eastAsia" w:ascii="宋体" w:hAnsi="宋体" w:eastAsia="宋体" w:cs="Arial"/>
                <w:color w:val="auto"/>
                <w:kern w:val="0"/>
                <w:sz w:val="24"/>
                <w:szCs w:val="24"/>
              </w:rPr>
              <w:t>尚未审结</w:t>
            </w:r>
          </w:p>
        </w:tc>
        <w:tc>
          <w:tcPr>
            <w:tcW w:w="60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tLeast"/>
              <w:jc w:val="center"/>
              <w:rPr>
                <w:rFonts w:ascii="Arial" w:hAnsi="Arial" w:eastAsia="宋体" w:cs="Arial"/>
                <w:color w:val="auto"/>
                <w:kern w:val="0"/>
                <w:sz w:val="24"/>
                <w:szCs w:val="24"/>
              </w:rPr>
            </w:pPr>
            <w:r>
              <w:rPr>
                <w:rFonts w:hint="eastAsia" w:ascii="宋体" w:hAnsi="宋体" w:eastAsia="宋体" w:cs="Arial"/>
                <w:color w:val="auto"/>
                <w:kern w:val="0"/>
                <w:sz w:val="24"/>
                <w:szCs w:val="24"/>
              </w:rPr>
              <w:t>总计</w:t>
            </w:r>
          </w:p>
        </w:tc>
        <w:tc>
          <w:tcPr>
            <w:tcW w:w="60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tLeast"/>
              <w:jc w:val="center"/>
              <w:rPr>
                <w:rFonts w:ascii="Arial" w:hAnsi="Arial" w:eastAsia="宋体" w:cs="Arial"/>
                <w:color w:val="auto"/>
                <w:kern w:val="0"/>
                <w:sz w:val="24"/>
                <w:szCs w:val="24"/>
              </w:rPr>
            </w:pPr>
            <w:r>
              <w:rPr>
                <w:rFonts w:hint="eastAsia" w:ascii="宋体" w:hAnsi="宋体" w:eastAsia="宋体" w:cs="Arial"/>
                <w:color w:val="auto"/>
                <w:kern w:val="0"/>
                <w:sz w:val="24"/>
                <w:szCs w:val="24"/>
              </w:rPr>
              <w:t>结果维持</w:t>
            </w:r>
          </w:p>
        </w:tc>
        <w:tc>
          <w:tcPr>
            <w:tcW w:w="60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tLeast"/>
              <w:jc w:val="center"/>
              <w:rPr>
                <w:rFonts w:ascii="Arial" w:hAnsi="Arial" w:eastAsia="宋体" w:cs="Arial"/>
                <w:color w:val="auto"/>
                <w:kern w:val="0"/>
                <w:sz w:val="24"/>
                <w:szCs w:val="24"/>
              </w:rPr>
            </w:pPr>
            <w:r>
              <w:rPr>
                <w:rFonts w:hint="eastAsia" w:ascii="宋体" w:hAnsi="宋体" w:eastAsia="宋体" w:cs="Arial"/>
                <w:color w:val="auto"/>
                <w:kern w:val="0"/>
                <w:sz w:val="24"/>
                <w:szCs w:val="24"/>
              </w:rPr>
              <w:t>结果纠正</w:t>
            </w:r>
          </w:p>
        </w:tc>
        <w:tc>
          <w:tcPr>
            <w:tcW w:w="60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tLeast"/>
              <w:jc w:val="center"/>
              <w:rPr>
                <w:rFonts w:ascii="Arial" w:hAnsi="Arial" w:eastAsia="宋体" w:cs="Arial"/>
                <w:color w:val="auto"/>
                <w:kern w:val="0"/>
                <w:sz w:val="24"/>
                <w:szCs w:val="24"/>
              </w:rPr>
            </w:pPr>
            <w:r>
              <w:rPr>
                <w:rFonts w:hint="eastAsia" w:ascii="宋体" w:hAnsi="宋体" w:eastAsia="宋体" w:cs="Arial"/>
                <w:color w:val="auto"/>
                <w:kern w:val="0"/>
                <w:sz w:val="24"/>
                <w:szCs w:val="24"/>
              </w:rPr>
              <w:t>其他结果</w:t>
            </w:r>
          </w:p>
        </w:tc>
        <w:tc>
          <w:tcPr>
            <w:tcW w:w="60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tLeast"/>
              <w:jc w:val="center"/>
              <w:rPr>
                <w:rFonts w:ascii="Arial" w:hAnsi="Arial" w:eastAsia="宋体" w:cs="Arial"/>
                <w:color w:val="auto"/>
                <w:kern w:val="0"/>
                <w:sz w:val="24"/>
                <w:szCs w:val="24"/>
              </w:rPr>
            </w:pPr>
            <w:r>
              <w:rPr>
                <w:rFonts w:hint="eastAsia" w:ascii="宋体" w:hAnsi="宋体" w:eastAsia="宋体" w:cs="Arial"/>
                <w:color w:val="auto"/>
                <w:kern w:val="0"/>
                <w:sz w:val="24"/>
                <w:szCs w:val="24"/>
              </w:rPr>
              <w:t>尚未审结</w:t>
            </w:r>
          </w:p>
        </w:tc>
        <w:tc>
          <w:tcPr>
            <w:tcW w:w="600" w:type="dxa"/>
            <w:tcBorders>
              <w:top w:val="single" w:color="auto" w:sz="6" w:space="0"/>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tLeast"/>
              <w:jc w:val="center"/>
              <w:rPr>
                <w:rFonts w:ascii="Arial" w:hAnsi="Arial" w:eastAsia="宋体" w:cs="Arial"/>
                <w:color w:val="auto"/>
                <w:kern w:val="0"/>
                <w:sz w:val="24"/>
                <w:szCs w:val="24"/>
              </w:rPr>
            </w:pPr>
            <w:r>
              <w:rPr>
                <w:rFonts w:hint="eastAsia" w:ascii="宋体" w:hAnsi="宋体" w:eastAsia="宋体" w:cs="Arial"/>
                <w:color w:val="auto"/>
                <w:kern w:val="0"/>
                <w:sz w:val="24"/>
                <w:szCs w:val="24"/>
              </w:rPr>
              <w:t>总计</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75" w:type="dxa"/>
            <w:left w:w="150" w:type="dxa"/>
            <w:bottom w:w="75" w:type="dxa"/>
            <w:right w:w="150" w:type="dxa"/>
          </w:tblCellMar>
        </w:tblPrEx>
        <w:trPr>
          <w:trHeight w:val="945" w:hRule="atLeast"/>
          <w:jc w:val="center"/>
        </w:trPr>
        <w:tc>
          <w:tcPr>
            <w:tcW w:w="600" w:type="dxa"/>
            <w:tcBorders>
              <w:top w:val="nil"/>
              <w:left w:val="single" w:color="auto" w:sz="6" w:space="0"/>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tLeast"/>
              <w:jc w:val="center"/>
              <w:rPr>
                <w:rFonts w:ascii="Arial" w:hAnsi="Arial" w:eastAsia="宋体" w:cs="Arial"/>
                <w:color w:val="auto"/>
                <w:kern w:val="0"/>
                <w:sz w:val="24"/>
                <w:szCs w:val="24"/>
              </w:rPr>
            </w:pPr>
            <w:r>
              <w:rPr>
                <w:rFonts w:hint="eastAsia" w:ascii="宋体" w:hAnsi="宋体" w:eastAsia="宋体" w:cs="Arial"/>
                <w:color w:val="auto"/>
                <w:kern w:val="0"/>
                <w:sz w:val="24"/>
                <w:szCs w:val="24"/>
              </w:rPr>
              <w:t>0</w:t>
            </w:r>
          </w:p>
        </w:tc>
        <w:tc>
          <w:tcPr>
            <w:tcW w:w="60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tLeast"/>
              <w:jc w:val="center"/>
              <w:rPr>
                <w:rFonts w:ascii="Arial" w:hAnsi="Arial" w:eastAsia="宋体" w:cs="Arial"/>
                <w:color w:val="auto"/>
                <w:kern w:val="0"/>
                <w:sz w:val="24"/>
                <w:szCs w:val="24"/>
              </w:rPr>
            </w:pPr>
            <w:r>
              <w:rPr>
                <w:rFonts w:hint="eastAsia" w:ascii="宋体" w:hAnsi="宋体" w:eastAsia="宋体" w:cs="Arial"/>
                <w:color w:val="auto"/>
                <w:kern w:val="0"/>
                <w:sz w:val="24"/>
                <w:szCs w:val="24"/>
              </w:rPr>
              <w:t>0</w:t>
            </w:r>
          </w:p>
        </w:tc>
        <w:tc>
          <w:tcPr>
            <w:tcW w:w="60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tLeast"/>
              <w:jc w:val="center"/>
              <w:rPr>
                <w:rFonts w:ascii="Arial" w:hAnsi="Arial" w:eastAsia="宋体" w:cs="Arial"/>
                <w:color w:val="auto"/>
                <w:kern w:val="0"/>
                <w:sz w:val="24"/>
                <w:szCs w:val="24"/>
              </w:rPr>
            </w:pPr>
            <w:r>
              <w:rPr>
                <w:rFonts w:hint="eastAsia" w:ascii="宋体" w:hAnsi="宋体" w:eastAsia="宋体" w:cs="Arial"/>
                <w:color w:val="auto"/>
                <w:kern w:val="0"/>
                <w:sz w:val="24"/>
                <w:szCs w:val="24"/>
              </w:rPr>
              <w:t>0</w:t>
            </w:r>
          </w:p>
        </w:tc>
        <w:tc>
          <w:tcPr>
            <w:tcW w:w="60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tLeast"/>
              <w:jc w:val="center"/>
              <w:rPr>
                <w:rFonts w:ascii="Arial" w:hAnsi="Arial" w:eastAsia="宋体" w:cs="Arial"/>
                <w:color w:val="auto"/>
                <w:kern w:val="0"/>
                <w:sz w:val="24"/>
                <w:szCs w:val="24"/>
              </w:rPr>
            </w:pPr>
            <w:r>
              <w:rPr>
                <w:rFonts w:hint="eastAsia" w:ascii="宋体" w:hAnsi="宋体" w:eastAsia="宋体" w:cs="Arial"/>
                <w:color w:val="auto"/>
                <w:kern w:val="0"/>
                <w:sz w:val="24"/>
                <w:szCs w:val="24"/>
              </w:rPr>
              <w:t>0</w:t>
            </w:r>
          </w:p>
        </w:tc>
        <w:tc>
          <w:tcPr>
            <w:tcW w:w="66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tLeast"/>
              <w:jc w:val="center"/>
              <w:rPr>
                <w:rFonts w:ascii="Arial" w:hAnsi="Arial" w:eastAsia="宋体" w:cs="Arial"/>
                <w:color w:val="auto"/>
                <w:kern w:val="0"/>
                <w:sz w:val="24"/>
                <w:szCs w:val="24"/>
              </w:rPr>
            </w:pPr>
            <w:r>
              <w:rPr>
                <w:rFonts w:hint="eastAsia" w:ascii="宋体" w:hAnsi="宋体" w:eastAsia="宋体" w:cs="Arial"/>
                <w:color w:val="auto"/>
                <w:kern w:val="0"/>
                <w:sz w:val="24"/>
                <w:szCs w:val="24"/>
              </w:rPr>
              <w:t>0</w:t>
            </w:r>
          </w:p>
        </w:tc>
        <w:tc>
          <w:tcPr>
            <w:tcW w:w="555"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tLeast"/>
              <w:jc w:val="center"/>
              <w:rPr>
                <w:rFonts w:ascii="Arial" w:hAnsi="Arial" w:eastAsia="宋体" w:cs="Arial"/>
                <w:color w:val="auto"/>
                <w:kern w:val="0"/>
                <w:sz w:val="24"/>
                <w:szCs w:val="24"/>
              </w:rPr>
            </w:pPr>
            <w:r>
              <w:rPr>
                <w:rFonts w:hint="eastAsia" w:ascii="宋体" w:hAnsi="宋体" w:eastAsia="宋体" w:cs="Arial"/>
                <w:color w:val="auto"/>
                <w:kern w:val="0"/>
                <w:sz w:val="24"/>
                <w:szCs w:val="24"/>
              </w:rPr>
              <w:t>0</w:t>
            </w:r>
          </w:p>
        </w:tc>
        <w:tc>
          <w:tcPr>
            <w:tcW w:w="60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tLeast"/>
              <w:jc w:val="center"/>
              <w:rPr>
                <w:rFonts w:ascii="Arial" w:hAnsi="Arial" w:eastAsia="宋体" w:cs="Arial"/>
                <w:color w:val="auto"/>
                <w:kern w:val="0"/>
                <w:sz w:val="24"/>
                <w:szCs w:val="24"/>
              </w:rPr>
            </w:pPr>
            <w:r>
              <w:rPr>
                <w:rFonts w:hint="eastAsia" w:ascii="宋体" w:hAnsi="宋体" w:eastAsia="宋体" w:cs="Arial"/>
                <w:color w:val="auto"/>
                <w:kern w:val="0"/>
                <w:sz w:val="24"/>
                <w:szCs w:val="24"/>
              </w:rPr>
              <w:t>0</w:t>
            </w:r>
          </w:p>
        </w:tc>
        <w:tc>
          <w:tcPr>
            <w:tcW w:w="60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tLeast"/>
              <w:jc w:val="center"/>
              <w:rPr>
                <w:rFonts w:ascii="Arial" w:hAnsi="Arial" w:eastAsia="宋体" w:cs="Arial"/>
                <w:color w:val="auto"/>
                <w:kern w:val="0"/>
                <w:sz w:val="24"/>
                <w:szCs w:val="24"/>
              </w:rPr>
            </w:pPr>
            <w:r>
              <w:rPr>
                <w:rFonts w:hint="eastAsia" w:ascii="宋体" w:hAnsi="宋体" w:eastAsia="宋体" w:cs="Arial"/>
                <w:color w:val="auto"/>
                <w:kern w:val="0"/>
                <w:sz w:val="24"/>
                <w:szCs w:val="24"/>
              </w:rPr>
              <w:t>0</w:t>
            </w:r>
          </w:p>
        </w:tc>
        <w:tc>
          <w:tcPr>
            <w:tcW w:w="60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tLeast"/>
              <w:jc w:val="center"/>
              <w:rPr>
                <w:rFonts w:ascii="Arial" w:hAnsi="Arial" w:eastAsia="宋体" w:cs="Arial"/>
                <w:color w:val="auto"/>
                <w:kern w:val="0"/>
                <w:sz w:val="24"/>
                <w:szCs w:val="24"/>
              </w:rPr>
            </w:pPr>
            <w:r>
              <w:rPr>
                <w:rFonts w:hint="eastAsia" w:ascii="宋体" w:hAnsi="宋体" w:eastAsia="宋体" w:cs="Arial"/>
                <w:color w:val="auto"/>
                <w:kern w:val="0"/>
                <w:sz w:val="24"/>
                <w:szCs w:val="24"/>
              </w:rPr>
              <w:t>0</w:t>
            </w:r>
          </w:p>
        </w:tc>
        <w:tc>
          <w:tcPr>
            <w:tcW w:w="60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tLeast"/>
              <w:jc w:val="center"/>
              <w:rPr>
                <w:rFonts w:ascii="Arial" w:hAnsi="Arial" w:eastAsia="宋体" w:cs="Arial"/>
                <w:color w:val="auto"/>
                <w:kern w:val="0"/>
                <w:sz w:val="24"/>
                <w:szCs w:val="24"/>
              </w:rPr>
            </w:pPr>
            <w:r>
              <w:rPr>
                <w:rFonts w:hint="eastAsia" w:ascii="宋体" w:hAnsi="宋体" w:eastAsia="宋体" w:cs="Arial"/>
                <w:color w:val="auto"/>
                <w:kern w:val="0"/>
                <w:sz w:val="24"/>
                <w:szCs w:val="24"/>
              </w:rPr>
              <w:t>0</w:t>
            </w:r>
          </w:p>
        </w:tc>
        <w:tc>
          <w:tcPr>
            <w:tcW w:w="60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tLeast"/>
              <w:jc w:val="center"/>
              <w:rPr>
                <w:rFonts w:ascii="Arial" w:hAnsi="Arial" w:eastAsia="宋体" w:cs="Arial"/>
                <w:color w:val="auto"/>
                <w:kern w:val="0"/>
                <w:sz w:val="24"/>
                <w:szCs w:val="24"/>
              </w:rPr>
            </w:pPr>
            <w:r>
              <w:rPr>
                <w:rFonts w:hint="eastAsia" w:ascii="宋体" w:hAnsi="宋体" w:eastAsia="宋体" w:cs="Arial"/>
                <w:color w:val="auto"/>
                <w:kern w:val="0"/>
                <w:sz w:val="24"/>
                <w:szCs w:val="24"/>
              </w:rPr>
              <w:t>0</w:t>
            </w:r>
          </w:p>
        </w:tc>
        <w:tc>
          <w:tcPr>
            <w:tcW w:w="60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tLeast"/>
              <w:jc w:val="center"/>
              <w:rPr>
                <w:rFonts w:ascii="Arial" w:hAnsi="Arial" w:eastAsia="宋体" w:cs="Arial"/>
                <w:color w:val="auto"/>
                <w:kern w:val="0"/>
                <w:sz w:val="24"/>
                <w:szCs w:val="24"/>
              </w:rPr>
            </w:pPr>
            <w:r>
              <w:rPr>
                <w:rFonts w:hint="eastAsia" w:ascii="宋体" w:hAnsi="宋体" w:eastAsia="宋体" w:cs="Arial"/>
                <w:color w:val="auto"/>
                <w:kern w:val="0"/>
                <w:sz w:val="24"/>
                <w:szCs w:val="24"/>
              </w:rPr>
              <w:t>0</w:t>
            </w:r>
          </w:p>
        </w:tc>
        <w:tc>
          <w:tcPr>
            <w:tcW w:w="60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tLeast"/>
              <w:jc w:val="center"/>
              <w:rPr>
                <w:rFonts w:ascii="Arial" w:hAnsi="Arial" w:eastAsia="宋体" w:cs="Arial"/>
                <w:color w:val="auto"/>
                <w:kern w:val="0"/>
                <w:sz w:val="24"/>
                <w:szCs w:val="24"/>
              </w:rPr>
            </w:pPr>
            <w:r>
              <w:rPr>
                <w:rFonts w:hint="eastAsia" w:ascii="宋体" w:hAnsi="宋体" w:eastAsia="宋体" w:cs="Arial"/>
                <w:color w:val="auto"/>
                <w:kern w:val="0"/>
                <w:sz w:val="24"/>
                <w:szCs w:val="24"/>
              </w:rPr>
              <w:t>0</w:t>
            </w:r>
          </w:p>
        </w:tc>
        <w:tc>
          <w:tcPr>
            <w:tcW w:w="60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tLeast"/>
              <w:jc w:val="center"/>
              <w:rPr>
                <w:rFonts w:ascii="Arial" w:hAnsi="Arial" w:eastAsia="宋体" w:cs="Arial"/>
                <w:color w:val="auto"/>
                <w:kern w:val="0"/>
                <w:sz w:val="24"/>
                <w:szCs w:val="24"/>
              </w:rPr>
            </w:pPr>
            <w:r>
              <w:rPr>
                <w:rFonts w:hint="eastAsia" w:ascii="宋体" w:hAnsi="宋体" w:eastAsia="宋体" w:cs="Arial"/>
                <w:color w:val="auto"/>
                <w:kern w:val="0"/>
                <w:sz w:val="24"/>
                <w:szCs w:val="24"/>
              </w:rPr>
              <w:t>0</w:t>
            </w:r>
          </w:p>
        </w:tc>
        <w:tc>
          <w:tcPr>
            <w:tcW w:w="600" w:type="dxa"/>
            <w:tcBorders>
              <w:top w:val="nil"/>
              <w:left w:val="nil"/>
              <w:bottom w:val="single" w:color="auto" w:sz="6" w:space="0"/>
              <w:right w:val="single" w:color="auto" w:sz="6" w:space="0"/>
            </w:tcBorders>
            <w:tcMar>
              <w:top w:w="0" w:type="dxa"/>
              <w:left w:w="105" w:type="dxa"/>
              <w:bottom w:w="0" w:type="dxa"/>
              <w:right w:w="105" w:type="dxa"/>
            </w:tcMar>
            <w:vAlign w:val="center"/>
          </w:tcPr>
          <w:p>
            <w:pPr>
              <w:widowControl/>
              <w:wordWrap w:val="0"/>
              <w:spacing w:line="360" w:lineRule="atLeast"/>
              <w:jc w:val="center"/>
              <w:rPr>
                <w:rFonts w:ascii="Arial" w:hAnsi="Arial" w:eastAsia="宋体" w:cs="Arial"/>
                <w:color w:val="auto"/>
                <w:kern w:val="0"/>
                <w:sz w:val="24"/>
                <w:szCs w:val="24"/>
              </w:rPr>
            </w:pPr>
            <w:r>
              <w:rPr>
                <w:rFonts w:hint="eastAsia" w:ascii="宋体" w:hAnsi="宋体" w:eastAsia="宋体" w:cs="Arial"/>
                <w:color w:val="auto"/>
                <w:kern w:val="0"/>
                <w:sz w:val="24"/>
                <w:szCs w:val="24"/>
              </w:rPr>
              <w:t>0</w:t>
            </w:r>
          </w:p>
        </w:tc>
      </w:tr>
    </w:tbl>
    <w:p>
      <w:pPr>
        <w:widowControl/>
        <w:spacing w:after="100" w:afterAutospacing="1" w:line="315" w:lineRule="atLeast"/>
        <w:ind w:firstLine="645"/>
        <w:jc w:val="left"/>
        <w:rPr>
          <w:rFonts w:hint="eastAsia" w:ascii="黑体" w:hAnsi="黑体" w:eastAsia="黑体" w:cs="Arial"/>
          <w:color w:val="auto"/>
          <w:kern w:val="0"/>
          <w:sz w:val="32"/>
          <w:szCs w:val="32"/>
        </w:rPr>
      </w:pPr>
      <w:r>
        <w:rPr>
          <w:rFonts w:hint="eastAsia" w:ascii="黑体" w:hAnsi="黑体" w:eastAsia="黑体" w:cs="Arial"/>
          <w:color w:val="auto"/>
          <w:kern w:val="0"/>
          <w:sz w:val="32"/>
          <w:szCs w:val="32"/>
        </w:rPr>
        <w:t>五、存在的主要问题及改进情况</w:t>
      </w:r>
    </w:p>
    <w:p>
      <w:pPr>
        <w:widowControl/>
        <w:spacing w:after="100" w:afterAutospacing="1" w:line="315" w:lineRule="atLeast"/>
        <w:ind w:firstLine="645"/>
        <w:jc w:val="left"/>
        <w:rPr>
          <w:rFonts w:ascii="仿宋_GB2312" w:hAnsi="Arial" w:eastAsia="仿宋_GB2312" w:cs="Arial"/>
          <w:color w:val="auto"/>
          <w:sz w:val="32"/>
          <w:szCs w:val="32"/>
        </w:rPr>
      </w:pPr>
      <w:r>
        <w:rPr>
          <w:rFonts w:hint="eastAsia" w:ascii="仿宋_GB2312" w:hAnsi="Arial" w:eastAsia="仿宋_GB2312" w:cs="Arial"/>
          <w:color w:val="auto"/>
          <w:sz w:val="32"/>
          <w:szCs w:val="32"/>
        </w:rPr>
        <w:t>2020年，在滕州市委、市政府的正确领导下，市气象局政府信息公开工作取得了一定成绩，但也存在一些问题和差距。一是政府信息公开意识有待加强；二是信息公开的全面性、及时性有待提升；三是信息公开长效监管机制有待进一步加强。</w:t>
      </w:r>
      <w:r>
        <w:rPr>
          <w:rFonts w:ascii="仿宋_GB2312" w:hAnsi="Arial" w:eastAsia="仿宋_GB2312" w:cs="Arial"/>
          <w:color w:val="auto"/>
          <w:sz w:val="32"/>
          <w:szCs w:val="32"/>
        </w:rPr>
        <w:br w:type="textWrapping"/>
      </w:r>
      <w:r>
        <w:rPr>
          <w:rFonts w:hint="eastAsia" w:ascii="仿宋_GB2312" w:hAnsi="Arial" w:eastAsia="仿宋_GB2312" w:cs="Arial"/>
          <w:color w:val="auto"/>
          <w:sz w:val="32"/>
          <w:szCs w:val="32"/>
        </w:rPr>
        <w:t xml:space="preserve">    下一步，市气象局将进一步加大主动信息公开数量和质量，不断充实信息公开的内容，规范发布信息行为，提高广大市民群众参与信息公开的积极性，全力推进政府信息公开工作健康有效开展。</w:t>
      </w:r>
    </w:p>
    <w:p>
      <w:pPr>
        <w:widowControl/>
        <w:spacing w:after="100" w:afterAutospacing="1" w:line="560" w:lineRule="exact"/>
        <w:ind w:firstLine="645"/>
        <w:jc w:val="left"/>
        <w:rPr>
          <w:rFonts w:ascii="黑体" w:hAnsi="黑体" w:eastAsia="黑体" w:cs="Arial"/>
          <w:color w:val="auto"/>
          <w:kern w:val="0"/>
          <w:sz w:val="24"/>
          <w:szCs w:val="24"/>
        </w:rPr>
      </w:pPr>
      <w:r>
        <w:rPr>
          <w:rFonts w:hint="eastAsia" w:ascii="黑体" w:hAnsi="黑体" w:eastAsia="黑体" w:cs="Arial"/>
          <w:color w:val="auto"/>
          <w:kern w:val="0"/>
          <w:sz w:val="32"/>
          <w:szCs w:val="32"/>
        </w:rPr>
        <w:t>六、其他需要报告的事项</w:t>
      </w:r>
    </w:p>
    <w:p>
      <w:pPr>
        <w:widowControl/>
        <w:spacing w:before="100" w:beforeAutospacing="1" w:after="100" w:afterAutospacing="1" w:line="560" w:lineRule="exact"/>
        <w:ind w:firstLine="640" w:firstLineChars="200"/>
        <w:jc w:val="left"/>
        <w:rPr>
          <w:rFonts w:hint="eastAsia" w:ascii="仿宋_GB2312" w:hAnsi="仿宋" w:eastAsia="仿宋_GB2312" w:cs="Arial"/>
          <w:color w:val="auto"/>
          <w:kern w:val="0"/>
          <w:sz w:val="26"/>
          <w:szCs w:val="26"/>
        </w:rPr>
      </w:pPr>
      <w:r>
        <w:rPr>
          <w:rFonts w:hint="eastAsia" w:ascii="仿宋_GB2312" w:hAnsi="仿宋" w:eastAsia="仿宋_GB2312" w:cs="Arial"/>
          <w:color w:val="auto"/>
          <w:kern w:val="0"/>
          <w:sz w:val="32"/>
          <w:szCs w:val="32"/>
        </w:rPr>
        <w:t>本报告的电子版可在“中国滕州网”（www.tengzhou.gov.cn）网站查询和下载。如对本报告有任何疑问，请与滕州市气象局办公室联系。（地址：山东省滕州市学院东路2019号三楼办公室，联系电话：0632—8356052，电子邮箱：tzqx121@163.com）</w:t>
      </w:r>
      <w:r>
        <w:rPr>
          <w:rFonts w:hint="eastAsia" w:ascii="仿宋_GB2312" w:hAnsi="仿宋" w:eastAsia="仿宋_GB2312" w:cs="Arial"/>
          <w:color w:val="auto"/>
          <w:kern w:val="0"/>
          <w:sz w:val="26"/>
          <w:szCs w:val="26"/>
        </w:rPr>
        <w:t> </w:t>
      </w:r>
    </w:p>
    <w:p>
      <w:pPr>
        <w:widowControl/>
        <w:spacing w:before="100" w:beforeAutospacing="1" w:after="100" w:afterAutospacing="1" w:line="560" w:lineRule="exact"/>
        <w:ind w:firstLine="520" w:firstLineChars="200"/>
        <w:jc w:val="left"/>
        <w:rPr>
          <w:rFonts w:hint="eastAsia" w:ascii="仿宋_GB2312" w:hAnsi="仿宋" w:eastAsia="仿宋_GB2312" w:cs="Arial"/>
          <w:color w:val="auto"/>
          <w:kern w:val="0"/>
          <w:sz w:val="26"/>
          <w:szCs w:val="26"/>
        </w:rPr>
      </w:pPr>
    </w:p>
    <w:p>
      <w:pPr>
        <w:widowControl/>
        <w:spacing w:before="100" w:beforeAutospacing="1" w:after="100" w:afterAutospacing="1" w:line="315" w:lineRule="atLeast"/>
        <w:ind w:left="4209" w:leftChars="0" w:hanging="4209" w:hangingChars="1619"/>
        <w:jc w:val="left"/>
        <w:rPr>
          <w:rFonts w:ascii="Arial" w:hAnsi="Arial" w:eastAsia="宋体" w:cs="Arial"/>
          <w:color w:val="auto"/>
          <w:kern w:val="0"/>
          <w:sz w:val="24"/>
          <w:szCs w:val="24"/>
        </w:rPr>
      </w:pPr>
      <w:r>
        <w:rPr>
          <w:rFonts w:hint="eastAsia" w:ascii="仿宋" w:hAnsi="仿宋" w:eastAsia="仿宋" w:cs="Arial"/>
          <w:color w:val="auto"/>
          <w:kern w:val="0"/>
          <w:sz w:val="26"/>
          <w:szCs w:val="26"/>
        </w:rPr>
        <w:t>                                   </w:t>
      </w:r>
      <w:r>
        <w:rPr>
          <w:rFonts w:hint="eastAsia" w:ascii="仿宋" w:hAnsi="仿宋" w:eastAsia="仿宋" w:cs="Arial"/>
          <w:color w:val="auto"/>
          <w:kern w:val="0"/>
          <w:sz w:val="32"/>
          <w:szCs w:val="32"/>
        </w:rPr>
        <w:t> 滕州市气象局  </w:t>
      </w:r>
      <w:r>
        <w:rPr>
          <w:rFonts w:hint="eastAsia" w:ascii="仿宋" w:hAnsi="仿宋" w:eastAsia="仿宋" w:cs="Arial"/>
          <w:color w:val="auto"/>
          <w:kern w:val="0"/>
          <w:sz w:val="32"/>
          <w:szCs w:val="32"/>
        </w:rPr>
        <w:br w:type="textWrapping"/>
      </w:r>
      <w:r>
        <w:rPr>
          <w:rFonts w:hint="eastAsia" w:ascii="仿宋" w:hAnsi="仿宋" w:eastAsia="仿宋" w:cs="Arial"/>
          <w:color w:val="auto"/>
          <w:kern w:val="0"/>
          <w:sz w:val="32"/>
          <w:szCs w:val="32"/>
        </w:rPr>
        <w:t>  2021年1月30日</w:t>
      </w:r>
    </w:p>
    <w:p>
      <w:pPr>
        <w:rPr>
          <w:color w:val="auto"/>
        </w:rPr>
      </w:pPr>
    </w:p>
    <w:sectPr>
      <w:footerReference r:id="rId3" w:type="default"/>
      <w:pgSz w:w="11906" w:h="16838"/>
      <w:pgMar w:top="1440" w:right="1474" w:bottom="1440" w:left="1587" w:header="851" w:footer="992" w:gutter="0"/>
      <w:paperSrc/>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2"/>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81620"/>
    <w:rsid w:val="00007E42"/>
    <w:rsid w:val="000B5607"/>
    <w:rsid w:val="002D198D"/>
    <w:rsid w:val="005772D9"/>
    <w:rsid w:val="00682BD8"/>
    <w:rsid w:val="006A2099"/>
    <w:rsid w:val="008829EA"/>
    <w:rsid w:val="00A81620"/>
    <w:rsid w:val="00B549A4"/>
    <w:rsid w:val="00BE5618"/>
    <w:rsid w:val="00E3101B"/>
    <w:rsid w:val="00E55E3D"/>
    <w:rsid w:val="00ED63DF"/>
    <w:rsid w:val="00F858A4"/>
    <w:rsid w:val="00FD17D8"/>
    <w:rsid w:val="00FE3630"/>
    <w:rsid w:val="6B7C5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semiHidden/>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uiPriority w:val="99"/>
    <w:pPr>
      <w:widowControl/>
      <w:spacing w:before="100" w:beforeAutospacing="1" w:after="100" w:afterAutospacing="1" w:line="360" w:lineRule="atLeast"/>
      <w:jc w:val="left"/>
    </w:pPr>
    <w:rPr>
      <w:rFonts w:ascii="宋体" w:hAnsi="宋体" w:eastAsia="宋体" w:cs="宋体"/>
      <w:kern w:val="0"/>
      <w:sz w:val="24"/>
      <w:szCs w:val="24"/>
    </w:rPr>
  </w:style>
  <w:style w:type="character" w:customStyle="1" w:styleId="7">
    <w:name w:val="Subtle Emphasis"/>
    <w:basedOn w:val="6"/>
    <w:qFormat/>
    <w:uiPriority w:val="19"/>
    <w:rPr>
      <w:i/>
      <w:iCs/>
      <w:color w:val="7F7F7F" w:themeColor="text1" w:themeTint="7F"/>
    </w:rPr>
  </w:style>
  <w:style w:type="paragraph" w:styleId="8">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9">
    <w:name w:val="页眉 Char"/>
    <w:basedOn w:val="6"/>
    <w:link w:val="3"/>
    <w:semiHidden/>
    <w:uiPriority w:val="99"/>
    <w:rPr>
      <w:sz w:val="18"/>
      <w:szCs w:val="18"/>
    </w:rPr>
  </w:style>
  <w:style w:type="character" w:customStyle="1" w:styleId="10">
    <w:name w:val="页脚 Char"/>
    <w:basedOn w:val="6"/>
    <w:link w:val="2"/>
    <w:semiHidden/>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463</Words>
  <Characters>2643</Characters>
  <Lines>22</Lines>
  <Paragraphs>6</Paragraphs>
  <TotalTime>89</TotalTime>
  <ScaleCrop>false</ScaleCrop>
  <LinksUpToDate>false</LinksUpToDate>
  <CharactersWithSpaces>3100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2021-05-28T01:36:00Z</dcterms:created>
  <dc:creator>Administrator</dc:creator>
  <cp:lastModifiedBy>张本卿(拟稿)</cp:lastModifiedBy>
  <dcterms:modified xsi:type="dcterms:W3CDTF">2021-05-28T03:32:04Z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81C470B31B714F93A1CBDACC04AE36EB</vt:lpwstr>
  </property>
</Properties>
</file>