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outlineLvl w:val="9"/>
        <w:rPr>
          <w:rFonts w:hint="eastAsia" w:ascii="方正小标宋简体" w:hAnsi="Arial" w:eastAsia="方正小标宋简体" w:cs="Arial"/>
          <w:color w:val="000000"/>
          <w:spacing w:val="-8"/>
          <w:kern w:val="0"/>
          <w:sz w:val="44"/>
          <w:szCs w:val="44"/>
        </w:rPr>
      </w:pPr>
      <w:r>
        <w:rPr>
          <w:rFonts w:hint="eastAsia" w:ascii="方正小标宋简体" w:hAnsi="Arial" w:eastAsia="方正小标宋简体" w:cs="Arial"/>
          <w:color w:val="000000"/>
          <w:spacing w:val="-8"/>
          <w:kern w:val="0"/>
          <w:sz w:val="44"/>
          <w:szCs w:val="44"/>
          <w:lang w:val="en-US" w:eastAsia="zh-CN"/>
        </w:rPr>
        <w:t>滕州市官桥镇</w:t>
      </w:r>
      <w:r>
        <w:rPr>
          <w:rFonts w:hint="eastAsia" w:ascii="方正小标宋简体" w:hAnsi="Arial" w:eastAsia="方正小标宋简体" w:cs="Arial"/>
          <w:color w:val="000000"/>
          <w:spacing w:val="-8"/>
          <w:kern w:val="0"/>
          <w:sz w:val="44"/>
          <w:szCs w:val="44"/>
        </w:rPr>
        <w:t>2020年度政府信息公开</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方正小标宋简体" w:hAnsi="Arial" w:eastAsia="方正小标宋简体" w:cs="Arial"/>
          <w:color w:val="000000"/>
          <w:kern w:val="0"/>
          <w:sz w:val="44"/>
          <w:szCs w:val="44"/>
        </w:rPr>
      </w:pPr>
      <w:r>
        <w:rPr>
          <w:rFonts w:hint="eastAsia" w:ascii="方正小标宋简体" w:hAnsi="Arial" w:eastAsia="方正小标宋简体" w:cs="Arial"/>
          <w:color w:val="000000"/>
          <w:spacing w:val="-8"/>
          <w:kern w:val="0"/>
          <w:sz w:val="44"/>
          <w:szCs w:val="44"/>
        </w:rPr>
        <w:t>工作</w:t>
      </w:r>
      <w:r>
        <w:rPr>
          <w:rFonts w:hint="eastAsia" w:ascii="方正小标宋简体" w:hAnsi="Arial" w:eastAsia="方正小标宋简体" w:cs="Arial"/>
          <w:color w:val="000000"/>
          <w:kern w:val="0"/>
          <w:sz w:val="44"/>
          <w:szCs w:val="44"/>
        </w:rPr>
        <w:t>年度报告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outlineLvl w:val="9"/>
        <w:rPr>
          <w:rFonts w:hint="eastAsia" w:ascii="方正小标宋简体" w:hAnsi="Arial" w:eastAsia="方正小标宋简体" w:cs="Arial"/>
          <w:color w:val="000000"/>
          <w:kern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right="0" w:firstLine="640" w:firstLineChars="200"/>
        <w:textAlignment w:val="auto"/>
        <w:outlineLvl w:val="9"/>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rPr>
        <w:t>根据《中华人民共和国政府信息公开条例》和《国务院办公厅政府信息与政务公开办公室关于政府信息公开年度报告有关事项的通知》规定，按照省政府办公厅</w:t>
      </w:r>
      <w:r>
        <w:rPr>
          <w:rFonts w:hint="eastAsia" w:ascii="仿宋_GB2312" w:hAnsi="Arial" w:eastAsia="仿宋_GB2312" w:cs="Arial"/>
          <w:color w:val="000000"/>
          <w:kern w:val="0"/>
          <w:sz w:val="32"/>
          <w:szCs w:val="32"/>
          <w:lang w:eastAsia="zh-CN"/>
        </w:rPr>
        <w:t>和枣庄政府办公室</w:t>
      </w:r>
      <w:r>
        <w:rPr>
          <w:rFonts w:hint="eastAsia" w:ascii="仿宋_GB2312" w:hAnsi="Arial" w:eastAsia="仿宋_GB2312" w:cs="Arial"/>
          <w:color w:val="000000"/>
          <w:kern w:val="0"/>
          <w:sz w:val="32"/>
          <w:szCs w:val="32"/>
          <w:lang w:val="en-US" w:eastAsia="zh-CN"/>
        </w:rPr>
        <w:t>、滕州市政府办公室要求，特编制官桥镇2020年政府信息公开工作年度报告并向社会公布。年度报告中所列数据的统计期限自2020年1月1日起至2020年12月31日止。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right="0" w:firstLine="480" w:firstLineChars="200"/>
        <w:textAlignment w:val="auto"/>
        <w:outlineLvl w:val="9"/>
      </w:pPr>
      <w:r>
        <w:rPr>
          <w:rFonts w:asciiTheme="minorHAnsi" w:hAnsiTheme="minorHAnsi" w:eastAsiaTheme="minorEastAsia" w:cstheme="minorBidi"/>
          <w:kern w:val="0"/>
          <w:sz w:val="24"/>
          <w:szCs w:val="24"/>
          <w:lang w:val="en-US" w:eastAsia="zh-CN" w:bidi="ar"/>
        </w:rPr>
        <w:t> </w:t>
      </w:r>
      <w:r>
        <w:rPr>
          <w:rFonts w:hint="eastAsia" w:ascii="黑体" w:hAnsi="黑体" w:eastAsia="黑体" w:cs="宋体"/>
          <w:color w:val="000000"/>
          <w:kern w:val="0"/>
          <w:sz w:val="32"/>
          <w:szCs w:val="32"/>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640" w:firstLineChars="200"/>
        <w:jc w:val="left"/>
        <w:textAlignment w:val="auto"/>
        <w:outlineLvl w:val="9"/>
        <w:rPr>
          <w:rFonts w:hint="eastAsia" w:ascii="仿宋_GB2312" w:hAnsi="仿宋_GB2312" w:eastAsia="仿宋_GB2312" w:cs="仿宋_GB2312"/>
          <w:color w:val="000000"/>
          <w:kern w:val="0"/>
          <w:sz w:val="32"/>
          <w:szCs w:val="32"/>
          <w:lang w:val="en-US" w:eastAsia="zh-CN" w:bidi="ar"/>
        </w:rPr>
      </w:pPr>
      <w:r>
        <w:rPr>
          <w:rFonts w:hint="eastAsia" w:ascii="仿宋_GB2312" w:hAnsi="Arial" w:eastAsia="仿宋_GB2312" w:cs="Arial"/>
          <w:color w:val="000000"/>
          <w:kern w:val="0"/>
          <w:sz w:val="32"/>
          <w:szCs w:val="32"/>
          <w:lang w:val="en-US" w:eastAsia="zh-CN" w:bidi="ar"/>
        </w:rPr>
        <w:t>官桥镇高度重视政府信息公开工作，认真贯彻落实省、市政府信息公开工作会议精神，全面深入推进政府信息公开工作，坚持把政府信息公开工作作为规范行业作风，促进依法行政的重要举措来抓。完善信息公开组织机构建设，深化政府信息公开内容，规范政府信息公开程序，切实保障群众的知</w:t>
      </w:r>
      <w:r>
        <w:rPr>
          <w:rFonts w:hint="eastAsia" w:ascii="仿宋_GB2312" w:hAnsi="仿宋_GB2312" w:eastAsia="仿宋_GB2312" w:cs="仿宋_GB2312"/>
          <w:color w:val="000000"/>
          <w:kern w:val="0"/>
          <w:sz w:val="32"/>
          <w:szCs w:val="32"/>
          <w:lang w:val="en-US" w:eastAsia="zh-CN" w:bidi="ar"/>
        </w:rPr>
        <w:t>情权、参与权和监督权。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（一）主动公开政府信息情况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作为政府信息公开的第一载体，“官桥镇人民政府门户网站”通过及时发布工作动态，并将可对外公开的公告通知、政策文件、工作动态等上网公布，增强了公众对政府的了解。2020年，官桥镇在滕州市政府信息公开网站更新发布政务信息700余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drawing>
          <wp:inline distT="0" distB="0" distL="114300" distR="114300">
            <wp:extent cx="5271770" cy="1513840"/>
            <wp:effectExtent l="0" t="0" r="5080" b="10160"/>
            <wp:docPr id="2" name="图片 2" descr="微信图片_2021052616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526165443"/>
                    <pic:cNvPicPr>
                      <a:picLocks noChangeAspect="1"/>
                    </pic:cNvPicPr>
                  </pic:nvPicPr>
                  <pic:blipFill>
                    <a:blip r:embed="rId4"/>
                    <a:stretch>
                      <a:fillRect/>
                    </a:stretch>
                  </pic:blipFill>
                  <pic:spPr>
                    <a:xfrm>
                      <a:off x="0" y="0"/>
                      <a:ext cx="5271770" cy="151384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drawing>
          <wp:inline distT="0" distB="0" distL="114300" distR="114300">
            <wp:extent cx="5266690" cy="1412875"/>
            <wp:effectExtent l="0" t="0" r="10160" b="15875"/>
            <wp:docPr id="4" name="图片 4" descr="微信图片_2021052616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526165455"/>
                    <pic:cNvPicPr>
                      <a:picLocks noChangeAspect="1"/>
                    </pic:cNvPicPr>
                  </pic:nvPicPr>
                  <pic:blipFill>
                    <a:blip r:embed="rId5"/>
                    <a:stretch>
                      <a:fillRect/>
                    </a:stretch>
                  </pic:blipFill>
                  <pic:spPr>
                    <a:xfrm>
                      <a:off x="0" y="0"/>
                      <a:ext cx="5266690" cy="1412875"/>
                    </a:xfrm>
                    <a:prstGeom prst="rect">
                      <a:avLst/>
                    </a:prstGeom>
                  </pic:spPr>
                </pic:pic>
              </a:graphicData>
            </a:graphic>
          </wp:inline>
        </w:drawing>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（二）依申请公开政府信息情况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eastAsia="zh-CN"/>
        </w:rPr>
        <w:t>坚持“归口办理、依法有据、严谨规范、慎重稳妥”的原则，完善受理、审查、处理、答复以及保存备查等各环节流程，保证</w:t>
      </w:r>
      <w:r>
        <w:rPr>
          <w:rFonts w:hint="eastAsia" w:ascii="仿宋_GB2312" w:hAnsi="仿宋_GB2312" w:eastAsia="仿宋_GB2312" w:cs="仿宋_GB2312"/>
          <w:i w:val="0"/>
          <w:caps w:val="0"/>
          <w:color w:val="000000"/>
          <w:spacing w:val="0"/>
          <w:sz w:val="32"/>
          <w:szCs w:val="32"/>
          <w:shd w:val="clear" w:fill="FFFFFF"/>
        </w:rPr>
        <w:t>政府信息依申请公开渠道畅通</w:t>
      </w:r>
      <w:r>
        <w:rPr>
          <w:rFonts w:hint="eastAsia" w:ascii="仿宋_GB2312" w:hAnsi="仿宋_GB2312" w:eastAsia="仿宋_GB2312" w:cs="仿宋_GB2312"/>
          <w:i w:val="0"/>
          <w:caps w:val="0"/>
          <w:color w:val="000000"/>
          <w:spacing w:val="0"/>
          <w:sz w:val="32"/>
          <w:szCs w:val="32"/>
          <w:shd w:val="clear" w:fill="FFFFFF"/>
          <w:lang w:eastAsia="zh-CN"/>
        </w:rPr>
        <w:t>、流程科学</w:t>
      </w:r>
      <w:r>
        <w:rPr>
          <w:rFonts w:hint="eastAsia" w:ascii="仿宋_GB2312" w:hAnsi="仿宋_GB2312" w:eastAsia="仿宋_GB2312" w:cs="仿宋_GB2312"/>
          <w:i w:val="0"/>
          <w:caps w:val="0"/>
          <w:color w:val="000000"/>
          <w:spacing w:val="0"/>
          <w:sz w:val="32"/>
          <w:szCs w:val="32"/>
          <w:shd w:val="clear" w:fill="FFFFFF"/>
        </w:rPr>
        <w:t>，依法保障公民、法人和其他组织获取政府信息的权利</w:t>
      </w:r>
      <w:r>
        <w:rPr>
          <w:rFonts w:hint="eastAsia" w:ascii="仿宋_GB2312" w:hAnsi="仿宋_GB2312" w:eastAsia="仿宋_GB2312" w:cs="仿宋_GB2312"/>
          <w:i w:val="0"/>
          <w:caps w:val="0"/>
          <w:color w:val="000000"/>
          <w:spacing w:val="0"/>
          <w:sz w:val="32"/>
          <w:szCs w:val="32"/>
          <w:shd w:val="clear" w:fill="FFFFFF"/>
          <w:lang w:eastAsia="zh-CN"/>
        </w:rPr>
        <w:t>，真正提升效能、服务于民。</w:t>
      </w:r>
      <w:r>
        <w:rPr>
          <w:rFonts w:hint="eastAsia" w:ascii="仿宋_GB2312" w:hAnsi="仿宋_GB2312" w:eastAsia="仿宋_GB2312" w:cs="仿宋_GB2312"/>
          <w:i w:val="0"/>
          <w:caps w:val="0"/>
          <w:color w:val="000000"/>
          <w:spacing w:val="0"/>
          <w:sz w:val="32"/>
          <w:szCs w:val="32"/>
          <w:shd w:val="clear" w:fill="FFFFFF"/>
        </w:rPr>
        <w:t>2020年，未收到要求公开政府信息的申请</w:t>
      </w:r>
      <w:r>
        <w:rPr>
          <w:rFonts w:hint="eastAsia" w:ascii="仿宋_GB2312" w:hAnsi="仿宋_GB2312" w:eastAsia="仿宋_GB2312" w:cs="仿宋_GB2312"/>
          <w:i w:val="0"/>
          <w:caps w:val="0"/>
          <w:color w:val="000000"/>
          <w:spacing w:val="0"/>
          <w:sz w:val="32"/>
          <w:szCs w:val="32"/>
          <w:shd w:val="clear" w:fill="FFFFFF"/>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color w:val="000000"/>
          <w:kern w:val="0"/>
          <w:sz w:val="32"/>
          <w:szCs w:val="32"/>
          <w:lang w:val="en-US" w:eastAsia="zh-CN" w:bidi="ar"/>
        </w:rPr>
        <w:t>成立了政府信息公开工作领导小组，加强对政府信息公开工作的领导和实施，负责推进、指导、协调、监督全镇政府信息公开工作，具体负责信息公开的汇总、审核、公布和受理申请等工作，严格把关政府信息公开内容审查</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color w:val="000000"/>
          <w:kern w:val="0"/>
          <w:sz w:val="32"/>
          <w:szCs w:val="32"/>
          <w:lang w:val="en-US" w:eastAsia="zh-CN" w:bidi="ar"/>
        </w:rPr>
        <w:t>同时，扎实做好信息公开各项保障工作，严格按照信息发布流程开展工作，积极参加市级信息公开培训，推进和规范政府信息公开工作。2020年度无违反规定和失泄密情况。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（四）</w:t>
      </w:r>
      <w:r>
        <w:rPr>
          <w:rFonts w:hint="eastAsia" w:ascii="仿宋_GB2312" w:hAnsi="仿宋_GB2312" w:eastAsia="仿宋_GB2312" w:cs="仿宋_GB2312"/>
          <w:i w:val="0"/>
          <w:caps w:val="0"/>
          <w:color w:val="000000"/>
          <w:spacing w:val="0"/>
          <w:sz w:val="32"/>
          <w:szCs w:val="32"/>
          <w:shd w:val="clear" w:fill="FFFFFF"/>
          <w:lang w:eastAsia="zh-CN"/>
        </w:rPr>
        <w:t>公开</w:t>
      </w:r>
      <w:r>
        <w:rPr>
          <w:rFonts w:hint="eastAsia" w:ascii="仿宋_GB2312" w:hAnsi="仿宋_GB2312" w:eastAsia="仿宋_GB2312" w:cs="仿宋_GB2312"/>
          <w:i w:val="0"/>
          <w:caps w:val="0"/>
          <w:color w:val="000000"/>
          <w:spacing w:val="0"/>
          <w:sz w:val="32"/>
          <w:szCs w:val="32"/>
          <w:shd w:val="clear" w:fill="FFFFFF"/>
        </w:rPr>
        <w:t>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结合《2020年山东省政务公开工作要</w:t>
      </w:r>
      <w:r>
        <w:rPr>
          <w:rFonts w:hint="eastAsia" w:ascii="仿宋_GB2312" w:hAnsi="仿宋_GB2312" w:eastAsia="仿宋_GB2312" w:cs="仿宋_GB2312"/>
          <w:i w:val="0"/>
          <w:caps w:val="0"/>
          <w:color w:val="000000"/>
          <w:spacing w:val="0"/>
          <w:sz w:val="32"/>
          <w:szCs w:val="32"/>
          <w:shd w:val="clear" w:fill="FFFFFF"/>
          <w:lang w:eastAsia="zh-CN"/>
        </w:rPr>
        <w:t>点</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color w:val="000000"/>
          <w:kern w:val="0"/>
          <w:sz w:val="32"/>
          <w:szCs w:val="32"/>
          <w:lang w:val="en-US" w:eastAsia="zh-CN" w:bidi="ar"/>
        </w:rPr>
        <w:t>加强网站内容建设，规范栏目设置，做好政府信息公开网站与官桥镇人民政府门户网站联动关系，做到栏目及时更新</w:t>
      </w:r>
      <w:r>
        <w:rPr>
          <w:rFonts w:hint="eastAsia" w:ascii="仿宋_GB2312" w:hAnsi="仿宋_GB2312" w:eastAsia="仿宋_GB2312" w:cs="仿宋_GB2312"/>
          <w:i w:val="0"/>
          <w:caps w:val="0"/>
          <w:color w:val="000000"/>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建立了政府信息公开工作考核制度和责任追究制度，定期对政府信息公开工作进行考核、评议。对未按照要求开展信息公开工作的，予以督促整改或通报批评。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（六）建议提案办理结果公开情况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2020年度共办理人大建议1条，</w:t>
      </w:r>
      <w:r>
        <w:rPr>
          <w:rFonts w:hint="eastAsia" w:ascii="仿宋_GB2312" w:hAnsi="仿宋_GB2312" w:eastAsia="仿宋_GB2312" w:cs="仿宋_GB2312"/>
          <w:i w:val="0"/>
          <w:caps w:val="0"/>
          <w:color w:val="000000"/>
          <w:spacing w:val="0"/>
          <w:sz w:val="32"/>
          <w:szCs w:val="32"/>
          <w:shd w:val="clear" w:fill="FFFFFF"/>
          <w:lang w:eastAsia="zh-CN"/>
        </w:rPr>
        <w:t>并将办理情况进行了公开，</w:t>
      </w:r>
      <w:r>
        <w:rPr>
          <w:rFonts w:hint="eastAsia" w:ascii="仿宋_GB2312" w:hAnsi="仿宋_GB2312" w:eastAsia="仿宋_GB2312" w:cs="仿宋_GB2312"/>
          <w:i w:val="0"/>
          <w:caps w:val="0"/>
          <w:color w:val="000000"/>
          <w:spacing w:val="0"/>
          <w:sz w:val="32"/>
          <w:szCs w:val="32"/>
          <w:shd w:val="clear" w:fill="FFFFFF"/>
        </w:rPr>
        <w:t>未办理政协提案。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eastAsia="zh-CN"/>
        </w:rPr>
        <w:drawing>
          <wp:inline distT="0" distB="0" distL="114300" distR="114300">
            <wp:extent cx="5271770" cy="1830070"/>
            <wp:effectExtent l="0" t="0" r="5080" b="17780"/>
            <wp:docPr id="1" name="图片 1" descr="微信图片_2021052616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526165451"/>
                    <pic:cNvPicPr>
                      <a:picLocks noChangeAspect="1"/>
                    </pic:cNvPicPr>
                  </pic:nvPicPr>
                  <pic:blipFill>
                    <a:blip r:embed="rId6"/>
                    <a:stretch>
                      <a:fillRect/>
                    </a:stretch>
                  </pic:blipFill>
                  <pic:spPr>
                    <a:xfrm>
                      <a:off x="0" y="0"/>
                      <a:ext cx="5271770" cy="183007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（七）其他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shd w:val="clear" w:fill="FFFFFF"/>
        </w:rPr>
        <w:t>纳入滕州市镇街政务公开评估，未进行社会评议，未发生责任追究情况。</w:t>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60" w:lineRule="exact"/>
        <w:ind w:left="0" w:right="0" w:firstLine="640" w:firstLineChars="200"/>
        <w:jc w:val="left"/>
        <w:textAlignment w:val="auto"/>
        <w:outlineLvl w:val="9"/>
        <w:rPr>
          <w:rFonts w:hint="eastAsia" w:ascii="仿宋_GB2312" w:hAnsi="Arial" w:eastAsia="仿宋_GB2312" w:cs="Arial"/>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right="0"/>
        <w:jc w:val="left"/>
        <w:textAlignment w:val="auto"/>
        <w:outlineLvl w:val="9"/>
        <w:rPr>
          <w:rFonts w:hint="eastAsia" w:ascii="仿宋_GB2312" w:hAnsi="Arial" w:eastAsia="仿宋_GB2312" w:cs="Arial"/>
          <w:color w:val="000000"/>
          <w:kern w:val="0"/>
          <w:sz w:val="32"/>
          <w:szCs w:val="32"/>
          <w:lang w:val="en-US" w:eastAsia="zh-CN" w:bidi="ar"/>
        </w:rPr>
      </w:pPr>
      <w:r>
        <w:rPr>
          <w:rFonts w:hint="eastAsia" w:ascii="仿宋_GB2312" w:hAnsi="Arial" w:eastAsia="仿宋_GB2312" w:cs="Arial"/>
          <w:color w:val="000000"/>
          <w:kern w:val="0"/>
          <w:sz w:val="32"/>
          <w:szCs w:val="32"/>
          <w:lang w:val="en-US" w:eastAsia="zh-CN" w:bidi="ar"/>
        </w:rPr>
        <w:br w:type="page"/>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二、主动公开政府信息情况</w:t>
      </w:r>
    </w:p>
    <w:tbl>
      <w:tblPr>
        <w:tblStyle w:val="3"/>
        <w:tblW w:w="8140" w:type="dxa"/>
        <w:jc w:val="center"/>
        <w:tblLayout w:type="fixed"/>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本年新</w:t>
            </w:r>
            <w:r>
              <w:rPr>
                <w:rFonts w:hint="eastAsia" w:ascii="宋体" w:hAnsi="宋体" w:eastAsia="宋体" w:cs="宋体"/>
                <w:color w:val="000000"/>
                <w:kern w:val="0"/>
                <w:sz w:val="20"/>
                <w:szCs w:val="20"/>
              </w:rPr>
              <w:br w:type="textWrapping"/>
            </w:r>
            <w:r>
              <w:rPr>
                <w:rFonts w:ascii="宋体" w:hAnsi="宋体" w:eastAsia="宋体" w:cs="宋体"/>
                <w:kern w:val="0"/>
                <w:sz w:val="20"/>
                <w:szCs w:val="20"/>
              </w:rPr>
              <w:t>公开数量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规范性文件</w:t>
            </w:r>
          </w:p>
        </w:tc>
        <w:tc>
          <w:tcPr>
            <w:tcW w:w="187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其他对外管理服务事项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7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26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1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lang w:val="en-US" w:eastAsia="zh-CN"/>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政府集中采购</w:t>
            </w:r>
          </w:p>
        </w:tc>
        <w:tc>
          <w:tcPr>
            <w:tcW w:w="188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3146" w:type="dxa"/>
            <w:gridSpan w:val="2"/>
            <w:tcBorders>
              <w:top w:val="nil"/>
              <w:left w:val="nil"/>
              <w:bottom w:val="single" w:color="auto" w:sz="8" w:space="0"/>
              <w:right w:val="single" w:color="000000"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widowControl/>
        <w:jc w:val="left"/>
        <w:rPr>
          <w:rFonts w:hint="eastAsia" w:ascii="黑体" w:hAnsi="黑体" w:eastAsia="黑体" w:cs="宋体"/>
          <w:color w:val="000000"/>
          <w:kern w:val="0"/>
          <w:sz w:val="32"/>
          <w:szCs w:val="32"/>
        </w:rPr>
      </w:pPr>
    </w:p>
    <w:p>
      <w:pPr>
        <w:widowControl/>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br w:type="page"/>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三、收到和处理政府信息公开申请情况</w:t>
      </w:r>
    </w:p>
    <w:tbl>
      <w:tblPr>
        <w:tblStyle w:val="3"/>
        <w:tblW w:w="9135" w:type="dxa"/>
        <w:jc w:val="center"/>
        <w:tblLayout w:type="fixed"/>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695"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r>
      <w:tr>
        <w:tblPrEx>
          <w:tblCellMar>
            <w:top w:w="0" w:type="dxa"/>
            <w:left w:w="0" w:type="dxa"/>
            <w:bottom w:w="0" w:type="dxa"/>
            <w:right w:w="0" w:type="dxa"/>
          </w:tblCellMar>
        </w:tblPrEx>
        <w:trPr>
          <w:trHeight w:val="346"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710"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695"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r>
              <w:rPr>
                <w:rFonts w:ascii="Calibri" w:hAnsi="Calibri" w:eastAsia="宋体" w:cs="宋体"/>
                <w:kern w:val="0"/>
                <w:sz w:val="20"/>
                <w:szCs w:val="20"/>
              </w:rPr>
              <w:t> </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363" w:hRule="atLeast"/>
          <w:jc w:val="center"/>
        </w:trPr>
        <w:tc>
          <w:tcPr>
            <w:tcW w:w="62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ascii="Calibri" w:hAnsi="Calibri" w:eastAsia="宋体" w:cs="宋体"/>
                <w:kern w:val="0"/>
                <w:sz w:val="20"/>
                <w:szCs w:val="20"/>
              </w:rPr>
              <w:t> </w:t>
            </w:r>
            <w:r>
              <w:rPr>
                <w:rFonts w:hint="eastAsia" w:ascii="Calibri" w:hAnsi="Calibri" w:eastAsia="宋体" w:cs="宋体"/>
                <w:kern w:val="0"/>
                <w:sz w:val="20"/>
                <w:szCs w:val="20"/>
                <w:lang w:val="en-US" w:eastAsia="zh-CN"/>
              </w:rPr>
              <w:t>0</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宋体" w:hAnsi="宋体" w:eastAsia="宋体" w:cs="宋体"/>
                <w:color w:val="000000"/>
                <w:kern w:val="0"/>
                <w:sz w:val="20"/>
                <w:szCs w:val="20"/>
                <w:lang w:val="en-US" w:eastAsia="zh-CN"/>
              </w:rPr>
            </w:pPr>
            <w:r>
              <w:rPr>
                <w:rFonts w:ascii="宋体" w:hAnsi="宋体" w:eastAsia="宋体" w:cs="宋体"/>
                <w:color w:val="000000"/>
                <w:kern w:val="0"/>
                <w:sz w:val="20"/>
                <w:szCs w:val="20"/>
              </w:rPr>
              <w:t> </w:t>
            </w:r>
            <w:r>
              <w:rPr>
                <w:rFonts w:hint="eastAsia" w:ascii="宋体" w:hAnsi="宋体" w:eastAsia="宋体" w:cs="宋体"/>
                <w:color w:val="000000"/>
                <w:kern w:val="0"/>
                <w:sz w:val="20"/>
                <w:szCs w:val="20"/>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0</w:t>
            </w:r>
          </w:p>
        </w:tc>
      </w:tr>
    </w:tbl>
    <w:p>
      <w:pPr>
        <w:widowControl/>
        <w:jc w:val="left"/>
        <w:rPr>
          <w:rFonts w:ascii="宋体" w:hAnsi="宋体" w:eastAsia="宋体" w:cs="宋体"/>
          <w:color w:val="000000"/>
          <w:kern w:val="0"/>
          <w:sz w:val="20"/>
          <w:szCs w:val="20"/>
        </w:rPr>
      </w:pPr>
      <w:r>
        <w:rPr>
          <w:rFonts w:ascii="宋体" w:hAnsi="宋体" w:eastAsia="宋体" w:cs="宋体"/>
          <w:color w:val="000000"/>
          <w:kern w:val="0"/>
          <w:sz w:val="20"/>
          <w:szCs w:val="20"/>
        </w:rPr>
        <w:br w:type="page"/>
      </w:r>
    </w:p>
    <w:p>
      <w:pPr>
        <w:widowControl/>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四、政府信息公开行政复议、行政诉讼情况</w:t>
      </w:r>
    </w:p>
    <w:p>
      <w:pPr>
        <w:widowControl/>
        <w:jc w:val="left"/>
        <w:rPr>
          <w:rFonts w:ascii="宋体" w:hAnsi="宋体" w:eastAsia="宋体" w:cs="宋体"/>
          <w:color w:val="000000"/>
          <w:kern w:val="0"/>
          <w:sz w:val="20"/>
          <w:szCs w:val="20"/>
        </w:rPr>
      </w:pPr>
    </w:p>
    <w:tbl>
      <w:tblPr>
        <w:tblStyle w:val="3"/>
        <w:tblW w:w="9071" w:type="dxa"/>
        <w:jc w:val="center"/>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04"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58" w:type="dxa"/>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widowControl/>
        <w:suppressLineNumbers w:val="0"/>
        <w:spacing w:before="0" w:beforeAutospacing="1" w:after="0" w:afterAutospacing="1" w:line="315" w:lineRule="atLeast"/>
        <w:ind w:left="0" w:right="0"/>
        <w:jc w:val="left"/>
        <w:rPr>
          <w:rFonts w:asciiTheme="minorHAnsi" w:hAnsiTheme="minorHAnsi" w:eastAsiaTheme="minorEastAsia" w:cstheme="minorBidi"/>
          <w:kern w:val="0"/>
          <w:sz w:val="24"/>
          <w:szCs w:val="24"/>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88" w:leftChars="0" w:firstLine="640" w:firstLineChars="200"/>
        <w:jc w:val="left"/>
        <w:textAlignment w:val="auto"/>
        <w:outlineLvl w:val="9"/>
        <w:rPr>
          <w:rFonts w:hint="eastAsia" w:ascii="黑体" w:hAnsi="黑体" w:eastAsia="黑体" w:cs="宋体"/>
          <w:color w:val="000000"/>
          <w:kern w:val="0"/>
          <w:sz w:val="32"/>
          <w:szCs w:val="32"/>
          <w:lang w:val="en-US" w:eastAsia="zh-CN"/>
        </w:rPr>
      </w:pPr>
      <w:r>
        <w:rPr>
          <w:rFonts w:hint="eastAsia" w:ascii="黑体" w:hAnsi="黑体" w:eastAsia="黑体" w:cs="宋体"/>
          <w:color w:val="000000"/>
          <w:kern w:val="0"/>
          <w:sz w:val="32"/>
          <w:szCs w:val="32"/>
          <w:lang w:val="en-US" w:eastAsia="zh-CN"/>
        </w:rPr>
        <w:t>五、存在的主要问题及改进情况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88" w:leftChars="0" w:firstLine="640" w:firstLineChars="200"/>
        <w:jc w:val="left"/>
        <w:textAlignment w:val="auto"/>
        <w:outlineLvl w:val="9"/>
        <w:rPr>
          <w:rFonts w:hint="eastAsia" w:ascii="仿宋_GB2312" w:hAnsi="Arial" w:eastAsia="仿宋_GB2312" w:cs="Arial"/>
          <w:color w:val="000000"/>
          <w:kern w:val="0"/>
          <w:sz w:val="32"/>
          <w:szCs w:val="32"/>
          <w:lang w:val="en-US" w:eastAsia="zh-CN" w:bidi="ar"/>
        </w:rPr>
      </w:pPr>
      <w:r>
        <w:rPr>
          <w:rFonts w:hint="eastAsia" w:ascii="仿宋_GB2312" w:hAnsi="Arial" w:eastAsia="仿宋_GB2312" w:cs="Arial"/>
          <w:color w:val="000000"/>
          <w:kern w:val="0"/>
          <w:sz w:val="32"/>
          <w:szCs w:val="32"/>
          <w:lang w:val="en-US" w:eastAsia="zh-CN" w:bidi="ar"/>
        </w:rPr>
        <w:t>我镇2020年政府信息公开工作虽然取得较好成效，但仍然存在不少困难和问题。主要表现在：一是政务信息公开工作保障和监督机制建设方面还不够全面；二是政府信息公开平台内容还有待进一步完善；三是公开信息有待进一步贴近民生、服务群众，方便群众查询，主动接受社会监督。</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88" w:leftChars="0" w:firstLine="640" w:firstLineChars="200"/>
        <w:jc w:val="left"/>
        <w:textAlignment w:val="auto"/>
        <w:outlineLvl w:val="9"/>
        <w:rPr>
          <w:rFonts w:hint="eastAsia" w:ascii="仿宋_GB2312" w:hAnsi="Arial" w:eastAsia="仿宋_GB2312" w:cs="Arial"/>
          <w:color w:val="000000"/>
          <w:kern w:val="0"/>
          <w:sz w:val="32"/>
          <w:szCs w:val="32"/>
          <w:lang w:val="en-US" w:eastAsia="zh-CN" w:bidi="ar"/>
        </w:rPr>
      </w:pPr>
      <w:r>
        <w:rPr>
          <w:rFonts w:hint="eastAsia" w:ascii="仿宋_GB2312" w:hAnsi="Arial" w:eastAsia="仿宋_GB2312" w:cs="Arial"/>
          <w:color w:val="000000"/>
          <w:kern w:val="0"/>
          <w:sz w:val="32"/>
          <w:szCs w:val="32"/>
          <w:lang w:val="en-US" w:eastAsia="zh-CN" w:bidi="ar"/>
        </w:rPr>
        <w:t>针对以上问题，2021年我镇将着重在以下几方面进行改进：一是强化思想认识。加强对《政府信息公开条例》和省、市有关文件的学习，增强工作的主动性和责任意识，准确把握政策要求，提升政府信息公开工作人员能力，提高群众满意度；二是强化公开平台建设。充分发挥公开栏、宣传横幅、电子显示屏等载体在信息公开中的重要作用，不断优化网站栏目，完善网上咨询、建言等互动栏目的功能，强化办事服务功能，及时更新网站信息，提高管理水平；三是强化信息公开内容。要加大公开力度，不断拓展和丰富政府信息公开内容，进一步完善相关制度和程序，规范我镇政府信息公开行为，不断提高政府信息公开工作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outlineLvl w:val="9"/>
      </w:pPr>
      <w:r>
        <w:rPr>
          <w:rFonts w:asciiTheme="minorHAnsi" w:hAnsiTheme="minorHAnsi" w:eastAsiaTheme="minorEastAsia" w:cstheme="minorBidi"/>
          <w:kern w:val="0"/>
          <w:sz w:val="24"/>
          <w:szCs w:val="24"/>
          <w:lang w:val="en-US" w:eastAsia="zh-CN" w:bidi="ar"/>
        </w:rPr>
        <w:t xml:space="preserve">  </w:t>
      </w:r>
      <w:r>
        <w:rPr>
          <w:rFonts w:hint="eastAsia" w:ascii="黑体" w:hAnsi="黑体" w:eastAsia="黑体" w:cs="宋体"/>
          <w:color w:val="000000"/>
          <w:kern w:val="0"/>
          <w:sz w:val="32"/>
          <w:szCs w:val="32"/>
          <w:lang w:val="en-US" w:eastAsia="zh-CN"/>
        </w:rPr>
        <w:t>六、其他需要报告的事项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outlineLvl w:val="9"/>
        <w:rPr>
          <w:rFonts w:hint="eastAsia" w:ascii="仿宋_GB2312" w:hAnsi="Arial" w:eastAsia="仿宋_GB2312" w:cs="Arial"/>
          <w:color w:val="000000"/>
          <w:kern w:val="0"/>
          <w:sz w:val="32"/>
          <w:szCs w:val="32"/>
          <w:lang w:val="en-US" w:eastAsia="zh-CN" w:bidi="ar"/>
        </w:rPr>
      </w:pPr>
      <w:r>
        <w:rPr>
          <w:rFonts w:asciiTheme="minorHAnsi" w:hAnsiTheme="minorHAnsi" w:eastAsiaTheme="minorEastAsia" w:cstheme="minorBidi"/>
          <w:kern w:val="0"/>
          <w:sz w:val="24"/>
          <w:szCs w:val="24"/>
          <w:lang w:val="en-US" w:eastAsia="zh-CN" w:bidi="ar"/>
        </w:rPr>
        <w:t> </w:t>
      </w:r>
      <w:r>
        <w:rPr>
          <w:rFonts w:hint="eastAsia" w:ascii="仿宋_GB2312" w:hAnsi="Arial" w:eastAsia="仿宋_GB2312" w:cs="Arial"/>
          <w:color w:val="000000"/>
          <w:kern w:val="0"/>
          <w:sz w:val="32"/>
          <w:szCs w:val="32"/>
          <w:lang w:val="en-US" w:eastAsia="zh-CN" w:bidi="ar"/>
        </w:rPr>
        <w:t>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Arial" w:eastAsia="仿宋_GB2312" w:cs="Arial"/>
          <w:color w:val="000000"/>
          <w:kern w:val="0"/>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Arial" w:eastAsia="仿宋_GB2312" w:cs="Arial"/>
          <w:color w:val="000000"/>
          <w:kern w:val="0"/>
          <w:sz w:val="32"/>
          <w:szCs w:val="32"/>
          <w:lang w:val="en-US" w:eastAsia="zh-CN"/>
        </w:rPr>
      </w:pPr>
      <w:r>
        <w:rPr>
          <w:rFonts w:hint="eastAsia" w:ascii="仿宋_GB2312" w:hAnsi="Arial" w:eastAsia="仿宋_GB2312" w:cs="Arial"/>
          <w:color w:val="000000"/>
          <w:kern w:val="0"/>
          <w:sz w:val="32"/>
          <w:szCs w:val="32"/>
          <w:lang w:val="en-US" w:eastAsia="zh-CN"/>
        </w:rPr>
        <w:t>官桥镇人民政府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right"/>
        <w:textAlignment w:val="auto"/>
        <w:rPr>
          <w:rFonts w:hint="eastAsia" w:ascii="仿宋_GB2312" w:hAnsi="Arial" w:eastAsia="仿宋_GB2312" w:cs="Arial"/>
          <w:color w:val="000000"/>
          <w:kern w:val="0"/>
          <w:sz w:val="32"/>
          <w:szCs w:val="32"/>
          <w:lang w:val="en-US" w:eastAsia="zh-CN" w:bidi="ar"/>
        </w:rPr>
      </w:pPr>
      <w:r>
        <w:rPr>
          <w:rFonts w:hint="eastAsia" w:ascii="仿宋_GB2312" w:hAnsi="Arial" w:eastAsia="仿宋_GB2312" w:cs="Arial"/>
          <w:color w:val="000000"/>
          <w:kern w:val="0"/>
          <w:sz w:val="32"/>
          <w:szCs w:val="32"/>
          <w:lang w:val="en-US" w:eastAsia="zh-CN"/>
        </w:rPr>
        <w:t>2021年1月21日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0E40"/>
    <w:rsid w:val="00D02317"/>
    <w:rsid w:val="0A1B4F32"/>
    <w:rsid w:val="0B027E37"/>
    <w:rsid w:val="0B100C29"/>
    <w:rsid w:val="0DB06AC8"/>
    <w:rsid w:val="0FA25459"/>
    <w:rsid w:val="12643D50"/>
    <w:rsid w:val="12B22DBA"/>
    <w:rsid w:val="13993731"/>
    <w:rsid w:val="15AE3286"/>
    <w:rsid w:val="19E278F5"/>
    <w:rsid w:val="1E1E4686"/>
    <w:rsid w:val="1FA505AE"/>
    <w:rsid w:val="206409B6"/>
    <w:rsid w:val="229B6845"/>
    <w:rsid w:val="25F8080F"/>
    <w:rsid w:val="2CC34A55"/>
    <w:rsid w:val="2E7B6F86"/>
    <w:rsid w:val="2EC40A53"/>
    <w:rsid w:val="32605E4F"/>
    <w:rsid w:val="32BA12B5"/>
    <w:rsid w:val="33A55B6C"/>
    <w:rsid w:val="33C05932"/>
    <w:rsid w:val="35281F22"/>
    <w:rsid w:val="36CA5FC5"/>
    <w:rsid w:val="374C5031"/>
    <w:rsid w:val="3BDA2B70"/>
    <w:rsid w:val="40D71C35"/>
    <w:rsid w:val="43640CEF"/>
    <w:rsid w:val="436F68FC"/>
    <w:rsid w:val="43DB5B97"/>
    <w:rsid w:val="45A72A49"/>
    <w:rsid w:val="49885644"/>
    <w:rsid w:val="4A644506"/>
    <w:rsid w:val="4CD9244A"/>
    <w:rsid w:val="51297972"/>
    <w:rsid w:val="53E46F9A"/>
    <w:rsid w:val="54BF7121"/>
    <w:rsid w:val="558B699A"/>
    <w:rsid w:val="56943C22"/>
    <w:rsid w:val="574816DD"/>
    <w:rsid w:val="57CD29D2"/>
    <w:rsid w:val="590425AA"/>
    <w:rsid w:val="5C2D1F23"/>
    <w:rsid w:val="5D391385"/>
    <w:rsid w:val="64FD566B"/>
    <w:rsid w:val="654C47F8"/>
    <w:rsid w:val="65D870CD"/>
    <w:rsid w:val="66477E28"/>
    <w:rsid w:val="69C2492A"/>
    <w:rsid w:val="6D135BED"/>
    <w:rsid w:val="7161083D"/>
    <w:rsid w:val="71A0351A"/>
    <w:rsid w:val="7201041B"/>
    <w:rsid w:val="729B5C9A"/>
    <w:rsid w:val="74C876BE"/>
    <w:rsid w:val="77E76984"/>
    <w:rsid w:val="79502E0A"/>
    <w:rsid w:val="7B835EC2"/>
    <w:rsid w:val="7C5A2065"/>
    <w:rsid w:val="7C711100"/>
    <w:rsid w:val="7EBC040A"/>
    <w:rsid w:val="7FF60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315" w:lineRule="atLeast"/>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2021-05-26T08:59:02Z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370FA708A09A4CF59922165B24E6C631</vt:lpwstr>
  </property>
</Properties>
</file>