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center"/>
        <w:rPr>
          <w:rFonts w:ascii="宋体" w:hAnsi="宋体" w:eastAsia="宋体" w:cs="宋体"/>
          <w:color w:val="333333"/>
        </w:rPr>
      </w:pPr>
      <w:r>
        <w:rPr>
          <w:rFonts w:hint="eastAsia" w:ascii="方正小标宋简体" w:hAnsi="方正小标宋简体" w:eastAsia="方正小标宋简体" w:cs="方正小标宋简体"/>
          <w:color w:val="333333"/>
          <w:sz w:val="44"/>
          <w:szCs w:val="44"/>
          <w:shd w:val="clear" w:color="auto" w:fill="FFFFFF"/>
        </w:rPr>
        <w:t>政府信息公开工作年度报告</w:t>
      </w:r>
    </w:p>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64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一、总体情况</w:t>
      </w:r>
    </w:p>
    <w:p>
      <w:pPr>
        <w:pStyle w:val="4"/>
        <w:widowControl/>
        <w:shd w:val="clear" w:color="auto" w:fill="FFFFFF"/>
        <w:spacing w:beforeAutospacing="0" w:after="240" w:afterAutospacing="0"/>
        <w:ind w:firstLine="640"/>
        <w:jc w:val="both"/>
        <w:rPr>
          <w:rFonts w:hint="eastAsia" w:ascii="方正仿宋_GBK" w:eastAsia="方正仿宋_GBK"/>
          <w:color w:val="000000"/>
          <w:sz w:val="32"/>
          <w:szCs w:val="32"/>
        </w:rPr>
      </w:pPr>
      <w:r>
        <w:rPr>
          <w:rFonts w:hint="eastAsia" w:ascii="方正仿宋_GBK" w:eastAsia="方正仿宋_GBK"/>
          <w:color w:val="000000"/>
          <w:sz w:val="32"/>
          <w:szCs w:val="32"/>
        </w:rPr>
        <w:t>2019年，滕州供电部认真贯彻落实《中华人民共和国政府信息公开条例》、《山东省政府信息公开办法》规定，全面推进政府信息公开工作，根据国家电监会和政府部门对供电企业信息公开工作的要求和部署，依照真实准确、规范及时、便民利民的原则发布供电信息内容。供电信息公开内容分为主动公开信息和依申请公开信息，主动公开信息包括我单位基本情况、办理用电业务的程序及时限、执行的电价和收费标准、供电服务所执行的法律法规以及制定的涉及用户利益的有关规定、供电服务承诺以及投诉电话等，通过“中国滕州政务公开专页”、供电营业厅等多种形式，及时全面地主动公开信息，将办事公开作为加强企业行风建设、提升优质服务水平的一项重要工作落到实处。</w:t>
      </w:r>
    </w:p>
    <w:p>
      <w:pPr>
        <w:pStyle w:val="4"/>
        <w:widowControl/>
        <w:shd w:val="clear" w:color="auto" w:fill="FFFFFF"/>
        <w:spacing w:beforeAutospacing="0" w:after="240" w:afterAutospacing="0"/>
        <w:ind w:firstLine="640"/>
        <w:jc w:val="both"/>
        <w:rPr>
          <w:rFonts w:ascii="黑体" w:hAnsi="黑体" w:eastAsia="黑体" w:cs="黑体"/>
          <w:color w:val="333333"/>
          <w:sz w:val="32"/>
          <w:szCs w:val="32"/>
        </w:rPr>
      </w:pPr>
      <w:r>
        <w:rPr>
          <w:rFonts w:hint="eastAsia" w:ascii="黑体" w:hAnsi="黑体" w:eastAsia="黑体" w:cs="黑体"/>
          <w:color w:val="333333"/>
          <w:sz w:val="32"/>
          <w:szCs w:val="32"/>
          <w:shd w:val="clear" w:color="auto" w:fill="FFFFFF"/>
        </w:rPr>
        <w:t>二、主动公开政府信息情况</w:t>
      </w:r>
    </w:p>
    <w:tbl>
      <w:tblPr>
        <w:tblStyle w:val="5"/>
        <w:tblW w:w="8708" w:type="dxa"/>
        <w:jc w:val="center"/>
        <w:shd w:val="clear" w:color="auto" w:fill="CCE8CF"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CCE8CF"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CCE8CF"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CCE8CF"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CCE8CF" w:themeFill="background1"/>
            <w:tcMar>
              <w:left w:w="108" w:type="dxa"/>
              <w:right w:w="108" w:type="dxa"/>
            </w:tcMar>
            <w:vAlign w:val="center"/>
          </w:tcPr>
          <w:p>
            <w:pPr>
              <w:jc w:val="center"/>
              <w:rPr>
                <w:rFonts w:asciiTheme="minorEastAsia" w:hAnsiTheme="minorEastAsia" w:cstheme="minorEastAsia"/>
                <w:color w:val="000000"/>
                <w:kern w:val="0"/>
                <w:sz w:val="24"/>
              </w:rPr>
            </w:pP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240" w:afterAutospacing="0"/>
        <w:ind w:left="-199" w:leftChars="-95" w:firstLine="620"/>
        <w:jc w:val="both"/>
        <w:rPr>
          <w:rFonts w:ascii="黑体" w:hAnsi="黑体" w:eastAsia="黑体" w:cs="黑体"/>
          <w:b/>
          <w:color w:val="333333"/>
          <w:sz w:val="32"/>
          <w:szCs w:val="32"/>
          <w:shd w:val="clear" w:color="auto" w:fill="FFFFFF"/>
        </w:rPr>
      </w:pPr>
    </w:p>
    <w:p>
      <w:pPr>
        <w:pStyle w:val="4"/>
        <w:widowControl/>
        <w:shd w:val="clear" w:color="auto" w:fill="FFFFFF"/>
        <w:spacing w:beforeAutospacing="0" w:after="240" w:afterAutospacing="0"/>
        <w:ind w:left="-199" w:leftChars="-95" w:firstLine="62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200" w:lineRule="exact"/>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bl>
    <w:p>
      <w:pPr>
        <w:pStyle w:val="4"/>
        <w:widowControl/>
        <w:shd w:val="clear" w:color="auto" w:fill="FFFFFF"/>
        <w:spacing w:beforeAutospacing="0" w:afterAutospacing="0"/>
        <w:ind w:firstLine="420"/>
        <w:jc w:val="both"/>
        <w:rPr>
          <w:rFonts w:ascii="宋体" w:hAnsi="宋体" w:eastAsia="宋体" w:cs="宋体"/>
          <w:color w:val="333333"/>
        </w:rPr>
      </w:pPr>
    </w:p>
    <w:p>
      <w:pPr>
        <w:pStyle w:val="4"/>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4"/>
        <w:widowControl/>
        <w:shd w:val="clear" w:color="auto" w:fill="FFFFFF"/>
        <w:spacing w:beforeAutospacing="0" w:afterAutospacing="0"/>
        <w:ind w:firstLine="420"/>
        <w:jc w:val="both"/>
        <w:rPr>
          <w:rFonts w:ascii="宋体" w:hAnsi="宋体" w:eastAsia="宋体" w:cs="宋体"/>
          <w:color w:val="333333"/>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widowControl/>
        <w:shd w:val="clear" w:color="auto" w:fill="FFFFFF"/>
        <w:jc w:val="center"/>
        <w:rPr>
          <w:rFonts w:ascii="宋体" w:hAnsi="宋体" w:eastAsia="宋体" w:cs="宋体"/>
          <w:color w:val="333333"/>
          <w:sz w:val="24"/>
        </w:rPr>
      </w:pPr>
    </w:p>
    <w:p>
      <w:pPr>
        <w:pStyle w:val="4"/>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4"/>
        <w:widowControl/>
        <w:shd w:val="clear" w:color="auto" w:fill="FFFFFF"/>
        <w:spacing w:beforeAutospacing="0" w:afterAutospacing="0"/>
        <w:ind w:firstLine="420"/>
        <w:jc w:val="both"/>
        <w:rPr>
          <w:rFonts w:hint="eastAsia" w:ascii="方正仿宋_GBK" w:eastAsia="方正仿宋_GBK"/>
          <w:color w:val="000000"/>
          <w:sz w:val="32"/>
          <w:szCs w:val="32"/>
        </w:rPr>
      </w:pPr>
      <w:r>
        <w:rPr>
          <w:rFonts w:hint="eastAsia" w:ascii="方正仿宋_GBK" w:eastAsia="方正仿宋_GBK"/>
          <w:color w:val="000000"/>
          <w:sz w:val="32"/>
          <w:szCs w:val="32"/>
        </w:rPr>
        <w:t>2019年，滕州供电部认真落实各项信息公开工作部署，保障了广大电力用户的知情权、参与权和监督权，发挥了供电企业信息公开对人民群众生产生活和经济社会活动的服务作用，但仍存在一些薄弱环节，主要表现在重点领域公开内容和公开形式需进一步丰富，信息公开网上填报的规范性和及时性需进一步加强。 2020年，滕州供电部将进一步夯实信息公开工作基础，加强信息公开工作队伍建设和部门协同，加强政策解读，回应社会关切，努力推动信息公开工作再上新台阶。</w:t>
      </w:r>
    </w:p>
    <w:p>
      <w:pPr>
        <w:pStyle w:val="4"/>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六、其他需要报告的事项</w:t>
      </w:r>
    </w:p>
    <w:p>
      <w:pPr>
        <w:pStyle w:val="4"/>
        <w:snapToGrid w:val="0"/>
        <w:spacing w:beforeAutospacing="0" w:afterAutospacing="0" w:line="390" w:lineRule="atLeast"/>
        <w:jc w:val="both"/>
        <w:rPr>
          <w:rFonts w:hint="eastAsia" w:ascii="仿宋_GB2312" w:hAnsi="宋体" w:eastAsia="仿宋_GB2312" w:cs="宋体"/>
          <w:color w:val="333333"/>
          <w:sz w:val="32"/>
          <w:szCs w:val="32"/>
          <w:shd w:val="clear" w:color="auto" w:fill="FFFFFF"/>
        </w:rPr>
      </w:pPr>
    </w:p>
    <w:p>
      <w:pPr>
        <w:pStyle w:val="4"/>
        <w:snapToGrid w:val="0"/>
        <w:spacing w:beforeAutospacing="0" w:afterAutospacing="0" w:line="390" w:lineRule="atLeast"/>
        <w:jc w:val="both"/>
        <w:rPr>
          <w:rFonts w:ascii="宋体" w:hAnsi="宋体" w:eastAsia="宋体" w:cs="宋体"/>
          <w:color w:val="333333"/>
          <w:sz w:val="28"/>
          <w:szCs w:val="28"/>
          <w:shd w:val="clear" w:color="auto" w:fill="FFFFFF"/>
        </w:rPr>
      </w:pPr>
      <w:r>
        <w:rPr>
          <w:rFonts w:hint="eastAsia" w:ascii="宋体" w:hAnsi="宋体" w:eastAsia="宋体" w:cs="宋体"/>
          <w:color w:val="333333"/>
          <w:sz w:val="28"/>
          <w:szCs w:val="28"/>
          <w:shd w:val="clear" w:color="auto" w:fill="FFFFFF"/>
        </w:rPr>
        <w:t>纳入滕州市部门绩效考核（镇街绩效评估），未进行社会评议，未发生责任追究情况。</w:t>
      </w:r>
    </w:p>
    <w:p>
      <w:pPr>
        <w:pStyle w:val="4"/>
        <w:snapToGrid w:val="0"/>
        <w:spacing w:beforeAutospacing="0" w:afterAutospacing="0" w:line="390" w:lineRule="atLeast"/>
        <w:jc w:val="both"/>
        <w:rPr>
          <w:rFonts w:hint="eastAsia" w:ascii="仿宋_GB2312" w:hAnsi="宋体" w:eastAsia="仿宋_GB2312" w:cs="宋体"/>
          <w:color w:val="333333"/>
          <w:sz w:val="32"/>
          <w:szCs w:val="32"/>
          <w:shd w:val="clear" w:color="auto" w:fill="FFFFFF"/>
          <w:lang w:eastAsia="zh-CN"/>
        </w:rPr>
      </w:pPr>
      <w:r>
        <w:rPr>
          <w:rFonts w:hint="eastAsia" w:ascii="仿宋_GB2312" w:hAnsi="宋体" w:eastAsia="仿宋_GB2312" w:cs="宋体"/>
          <w:color w:val="333333"/>
          <w:sz w:val="32"/>
          <w:szCs w:val="32"/>
          <w:shd w:val="clear" w:color="auto" w:fill="FFFFFF"/>
          <w:lang w:val="en-US" w:eastAsia="zh-CN"/>
        </w:rPr>
        <w:t>2019年</w:t>
      </w:r>
      <w:r>
        <w:rPr>
          <w:rFonts w:hint="eastAsia" w:ascii="仿宋_GB2312" w:hAnsi="宋体" w:eastAsia="仿宋_GB2312" w:cs="宋体"/>
          <w:color w:val="333333"/>
          <w:sz w:val="32"/>
          <w:szCs w:val="32"/>
          <w:shd w:val="clear" w:color="auto" w:fill="FFFFFF"/>
          <w:lang w:eastAsia="zh-CN"/>
        </w:rPr>
        <w:t>未办理人大建议提案。</w:t>
      </w:r>
    </w:p>
    <w:p>
      <w:pPr>
        <w:pStyle w:val="4"/>
        <w:snapToGrid w:val="0"/>
        <w:spacing w:beforeAutospacing="0" w:afterAutospacing="0" w:line="390" w:lineRule="atLeast"/>
        <w:jc w:val="both"/>
        <w:rPr>
          <w:rFonts w:hint="eastAsia" w:ascii="仿宋_GB2312" w:hAnsi="宋体" w:eastAsia="仿宋_GB2312" w:cs="宋体"/>
          <w:color w:val="333333"/>
          <w:sz w:val="32"/>
          <w:szCs w:val="32"/>
          <w:shd w:val="clear" w:color="auto"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D49E6"/>
    <w:rsid w:val="000C6558"/>
    <w:rsid w:val="004D3051"/>
    <w:rsid w:val="006C6664"/>
    <w:rsid w:val="00BF3BAF"/>
    <w:rsid w:val="00E76CCE"/>
    <w:rsid w:val="166D49E6"/>
    <w:rsid w:val="2F9948BE"/>
    <w:rsid w:val="7D3614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253</Words>
  <Characters>1444</Characters>
  <Lines>12</Lines>
  <Paragraphs>3</Paragraphs>
  <TotalTime>14</TotalTime>
  <ScaleCrop>false</ScaleCrop>
  <LinksUpToDate>false</LinksUpToDate>
  <CharactersWithSpaces>1694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2020-02-27T01:05:00Z</dcterms:created>
  <dc:creator>张晓晓/Dorothy</dc:creator>
  <cp:lastModifiedBy>Karra</cp:lastModifiedBy>
  <dcterms:modified xsi:type="dcterms:W3CDTF">2021-01-04T02:47:16Z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