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2018年度政府信息公开工作情况统计表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eastAsia="zh-CN"/>
        </w:rPr>
        <w:t>滕州市科学技术局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3"/>
        <w:tblW w:w="834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6"/>
        <w:gridCol w:w="899"/>
        <w:gridCol w:w="75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firstLine="685"/>
              <w:jc w:val="center"/>
              <w:rPr>
                <w:rFonts w:hint="eastAsia"/>
              </w:rPr>
            </w:pPr>
            <w:r>
              <w:rPr>
                <w:rStyle w:val="5"/>
                <w:rFonts w:hint="eastAsia"/>
                <w:sz w:val="20"/>
                <w:szCs w:val="20"/>
              </w:rPr>
              <w:t>统　计　指　标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/>
                <w:sz w:val="20"/>
                <w:szCs w:val="20"/>
              </w:rPr>
              <w:t>单位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一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、主动公开情况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.政府网站公开政府信息数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.政务微博公开政府信息数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3</w:t>
            </w:r>
            <w:r>
              <w:rPr>
                <w:rFonts w:ascii="宋体" w:hAnsi="宋体"/>
                <w:sz w:val="20"/>
                <w:szCs w:val="20"/>
              </w:rPr>
              <w:t>.政务微信公开政府信息数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.其他方式公开政府信息数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二、回应解读情况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firstLine="685"/>
              <w:jc w:val="center"/>
              <w:rPr>
                <w:rFonts w:hint="eastAsia"/>
              </w:rPr>
            </w:pPr>
          </w:p>
        </w:tc>
        <w:tc>
          <w:tcPr>
            <w:tcW w:w="7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firstLine="400" w:firstLineChars="200"/>
            </w:pPr>
            <w:r>
              <w:rPr>
                <w:rFonts w:cs="Times New Roman"/>
                <w:kern w:val="2"/>
                <w:sz w:val="20"/>
                <w:szCs w:val="20"/>
              </w:rPr>
              <w:t>（一）</w:t>
            </w:r>
            <w:r>
              <w:rPr>
                <w:rFonts w:cs="Times New Roman"/>
                <w:spacing w:val="-11"/>
                <w:kern w:val="2"/>
                <w:sz w:val="20"/>
                <w:szCs w:val="20"/>
              </w:rPr>
              <w:t>回应公众关注热点或重大舆情数（不同方式回应同一热点或舆情</w:t>
            </w:r>
            <w:r>
              <w:rPr>
                <w:rFonts w:cs="Times New Roman"/>
                <w:kern w:val="2"/>
                <w:sz w:val="20"/>
                <w:szCs w:val="20"/>
              </w:rPr>
              <w:t>计1次）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3.政策解读稿件发布数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篇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4.微博微信回应事件数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5.其他方式回应事件数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三、依申请公开情况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ind w:firstLine="685"/>
              <w:jc w:val="center"/>
              <w:rPr>
                <w:rFonts w:hint="eastAsia"/>
              </w:rPr>
            </w:pPr>
          </w:p>
        </w:tc>
        <w:tc>
          <w:tcPr>
            <w:tcW w:w="75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（一）收到申请数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1.当面申请数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2.传真申请数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3.网络申请数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4.信函申请数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899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（二）申请办结数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1.按时办结数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2.延期办结数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（三）申请答复数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2.同意公开答复数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3.同意部分公开答复数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4.不同意公开答复数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　　　 危及国家安全、公共安全、经济安全和社会稳定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6.申请信息不存在数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7.告知作出更改补充数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四、行政复议数量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（一）维持具体行政行为数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（二）被依法纠错数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（三）其他情形数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五、行政诉讼数量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（二）被依法纠错数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（三）其他情形数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六、被举报投诉数量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（一）维持具体行政行为数</w:t>
            </w:r>
          </w:p>
        </w:tc>
        <w:tc>
          <w:tcPr>
            <w:tcW w:w="89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（二）被纠错数</w:t>
            </w:r>
          </w:p>
        </w:tc>
        <w:tc>
          <w:tcPr>
            <w:tcW w:w="89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（三）其他情形数</w:t>
            </w:r>
          </w:p>
        </w:tc>
        <w:tc>
          <w:tcPr>
            <w:tcW w:w="899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件</w:t>
            </w:r>
          </w:p>
        </w:tc>
        <w:tc>
          <w:tcPr>
            <w:tcW w:w="75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、机构建设和保障经费情况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7.55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（二）设置政府信息公开查阅点数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（三）从事政府信息公开工作人员数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1.专职人员数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　　　2.兼职人员数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（四）政府信息公开专项经费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万元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、政府信息公开会议和培训情况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（二）举办各类培训班数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6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>　　（三）接受培训人员数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人次</w:t>
            </w:r>
          </w:p>
        </w:tc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1FCB"/>
    <w:rsid w:val="21F651D9"/>
    <w:rsid w:val="26C71FCB"/>
    <w:rsid w:val="61BB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2019-01-24T02:07:00Z</dcterms:created>
  <dc:creator>Mr.z</dc:creator>
  <cp:lastModifiedBy>Mr.z</cp:lastModifiedBy>
  <dcterms:modified xsi:type="dcterms:W3CDTF">2019-03-04T08:48:31Z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