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70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市委经济工作会议及《政府工作报告》任务进展表</w:t>
      </w:r>
    </w:p>
    <w:p>
      <w:pPr>
        <w:spacing w:line="320" w:lineRule="exact"/>
        <w:ind w:firstLine="868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</w:p>
    <w:p>
      <w:pPr>
        <w:spacing w:line="600" w:lineRule="exact"/>
        <w:ind w:firstLine="560" w:firstLineChars="200"/>
        <w:rPr>
          <w:rFonts w:ascii="仿宋_GB2312" w:hAnsi="华文中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 w:cs="仿宋_GB2312"/>
          <w:color w:val="000000"/>
          <w:sz w:val="28"/>
          <w:szCs w:val="28"/>
        </w:rPr>
        <w:t>填报单位（公章）：滕州市医疗保障局                                日期：2023年12月28日</w:t>
      </w:r>
    </w:p>
    <w:tbl>
      <w:tblPr>
        <w:tblStyle w:val="4"/>
        <w:tblW w:w="142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150"/>
        <w:gridCol w:w="5922"/>
        <w:gridCol w:w="1651"/>
        <w:gridCol w:w="27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华文中宋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华文中宋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  <w:t>任务目标</w:t>
            </w:r>
          </w:p>
        </w:tc>
        <w:tc>
          <w:tcPr>
            <w:tcW w:w="5922" w:type="dxa"/>
            <w:vAlign w:val="center"/>
          </w:tcPr>
          <w:p>
            <w:pPr>
              <w:spacing w:line="400" w:lineRule="exact"/>
              <w:ind w:left="166" w:leftChars="79"/>
              <w:jc w:val="center"/>
              <w:rPr>
                <w:rFonts w:ascii="黑体" w:hAnsi="华文中宋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  <w:t>进展情况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华文中宋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  <w:t>存在问题</w:t>
            </w:r>
          </w:p>
        </w:tc>
        <w:tc>
          <w:tcPr>
            <w:tcW w:w="2740" w:type="dxa"/>
            <w:vAlign w:val="center"/>
          </w:tcPr>
          <w:p>
            <w:pPr>
              <w:spacing w:line="260" w:lineRule="exact"/>
              <w:ind w:left="166" w:leftChars="79"/>
              <w:jc w:val="center"/>
              <w:rPr>
                <w:rFonts w:ascii="黑体" w:hAnsi="华文中宋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4"/>
                <w:szCs w:val="24"/>
              </w:rPr>
              <w:t>进度标识</w:t>
            </w:r>
          </w:p>
          <w:p>
            <w:pPr>
              <w:spacing w:line="260" w:lineRule="exact"/>
              <w:ind w:left="166" w:leftChars="79"/>
              <w:jc w:val="center"/>
              <w:rPr>
                <w:rFonts w:ascii="黑体" w:hAnsi="华文中宋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</w:rPr>
              <w:t>√完成或基本完成，↑快，→正常，↓慢，○无进展）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  <w:jc w:val="center"/>
        </w:trPr>
        <w:tc>
          <w:tcPr>
            <w:tcW w:w="8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中宋" w:eastAsia="仿宋_GB2312"/>
                <w:color w:val="000000"/>
              </w:rPr>
            </w:pPr>
            <w:r>
              <w:rPr>
                <w:rFonts w:hint="eastAsia" w:ascii="宋体" w:hAnsi="宋体" w:cs="宋体"/>
                <w:kern w:val="0"/>
              </w:rPr>
              <w:t>39</w:t>
            </w:r>
          </w:p>
        </w:tc>
        <w:tc>
          <w:tcPr>
            <w:tcW w:w="315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华文中宋" w:eastAsia="仿宋_GB2312"/>
                <w:color w:val="000000"/>
              </w:rPr>
            </w:pPr>
            <w:r>
              <w:rPr>
                <w:rFonts w:hint="eastAsia" w:ascii="宋体" w:hAnsi="宋体" w:cs="宋体"/>
                <w:kern w:val="0"/>
              </w:rPr>
              <w:t>持续深化医保支付方式和薪酬制度改革，完善分级治疗制度，扎实推进紧密型县域医共体建设。</w:t>
            </w:r>
          </w:p>
        </w:tc>
        <w:tc>
          <w:tcPr>
            <w:tcW w:w="5922" w:type="dxa"/>
            <w:vAlign w:val="center"/>
          </w:tcPr>
          <w:p>
            <w:pPr>
              <w:pStyle w:val="3"/>
              <w:spacing w:before="0" w:beforeAutospacing="0" w:after="0" w:afterAutospacing="0" w:line="320" w:lineRule="exact"/>
              <w:jc w:val="both"/>
              <w:rPr>
                <w:rFonts w:ascii="仿宋_GB2312" w:hAnsi="华文中宋" w:eastAsia="仿宋_GB2312"/>
                <w:color w:val="000000"/>
              </w:rPr>
            </w:pPr>
            <w:r>
              <w:rPr>
                <w:rFonts w:hint="eastAsia"/>
                <w:sz w:val="21"/>
                <w:szCs w:val="21"/>
              </w:rPr>
              <w:t>按照《枣庄市DRG支付方式改革三年行动计划实施方案》要求，我市稳步推进DRG支付方式改革，分批次将市中心人民医院医共体及其他医疗机构纳入DRG改革试点范围；有序开展人员培训、</w:t>
            </w:r>
            <w:r>
              <w:rPr>
                <w:rFonts w:hint="eastAsia"/>
                <w:color w:val="auto"/>
                <w:sz w:val="21"/>
                <w:szCs w:val="21"/>
              </w:rPr>
              <w:t>病案首页、医保结算清单质控等工作，逐步建立DRG付费体系。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我市49家医疗机构已实现DRG实际付费，机构覆盖率为92%。对高血压（FV29）等11个基层DRG病组实行同城同病同价付费。2023年1—12月，住院次均费用降至5805元/人次，同比减少736元，下降11.25%；个人负担率37.06%，次均住院个人负担额下降273元。2022年DRG年终清算医保基金支付金额43545万元，医保基金整体盈余金额2036万元（31家医院盈余2528万元、7家医院亏损492万元）；2023年1—11月49家医院DRG月度预结总额67197万元。</w:t>
            </w:r>
          </w:p>
        </w:tc>
        <w:tc>
          <w:tcPr>
            <w:tcW w:w="1651" w:type="dxa"/>
            <w:vAlign w:val="center"/>
          </w:tcPr>
          <w:p>
            <w:pPr>
              <w:spacing w:line="380" w:lineRule="exact"/>
              <w:rPr>
                <w:rFonts w:ascii="仿宋_GB2312" w:hAnsi="华文中宋" w:eastAsia="仿宋_GB2312"/>
                <w:color w:val="00000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274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中宋"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</w:rPr>
              <w:t>→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633" w:right="1270" w:bottom="1633" w:left="127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TIxOGE2OGMwZjM0N2E2Y2IwOGU4N2E0OTE0ODkifQ=="/>
  </w:docVars>
  <w:rsids>
    <w:rsidRoot w:val="01F87A85"/>
    <w:rsid w:val="006E53EA"/>
    <w:rsid w:val="00E504D0"/>
    <w:rsid w:val="01F87A85"/>
    <w:rsid w:val="0A7E6BF6"/>
    <w:rsid w:val="4300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561</Characters>
  <Lines>4</Lines>
  <Paragraphs>1</Paragraphs>
  <TotalTime>5</TotalTime>
  <ScaleCrop>false</ScaleCrop>
  <LinksUpToDate>false</LinksUpToDate>
  <CharactersWithSpaces>658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2023-11-24T06:31:00Z</dcterms:created>
  <dc:creator>志存高远</dc:creator>
  <cp:lastModifiedBy>admin</cp:lastModifiedBy>
  <cp:lastPrinted>2023-11-24T06:34:00Z</cp:lastPrinted>
  <dcterms:modified xsi:type="dcterms:W3CDTF">2023-12-28T08:07:25Z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E296B2DB74624363A8C98D8D9AFE604C_11</vt:lpwstr>
  </property>
</Properties>
</file>