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4DA77">
      <w:pPr>
        <w:pStyle w:val="2"/>
        <w:rPr>
          <w:rFonts w:hint="eastAsia" w:ascii="Times New Roman" w:hAnsi="Times New Roman" w:eastAsia="方正小标宋简体" w:cs="方正小标宋简体"/>
          <w:snapToGrid w:val="0"/>
          <w:color w:val="auto"/>
          <w:spacing w:val="0"/>
          <w:kern w:val="2"/>
          <w:sz w:val="44"/>
          <w:szCs w:val="44"/>
          <w:lang w:val="en-US" w:eastAsia="zh-CN"/>
        </w:rPr>
      </w:pPr>
    </w:p>
    <w:p w14:paraId="519AE514">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Times New Roman" w:hAnsi="Times New Roman" w:eastAsia="方正小标宋简体" w:cs="方正小标宋简体"/>
          <w:snapToGrid w:val="0"/>
          <w:color w:val="auto"/>
          <w:spacing w:val="0"/>
          <w:kern w:val="2"/>
          <w:sz w:val="44"/>
          <w:szCs w:val="44"/>
          <w:lang w:val="en-US" w:eastAsia="zh-CN"/>
        </w:rPr>
      </w:pPr>
      <w:r>
        <w:rPr>
          <w:rFonts w:hint="eastAsia" w:ascii="Times New Roman" w:hAnsi="Times New Roman" w:eastAsia="方正小标宋简体" w:cs="方正小标宋简体"/>
          <w:snapToGrid w:val="0"/>
          <w:color w:val="auto"/>
          <w:spacing w:val="0"/>
          <w:kern w:val="2"/>
          <w:sz w:val="44"/>
          <w:szCs w:val="44"/>
          <w:lang w:val="en-US" w:eastAsia="zh-CN"/>
        </w:rPr>
        <w:t>滕州市司法局</w:t>
      </w:r>
      <w:r>
        <w:rPr>
          <w:rFonts w:hint="eastAsia" w:ascii="Times New Roman" w:hAnsi="Times New Roman" w:eastAsia="仿宋_GB2312" w:cs="仿宋_GB2312"/>
          <w:snapToGrid w:val="0"/>
          <w:color w:val="auto"/>
          <w:spacing w:val="0"/>
          <w:kern w:val="2"/>
          <w:sz w:val="44"/>
          <w:szCs w:val="44"/>
          <w:lang w:val="en-US" w:eastAsia="zh-CN" w:bidi="ar-SA"/>
        </w:rPr>
        <w:t>2025</w:t>
      </w:r>
      <w:r>
        <w:rPr>
          <w:rFonts w:hint="eastAsia" w:ascii="Times New Roman" w:hAnsi="Times New Roman" w:eastAsia="方正小标宋简体" w:cs="方正小标宋简体"/>
          <w:snapToGrid w:val="0"/>
          <w:color w:val="auto"/>
          <w:spacing w:val="0"/>
          <w:kern w:val="2"/>
          <w:sz w:val="44"/>
          <w:szCs w:val="44"/>
          <w:lang w:val="en-US" w:eastAsia="zh-CN"/>
        </w:rPr>
        <w:t>年度法治政府建设报告</w:t>
      </w:r>
    </w:p>
    <w:p w14:paraId="7332C96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18" w:firstLineChars="200"/>
        <w:jc w:val="both"/>
        <w:textAlignment w:val="auto"/>
        <w:rPr>
          <w:rFonts w:hint="eastAsia" w:ascii="Times New Roman" w:hAnsi="Times New Roman" w:eastAsia="仿宋_GB2312" w:cs="仿宋_GB2312"/>
          <w:snapToGrid w:val="0"/>
          <w:color w:val="auto"/>
          <w:spacing w:val="0"/>
          <w:kern w:val="2"/>
          <w:sz w:val="32"/>
          <w:szCs w:val="32"/>
          <w:lang w:val="en-US" w:eastAsia="zh-CN"/>
        </w:rPr>
      </w:pPr>
    </w:p>
    <w:p w14:paraId="6EA27DB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default" w:ascii="Times New Roman" w:hAnsi="Times New Roman" w:eastAsia="仿宋_GB2312" w:cs="Times New Roman"/>
          <w:snapToGrid w:val="0"/>
          <w:color w:val="auto"/>
          <w:spacing w:val="0"/>
          <w:kern w:val="2"/>
          <w:sz w:val="32"/>
          <w:szCs w:val="32"/>
          <w:lang w:val="en-US" w:eastAsia="zh-CN"/>
        </w:rPr>
      </w:pPr>
      <w:r>
        <w:rPr>
          <w:rFonts w:hint="eastAsia" w:ascii="Times New Roman" w:hAnsi="Times New Roman" w:eastAsia="仿宋_GB2312" w:cs="Times New Roman"/>
          <w:snapToGrid w:val="0"/>
          <w:color w:val="auto"/>
          <w:spacing w:val="0"/>
          <w:kern w:val="2"/>
          <w:sz w:val="32"/>
          <w:szCs w:val="32"/>
          <w:lang w:val="en-US" w:eastAsia="zh-CN"/>
        </w:rPr>
        <w:t>市委、市政府：</w:t>
      </w:r>
    </w:p>
    <w:p w14:paraId="3D5E10E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18" w:firstLineChars="200"/>
        <w:jc w:val="both"/>
        <w:textAlignment w:val="auto"/>
        <w:rPr>
          <w:rFonts w:ascii="Times New Roman" w:hAnsi="Times New Roman" w:eastAsia="仿宋_GB2312" w:cs="Times New Roman"/>
          <w:snapToGrid w:val="0"/>
          <w:color w:val="auto"/>
          <w:spacing w:val="0"/>
          <w:kern w:val="2"/>
          <w:sz w:val="32"/>
          <w:szCs w:val="32"/>
        </w:rPr>
      </w:pPr>
      <w:r>
        <w:rPr>
          <w:rFonts w:hint="default" w:ascii="Times New Roman" w:hAnsi="Times New Roman" w:eastAsia="仿宋_GB2312" w:cs="Times New Roman"/>
          <w:snapToGrid w:val="0"/>
          <w:color w:val="auto"/>
          <w:spacing w:val="0"/>
          <w:kern w:val="2"/>
          <w:sz w:val="32"/>
          <w:szCs w:val="32"/>
          <w:lang w:val="en-US" w:eastAsia="zh-CN"/>
        </w:rPr>
        <w:t>20</w:t>
      </w:r>
      <w:r>
        <w:rPr>
          <w:rFonts w:hint="eastAsia" w:ascii="Times New Roman" w:hAnsi="Times New Roman" w:eastAsia="仿宋_GB2312" w:cs="Times New Roman"/>
          <w:snapToGrid w:val="0"/>
          <w:color w:val="auto"/>
          <w:spacing w:val="0"/>
          <w:kern w:val="2"/>
          <w:sz w:val="32"/>
          <w:szCs w:val="32"/>
          <w:lang w:val="en-US" w:eastAsia="zh-CN"/>
        </w:rPr>
        <w:t>25</w:t>
      </w:r>
      <w:r>
        <w:rPr>
          <w:rFonts w:hint="eastAsia" w:ascii="Times New Roman" w:hAnsi="Times New Roman" w:eastAsia="仿宋_GB2312" w:cs="仿宋_GB2312"/>
          <w:snapToGrid w:val="0"/>
          <w:color w:val="auto"/>
          <w:spacing w:val="0"/>
          <w:kern w:val="2"/>
          <w:sz w:val="32"/>
          <w:szCs w:val="32"/>
          <w:lang w:val="en-US" w:eastAsia="zh-CN"/>
        </w:rPr>
        <w:t>年，滕州市司法局在市委、市政府的正确领导下，坚持以习近平新时代中国特色社会主义思想为指导，深入贯彻落实党的二十大和二十届历次全会精神，紧紧围绕法治政府建设目标任务，深入推进依法行政，推动依法治市和司法行政工作取得新进展新成效。现将有关情况报告如下：</w:t>
      </w:r>
    </w:p>
    <w:p w14:paraId="4680C672">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18" w:firstLineChars="200"/>
        <w:jc w:val="both"/>
        <w:textAlignment w:val="auto"/>
        <w:rPr>
          <w:rFonts w:hint="eastAsia" w:ascii="黑体" w:hAnsi="黑体" w:eastAsia="黑体" w:cs="黑体"/>
          <w:snapToGrid w:val="0"/>
          <w:color w:val="auto"/>
          <w:spacing w:val="0"/>
          <w:kern w:val="2"/>
          <w:sz w:val="32"/>
          <w:szCs w:val="32"/>
          <w:lang w:val="en-US" w:eastAsia="zh-CN"/>
        </w:rPr>
      </w:pPr>
      <w:r>
        <w:rPr>
          <w:rFonts w:hint="eastAsia" w:ascii="黑体" w:hAnsi="黑体" w:eastAsia="黑体" w:cs="黑体"/>
          <w:snapToGrid w:val="0"/>
          <w:color w:val="auto"/>
          <w:spacing w:val="0"/>
          <w:kern w:val="2"/>
          <w:sz w:val="32"/>
          <w:szCs w:val="32"/>
          <w:lang w:val="en-US" w:eastAsia="zh-CN"/>
        </w:rPr>
        <w:t>一、党政主要负责人履行推进法治建设第一责任人职责，加强法治政府建设情况</w:t>
      </w:r>
    </w:p>
    <w:p w14:paraId="5DFA62A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18" w:firstLineChars="200"/>
        <w:jc w:val="both"/>
        <w:textAlignment w:val="auto"/>
        <w:rPr>
          <w:rFonts w:hint="eastAsia" w:ascii="Times New Roman" w:hAnsi="Times New Roman" w:eastAsia="仿宋_GB2312" w:cs="仿宋_GB2312"/>
          <w:snapToGrid w:val="0"/>
          <w:color w:val="auto"/>
          <w:spacing w:val="0"/>
          <w:kern w:val="2"/>
          <w:sz w:val="32"/>
          <w:szCs w:val="32"/>
          <w:lang w:val="en-US" w:eastAsia="zh-CN"/>
        </w:rPr>
      </w:pPr>
      <w:r>
        <w:rPr>
          <w:rFonts w:hint="eastAsia" w:ascii="楷体_GB2312" w:hAnsi="楷体_GB2312" w:eastAsia="楷体_GB2312" w:cs="楷体_GB2312"/>
          <w:b w:val="0"/>
          <w:bCs/>
          <w:spacing w:val="0"/>
          <w:sz w:val="32"/>
          <w:szCs w:val="32"/>
          <w:lang w:val="en-US" w:eastAsia="zh-CN"/>
        </w:rPr>
        <w:t>（一）强化组织领导，统筹谋划部署。</w:t>
      </w:r>
      <w:r>
        <w:rPr>
          <w:rFonts w:hint="eastAsia" w:ascii="Times New Roman" w:hAnsi="Times New Roman" w:eastAsia="仿宋_GB2312" w:cs="仿宋_GB2312"/>
          <w:snapToGrid w:val="0"/>
          <w:color w:val="auto"/>
          <w:spacing w:val="0"/>
          <w:kern w:val="2"/>
          <w:sz w:val="32"/>
          <w:szCs w:val="32"/>
          <w:lang w:val="en-US" w:eastAsia="zh-CN"/>
        </w:rPr>
        <w:t>严格落实“第一议题”制度，将学习贯彻习近平新时代中国特色社会主义思想、习近平法治思想作为党组理论学习中心组、党支部“三会一课”的核心内容，开展第一议题学习34次，举办“法治大讲堂”10期，组织青年理论小组集中学习4次，推动理论学习走深走实。将法治政府建设纳入全局年度重点工作部署，牵头制定《滕州市</w:t>
      </w:r>
      <w:r>
        <w:rPr>
          <w:rFonts w:hint="default" w:ascii="Times New Roman" w:hAnsi="Times New Roman" w:eastAsia="仿宋_GB2312" w:cs="仿宋_GB2312"/>
          <w:snapToGrid w:val="0"/>
          <w:color w:val="auto"/>
          <w:spacing w:val="0"/>
          <w:kern w:val="2"/>
          <w:sz w:val="32"/>
          <w:szCs w:val="32"/>
          <w:lang w:val="en-US" w:eastAsia="zh-CN"/>
        </w:rPr>
        <w:t>2025年法治政府建设工作计划》，</w:t>
      </w:r>
      <w:r>
        <w:rPr>
          <w:rFonts w:hint="eastAsia" w:ascii="Times New Roman" w:hAnsi="Times New Roman" w:eastAsia="仿宋_GB2312" w:cs="仿宋_GB2312"/>
          <w:snapToGrid w:val="0"/>
          <w:color w:val="auto"/>
          <w:spacing w:val="0"/>
          <w:kern w:val="2"/>
          <w:sz w:val="32"/>
          <w:szCs w:val="32"/>
          <w:lang w:val="en-US" w:eastAsia="zh-CN"/>
        </w:rPr>
        <w:t>将法治政府建设成效纳入局机关各部门和局属各单位年度绩效考核体系，形成了一级抓一级、层层抓落实的责任链条。</w:t>
      </w:r>
    </w:p>
    <w:p w14:paraId="520528DB">
      <w:pPr>
        <w:keepNext w:val="0"/>
        <w:keepLines w:val="0"/>
        <w:pageBreakBefore w:val="0"/>
        <w:widowControl w:val="0"/>
        <w:kinsoku/>
        <w:wordWrap/>
        <w:overflowPunct/>
        <w:topLinePunct w:val="0"/>
        <w:autoSpaceDE/>
        <w:autoSpaceDN/>
        <w:bidi w:val="0"/>
        <w:adjustRightInd/>
        <w:snapToGrid/>
        <w:spacing w:line="600" w:lineRule="exact"/>
        <w:ind w:firstLine="618" w:firstLineChars="200"/>
        <w:jc w:val="both"/>
        <w:textAlignment w:val="auto"/>
        <w:rPr>
          <w:rFonts w:hint="eastAsia"/>
          <w:spacing w:val="0"/>
          <w:lang w:val="en-US" w:eastAsia="zh-CN"/>
        </w:rPr>
      </w:pPr>
      <w:r>
        <w:rPr>
          <w:rFonts w:hint="eastAsia" w:ascii="楷体_GB2312" w:hAnsi="楷体_GB2312" w:eastAsia="楷体_GB2312" w:cs="楷体_GB2312"/>
          <w:b w:val="0"/>
          <w:bCs/>
          <w:spacing w:val="0"/>
          <w:sz w:val="32"/>
          <w:szCs w:val="32"/>
          <w:lang w:val="en-US" w:eastAsia="zh-CN"/>
        </w:rPr>
        <w:t>（二）推进依法治市，夯实法治基础。</w:t>
      </w:r>
      <w:r>
        <w:rPr>
          <w:rFonts w:hint="eastAsia" w:ascii="Times New Roman" w:hAnsi="Times New Roman" w:eastAsia="仿宋_GB2312" w:cs="仿宋_GB2312"/>
          <w:snapToGrid w:val="0"/>
          <w:color w:val="auto"/>
          <w:spacing w:val="0"/>
          <w:kern w:val="2"/>
          <w:sz w:val="32"/>
          <w:szCs w:val="32"/>
          <w:lang w:val="en-US" w:eastAsia="zh-CN"/>
        </w:rPr>
        <w:t>将习近平法治思想纳入全市各级党委（党组）理论学习中心组2025年理论学习安排，市委理论学习中心组、市政府常务会议开展专题法治讲座5次。召开市委全面依法治市委员会会议2次，依法治市委员会办公室和各协调小组会议6次，制发依法治市委员会文件4件，办公室文件7件。对6个镇（街）、6个市直部门开展法治建设实地督察暨“八五”普法终期检查验收，共发现问题48个并逐一反馈整改，有效提升了法治政府建设质效。</w:t>
      </w:r>
    </w:p>
    <w:p w14:paraId="4BA82C18">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18"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楷体_GB2312" w:hAnsi="楷体_GB2312" w:eastAsia="楷体_GB2312" w:cs="楷体_GB2312"/>
          <w:b w:val="0"/>
          <w:bCs/>
          <w:color w:val="auto"/>
          <w:spacing w:val="0"/>
          <w:kern w:val="2"/>
          <w:sz w:val="32"/>
          <w:szCs w:val="32"/>
          <w:lang w:val="en-US" w:eastAsia="zh-CN" w:bidi="ar-SA"/>
        </w:rPr>
        <w:t>（三）聚焦重点任务，压实法治责任。</w:t>
      </w:r>
      <w:r>
        <w:rPr>
          <w:rFonts w:hint="eastAsia" w:ascii="Times New Roman" w:hAnsi="Times New Roman" w:eastAsia="仿宋_GB2312" w:cs="仿宋_GB2312"/>
          <w:snapToGrid w:val="0"/>
          <w:color w:val="auto"/>
          <w:spacing w:val="0"/>
          <w:kern w:val="2"/>
          <w:sz w:val="32"/>
          <w:szCs w:val="32"/>
          <w:lang w:val="en-US" w:eastAsia="zh-CN" w:bidi="ar-SA"/>
        </w:rPr>
        <w:t>聘请新一届20名市委市政府法律顾问，</w:t>
      </w:r>
      <w:r>
        <w:rPr>
          <w:rFonts w:hint="eastAsia" w:ascii="Times New Roman" w:hAnsi="Times New Roman" w:cs="仿宋_GB2312"/>
          <w:snapToGrid w:val="0"/>
          <w:color w:val="auto"/>
          <w:spacing w:val="0"/>
          <w:kern w:val="2"/>
          <w:sz w:val="32"/>
          <w:szCs w:val="32"/>
          <w:lang w:val="en-US" w:eastAsia="zh-CN" w:bidi="ar-SA"/>
        </w:rPr>
        <w:t>推进</w:t>
      </w:r>
      <w:r>
        <w:rPr>
          <w:rFonts w:hint="eastAsia" w:ascii="Times New Roman" w:hAnsi="Times New Roman" w:eastAsia="仿宋_GB2312" w:cs="仿宋_GB2312"/>
          <w:snapToGrid w:val="0"/>
          <w:color w:val="auto"/>
          <w:spacing w:val="0"/>
          <w:kern w:val="2"/>
          <w:sz w:val="32"/>
          <w:szCs w:val="32"/>
          <w:lang w:val="en-US" w:eastAsia="zh-CN" w:bidi="ar-SA"/>
        </w:rPr>
        <w:t>科学、民主、依法决策</w:t>
      </w:r>
      <w:r>
        <w:rPr>
          <w:rFonts w:hint="eastAsia" w:ascii="Times New Roman" w:hAnsi="Times New Roman" w:cs="仿宋_GB2312"/>
          <w:snapToGrid w:val="0"/>
          <w:color w:val="auto"/>
          <w:spacing w:val="0"/>
          <w:kern w:val="2"/>
          <w:sz w:val="32"/>
          <w:szCs w:val="32"/>
          <w:lang w:val="en-US" w:eastAsia="zh-CN" w:bidi="ar-SA"/>
        </w:rPr>
        <w:t>。</w:t>
      </w:r>
      <w:r>
        <w:rPr>
          <w:rFonts w:hint="eastAsia" w:ascii="Times New Roman" w:hAnsi="Times New Roman" w:eastAsia="仿宋_GB2312" w:cs="仿宋_GB2312"/>
          <w:snapToGrid w:val="0"/>
          <w:color w:val="auto"/>
          <w:spacing w:val="0"/>
          <w:kern w:val="2"/>
          <w:sz w:val="32"/>
          <w:szCs w:val="32"/>
          <w:lang w:val="en-US" w:eastAsia="zh-CN" w:bidi="ar-SA"/>
        </w:rPr>
        <w:t>严格落实行政执法“三项制度”，推广使用全省“涉企行政检查平台”，</w:t>
      </w:r>
      <w:r>
        <w:rPr>
          <w:rFonts w:hint="eastAsia" w:ascii="Times New Roman" w:hAnsi="Times New Roman" w:cs="仿宋_GB2312"/>
          <w:snapToGrid w:val="0"/>
          <w:color w:val="auto"/>
          <w:spacing w:val="0"/>
          <w:kern w:val="2"/>
          <w:sz w:val="32"/>
          <w:szCs w:val="32"/>
          <w:lang w:val="en-US" w:eastAsia="zh-CN" w:bidi="ar-SA"/>
        </w:rPr>
        <w:t>全年</w:t>
      </w:r>
      <w:r>
        <w:rPr>
          <w:rFonts w:hint="eastAsia" w:ascii="Times New Roman" w:hAnsi="Times New Roman" w:eastAsia="仿宋_GB2312" w:cs="仿宋_GB2312"/>
          <w:snapToGrid w:val="0"/>
          <w:color w:val="auto"/>
          <w:spacing w:val="0"/>
          <w:kern w:val="2"/>
          <w:sz w:val="32"/>
          <w:szCs w:val="32"/>
          <w:lang w:val="en-US" w:eastAsia="zh-CN" w:bidi="ar-SA"/>
        </w:rPr>
        <w:t>各行政执法部门通过平台记录检查计划6177个，扫码率100%。适用“不罚、轻罚”清单办理不予处罚和减轻处罚案件1919件，不予处罚244.39万元；适用“证明事项告知承诺制”办理事项10962个，减少证明材料12939项。实施“信访+行政复议”融合机制，设立行政执法监督、行政复议联系点10处，聘任行政执法、行政复议监督员20人</w:t>
      </w:r>
      <w:r>
        <w:rPr>
          <w:rFonts w:hint="eastAsia" w:ascii="Times New Roman" w:hAnsi="Times New Roman" w:cs="仿宋_GB2312"/>
          <w:snapToGrid w:val="0"/>
          <w:color w:val="auto"/>
          <w:spacing w:val="0"/>
          <w:kern w:val="2"/>
          <w:sz w:val="32"/>
          <w:szCs w:val="32"/>
          <w:lang w:val="en-US" w:eastAsia="zh-CN" w:bidi="ar-SA"/>
        </w:rPr>
        <w:t>，全年</w:t>
      </w:r>
      <w:r>
        <w:rPr>
          <w:rFonts w:hint="eastAsia" w:ascii="Times New Roman" w:hAnsi="Times New Roman" w:eastAsia="仿宋_GB2312" w:cs="仿宋_GB2312"/>
          <w:snapToGrid w:val="0"/>
          <w:color w:val="auto"/>
          <w:spacing w:val="0"/>
          <w:kern w:val="2"/>
          <w:sz w:val="32"/>
          <w:szCs w:val="32"/>
          <w:lang w:val="en-US" w:eastAsia="zh-CN" w:bidi="ar-SA"/>
        </w:rPr>
        <w:t>共</w:t>
      </w:r>
      <w:r>
        <w:rPr>
          <w:rFonts w:hint="eastAsia" w:ascii="Times New Roman" w:hAnsi="Times New Roman" w:cs="仿宋_GB2312"/>
          <w:snapToGrid w:val="0"/>
          <w:color w:val="auto"/>
          <w:spacing w:val="0"/>
          <w:kern w:val="2"/>
          <w:sz w:val="32"/>
          <w:szCs w:val="32"/>
          <w:lang w:val="en-US" w:eastAsia="zh-CN" w:bidi="ar-SA"/>
        </w:rPr>
        <w:t>办理</w:t>
      </w:r>
      <w:r>
        <w:rPr>
          <w:rFonts w:hint="eastAsia" w:ascii="Times New Roman" w:hAnsi="Times New Roman" w:eastAsia="仿宋_GB2312" w:cs="仿宋_GB2312"/>
          <w:snapToGrid w:val="0"/>
          <w:color w:val="auto"/>
          <w:spacing w:val="0"/>
          <w:kern w:val="2"/>
          <w:sz w:val="32"/>
          <w:szCs w:val="32"/>
          <w:lang w:val="en-US" w:eastAsia="zh-CN" w:bidi="ar-SA"/>
        </w:rPr>
        <w:t>行政复议</w:t>
      </w:r>
      <w:r>
        <w:rPr>
          <w:rFonts w:hint="eastAsia" w:ascii="Times New Roman" w:hAnsi="Times New Roman" w:cs="仿宋_GB2312"/>
          <w:snapToGrid w:val="0"/>
          <w:color w:val="auto"/>
          <w:spacing w:val="0"/>
          <w:kern w:val="2"/>
          <w:sz w:val="32"/>
          <w:szCs w:val="32"/>
          <w:lang w:val="en-US" w:eastAsia="zh-CN" w:bidi="ar-SA"/>
        </w:rPr>
        <w:t>案件</w:t>
      </w:r>
      <w:r>
        <w:rPr>
          <w:rFonts w:hint="eastAsia" w:ascii="Times New Roman" w:hAnsi="Times New Roman" w:eastAsia="仿宋_GB2312" w:cs="仿宋_GB2312"/>
          <w:snapToGrid w:val="0"/>
          <w:color w:val="auto"/>
          <w:spacing w:val="0"/>
          <w:kern w:val="2"/>
          <w:sz w:val="32"/>
          <w:szCs w:val="32"/>
          <w:lang w:val="en-US" w:eastAsia="zh-CN" w:bidi="ar-SA"/>
        </w:rPr>
        <w:t>906件。加强行政应诉能力建设，行政机关负责人出庭应诉率保持在100%。加强重大行政决策合法性审查和行政规范性文件备案审查力度，开展民营企业发展政策措施自查清理工作。2025年，全市共审查各类文件2</w:t>
      </w:r>
      <w:r>
        <w:rPr>
          <w:rFonts w:hint="eastAsia" w:ascii="Times New Roman" w:hAnsi="Times New Roman" w:cs="仿宋_GB2312"/>
          <w:snapToGrid w:val="0"/>
          <w:color w:val="auto"/>
          <w:spacing w:val="0"/>
          <w:kern w:val="2"/>
          <w:sz w:val="32"/>
          <w:szCs w:val="32"/>
          <w:lang w:val="en-US" w:eastAsia="zh-CN" w:bidi="ar-SA"/>
        </w:rPr>
        <w:t>300</w:t>
      </w:r>
      <w:r>
        <w:rPr>
          <w:rFonts w:hint="eastAsia" w:ascii="Times New Roman" w:hAnsi="Times New Roman" w:eastAsia="仿宋_GB2312" w:cs="仿宋_GB2312"/>
          <w:snapToGrid w:val="0"/>
          <w:color w:val="auto"/>
          <w:spacing w:val="0"/>
          <w:kern w:val="2"/>
          <w:sz w:val="32"/>
          <w:szCs w:val="32"/>
          <w:lang w:val="en-US" w:eastAsia="zh-CN" w:bidi="ar-SA"/>
        </w:rPr>
        <w:t>余件。</w:t>
      </w:r>
    </w:p>
    <w:p w14:paraId="5DEB02F6">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18" w:firstLineChars="200"/>
        <w:jc w:val="both"/>
        <w:textAlignment w:val="auto"/>
        <w:rPr>
          <w:rFonts w:hint="eastAsia" w:ascii="黑体" w:hAnsi="黑体" w:eastAsia="黑体" w:cs="黑体"/>
          <w:snapToGrid w:val="0"/>
          <w:color w:val="auto"/>
          <w:spacing w:val="0"/>
          <w:kern w:val="2"/>
          <w:sz w:val="32"/>
          <w:szCs w:val="32"/>
          <w:lang w:val="en-US" w:eastAsia="zh-CN"/>
        </w:rPr>
      </w:pPr>
      <w:r>
        <w:rPr>
          <w:rFonts w:hint="eastAsia" w:ascii="黑体" w:hAnsi="黑体" w:eastAsia="黑体" w:cs="黑体"/>
          <w:snapToGrid w:val="0"/>
          <w:color w:val="auto"/>
          <w:spacing w:val="0"/>
          <w:kern w:val="2"/>
          <w:sz w:val="32"/>
          <w:szCs w:val="32"/>
          <w:lang w:val="en-US" w:eastAsia="zh-CN"/>
        </w:rPr>
        <w:t>二、</w:t>
      </w:r>
      <w:r>
        <w:rPr>
          <w:rFonts w:hint="eastAsia" w:ascii="Times New Roman" w:hAnsi="Times New Roman" w:eastAsia="仿宋_GB2312" w:cs="Times New Roman"/>
          <w:snapToGrid w:val="0"/>
          <w:color w:val="auto"/>
          <w:spacing w:val="0"/>
          <w:kern w:val="2"/>
          <w:sz w:val="32"/>
          <w:szCs w:val="32"/>
          <w:lang w:val="en-US" w:eastAsia="zh-CN" w:bidi="ar-SA"/>
        </w:rPr>
        <w:t>2025</w:t>
      </w:r>
      <w:r>
        <w:rPr>
          <w:rFonts w:hint="eastAsia" w:ascii="黑体" w:hAnsi="黑体" w:eastAsia="黑体" w:cs="黑体"/>
          <w:snapToGrid w:val="0"/>
          <w:color w:val="auto"/>
          <w:spacing w:val="0"/>
          <w:kern w:val="2"/>
          <w:sz w:val="32"/>
          <w:szCs w:val="32"/>
          <w:lang w:val="en-US" w:eastAsia="zh-CN"/>
        </w:rPr>
        <w:t>年度推进法治政府建设的主要举措和成效</w:t>
      </w:r>
    </w:p>
    <w:p w14:paraId="5ECEB362">
      <w:pPr>
        <w:keepNext w:val="0"/>
        <w:keepLines w:val="0"/>
        <w:pageBreakBefore w:val="0"/>
        <w:widowControl w:val="0"/>
        <w:kinsoku/>
        <w:wordWrap/>
        <w:overflowPunct/>
        <w:topLinePunct w:val="0"/>
        <w:autoSpaceDE/>
        <w:autoSpaceDN/>
        <w:bidi w:val="0"/>
        <w:adjustRightInd/>
        <w:snapToGrid/>
        <w:spacing w:line="600" w:lineRule="exact"/>
        <w:ind w:firstLine="618" w:firstLineChars="200"/>
        <w:jc w:val="both"/>
        <w:textAlignment w:val="auto"/>
        <w:rPr>
          <w:rFonts w:hint="eastAsia" w:ascii="仿宋_GB2312" w:hAnsi="仿宋_GB2312" w:eastAsia="仿宋_GB2312" w:cs="仿宋_GB2312"/>
          <w:b/>
          <w:bCs/>
          <w:spacing w:val="0"/>
          <w:kern w:val="2"/>
          <w:sz w:val="32"/>
          <w:szCs w:val="32"/>
          <w:lang w:val="en-US" w:eastAsia="zh-CN" w:bidi="ar-SA"/>
        </w:rPr>
      </w:pPr>
      <w:r>
        <w:rPr>
          <w:rFonts w:hint="eastAsia" w:ascii="楷体_GB2312" w:hAnsi="楷体_GB2312" w:eastAsia="楷体_GB2312" w:cs="楷体_GB2312"/>
          <w:b w:val="0"/>
          <w:bCs/>
          <w:spacing w:val="0"/>
          <w:sz w:val="32"/>
          <w:szCs w:val="32"/>
          <w:lang w:val="en-US" w:eastAsia="zh-CN"/>
        </w:rPr>
        <w:t>（一）健全矛盾纠纷化解，筑牢社会和谐法治防线。</w:t>
      </w:r>
      <w:r>
        <w:rPr>
          <w:rFonts w:hint="eastAsia" w:ascii="仿宋_GB2312" w:hAnsi="仿宋_GB2312" w:eastAsia="仿宋_GB2312" w:cs="仿宋_GB2312"/>
          <w:b/>
          <w:bCs/>
          <w:spacing w:val="0"/>
          <w:kern w:val="2"/>
          <w:sz w:val="32"/>
          <w:szCs w:val="32"/>
          <w:lang w:val="en-US" w:eastAsia="zh-CN" w:bidi="ar-SA"/>
        </w:rPr>
        <w:t>一是矛盾化解多元高效。</w:t>
      </w:r>
      <w:r>
        <w:rPr>
          <w:rFonts w:hint="eastAsia" w:ascii="Times New Roman" w:hAnsi="Times New Roman" w:eastAsia="仿宋_GB2312" w:cs="仿宋_GB2312"/>
          <w:snapToGrid w:val="0"/>
          <w:color w:val="auto"/>
          <w:spacing w:val="0"/>
          <w:kern w:val="2"/>
          <w:sz w:val="32"/>
          <w:szCs w:val="32"/>
          <w:lang w:val="en-US" w:eastAsia="zh-CN" w:bidi="ar-SA"/>
        </w:rPr>
        <w:t>健全矛盾纠纷多元预防调处化解综合机制，开展“排查护航发展调解为民解难”等矛盾纠纷排查调处专项行动。2025年，全市各类调解组织排查化解各类矛盾纠纷8015件，调解成功7855件，调解成功率98%。</w:t>
      </w:r>
      <w:r>
        <w:rPr>
          <w:rFonts w:hint="eastAsia" w:ascii="仿宋_GB2312" w:eastAsia="仿宋_GB2312"/>
          <w:snapToGrid w:val="0"/>
          <w:color w:val="000000"/>
          <w:spacing w:val="0"/>
          <w:sz w:val="32"/>
          <w:szCs w:val="32"/>
        </w:rPr>
        <w:t>市司法局荣获“全国组织宣传调解工作表现突出集体”称号。</w:t>
      </w:r>
      <w:r>
        <w:rPr>
          <w:rFonts w:hint="eastAsia" w:ascii="仿宋_GB2312" w:hAnsi="仿宋_GB2312" w:eastAsia="仿宋_GB2312" w:cs="仿宋_GB2312"/>
          <w:b/>
          <w:bCs/>
          <w:spacing w:val="0"/>
          <w:kern w:val="2"/>
          <w:sz w:val="32"/>
          <w:szCs w:val="32"/>
          <w:lang w:val="en-US" w:eastAsia="zh-CN" w:bidi="ar-SA"/>
        </w:rPr>
        <w:t>二是教育帮扶管控精准。</w:t>
      </w:r>
      <w:r>
        <w:rPr>
          <w:rFonts w:hint="eastAsia" w:ascii="仿宋_GB2312" w:hAnsi="仿宋_GB2312" w:eastAsia="仿宋_GB2312" w:cs="仿宋_GB2312"/>
          <w:spacing w:val="0"/>
          <w:kern w:val="2"/>
          <w:sz w:val="32"/>
          <w:szCs w:val="32"/>
          <w:lang w:val="en-US" w:eastAsia="zh-CN" w:bidi="ar-SA"/>
        </w:rPr>
        <w:t>深化“善国善矫”特色品牌建设，强化</w:t>
      </w:r>
      <w:r>
        <w:rPr>
          <w:rFonts w:hint="eastAsia" w:ascii="Times New Roman" w:hAnsi="Times New Roman" w:eastAsia="仿宋_GB2312" w:cs="仿宋_GB2312"/>
          <w:snapToGrid w:val="0"/>
          <w:color w:val="auto"/>
          <w:spacing w:val="0"/>
          <w:kern w:val="2"/>
          <w:sz w:val="32"/>
          <w:szCs w:val="32"/>
          <w:lang w:val="en-US" w:eastAsia="zh-CN" w:bidi="ar-SA"/>
        </w:rPr>
        <w:t>社区矫正对象和刑满释放人员教育帮扶与监督管理，成立滕州市社区矫正中心“黄丝带帮教”基地，顺利完成社区矫正着装试点，</w:t>
      </w:r>
      <w:r>
        <w:rPr>
          <w:rFonts w:hint="eastAsia" w:ascii="仿宋_GB2312" w:hAnsi="仿宋_GB2312" w:eastAsia="仿宋_GB2312" w:cs="仿宋_GB2312"/>
          <w:spacing w:val="0"/>
          <w:kern w:val="2"/>
          <w:sz w:val="32"/>
          <w:szCs w:val="32"/>
          <w:lang w:val="en-US" w:eastAsia="zh-CN" w:bidi="ar-SA"/>
        </w:rPr>
        <w:t>推动社区矫正工作由“底线安全”向“治本安全”全面转变。</w:t>
      </w:r>
      <w:r>
        <w:rPr>
          <w:rFonts w:hint="eastAsia" w:ascii="仿宋_GB2312" w:hAnsi="仿宋_GB2312" w:eastAsia="仿宋_GB2312" w:cs="仿宋_GB2312"/>
          <w:b/>
          <w:bCs/>
          <w:spacing w:val="0"/>
          <w:kern w:val="2"/>
          <w:sz w:val="32"/>
          <w:szCs w:val="32"/>
          <w:lang w:val="en-US" w:eastAsia="zh-CN" w:bidi="ar-SA"/>
        </w:rPr>
        <w:t>三是风险防范关口前移。</w:t>
      </w:r>
      <w:r>
        <w:rPr>
          <w:rFonts w:hint="eastAsia" w:ascii="仿宋_GB2312" w:hAnsi="仿宋_GB2312" w:eastAsia="仿宋_GB2312" w:cs="仿宋_GB2312"/>
          <w:spacing w:val="0"/>
          <w:kern w:val="2"/>
          <w:sz w:val="32"/>
          <w:szCs w:val="32"/>
          <w:lang w:val="en-US" w:eastAsia="zh-CN" w:bidi="ar-SA"/>
        </w:rPr>
        <w:t>做好全市重大活动期间的安保维稳任务，配合镇（街）、有关单位妥善处理重大疑难和突发事件，积极打造矛盾纠纷非诉化解“滕州样板”。</w:t>
      </w:r>
    </w:p>
    <w:p w14:paraId="64934AA4">
      <w:pPr>
        <w:keepNext w:val="0"/>
        <w:keepLines w:val="0"/>
        <w:pageBreakBefore w:val="0"/>
        <w:widowControl w:val="0"/>
        <w:kinsoku/>
        <w:wordWrap/>
        <w:overflowPunct/>
        <w:topLinePunct w:val="0"/>
        <w:autoSpaceDE/>
        <w:autoSpaceDN/>
        <w:bidi w:val="0"/>
        <w:adjustRightInd/>
        <w:snapToGrid/>
        <w:spacing w:line="600" w:lineRule="exact"/>
        <w:ind w:firstLine="618" w:firstLineChars="200"/>
        <w:textAlignment w:val="auto"/>
        <w:rPr>
          <w:rFonts w:hint="eastAsia" w:ascii="Times New Roman" w:hAnsi="Times New Roman" w:eastAsia="仿宋_GB2312" w:cs="仿宋_GB2312"/>
          <w:snapToGrid w:val="0"/>
          <w:color w:val="auto"/>
          <w:spacing w:val="0"/>
          <w:kern w:val="2"/>
          <w:sz w:val="32"/>
          <w:szCs w:val="32"/>
          <w:lang w:val="en-US" w:eastAsia="zh-CN" w:bidi="ar-SA"/>
        </w:rPr>
      </w:pPr>
      <w:r>
        <w:rPr>
          <w:rFonts w:hint="eastAsia" w:ascii="楷体_GB2312" w:hAnsi="楷体_GB2312" w:eastAsia="楷体_GB2312" w:cs="楷体_GB2312"/>
          <w:b w:val="0"/>
          <w:bCs/>
          <w:spacing w:val="0"/>
          <w:sz w:val="32"/>
          <w:szCs w:val="32"/>
          <w:lang w:val="en-US" w:eastAsia="zh-CN"/>
        </w:rPr>
        <w:t>（二）优化公共法律服务，增强民生法治获得感。</w:t>
      </w:r>
      <w:r>
        <w:rPr>
          <w:rFonts w:hint="eastAsia" w:ascii="仿宋_GB2312" w:hAnsi="仿宋_GB2312" w:eastAsia="仿宋_GB2312" w:cs="仿宋_GB2312"/>
          <w:b/>
          <w:bCs/>
          <w:color w:val="auto"/>
          <w:spacing w:val="0"/>
          <w:kern w:val="2"/>
          <w:sz w:val="32"/>
          <w:szCs w:val="32"/>
          <w:lang w:val="en-US" w:eastAsia="zh-CN" w:bidi="ar-SA"/>
        </w:rPr>
        <w:t>一是精准惠企，优化营商环境。</w:t>
      </w:r>
      <w:r>
        <w:rPr>
          <w:rFonts w:hint="eastAsia" w:ascii="Times New Roman" w:hAnsi="Times New Roman" w:eastAsia="仿宋_GB2312" w:cs="仿宋_GB2312"/>
          <w:snapToGrid w:val="0"/>
          <w:color w:val="auto"/>
          <w:spacing w:val="0"/>
          <w:kern w:val="2"/>
          <w:sz w:val="32"/>
          <w:szCs w:val="32"/>
          <w:lang w:val="en-US" w:eastAsia="zh-CN" w:bidi="ar-SA"/>
        </w:rPr>
        <w:t>扎实开展中小微企业“法治体检”活动，着力为中小微企业健康发展提供优质法律服务和坚实法治保障。2025年，各律所担任中小微企业法律顾问619家，修订合同1409份，出具法律意见建议书1028份。</w:t>
      </w:r>
      <w:r>
        <w:rPr>
          <w:rFonts w:hint="eastAsia" w:ascii="仿宋_GB2312" w:hAnsi="仿宋_GB2312" w:eastAsia="仿宋_GB2312" w:cs="仿宋_GB2312"/>
          <w:b/>
          <w:bCs/>
          <w:color w:val="auto"/>
          <w:spacing w:val="0"/>
          <w:kern w:val="2"/>
          <w:sz w:val="32"/>
          <w:szCs w:val="32"/>
          <w:lang w:val="en-US" w:eastAsia="zh-CN" w:bidi="ar-SA"/>
        </w:rPr>
        <w:t>二是法援提质，兜牢民生底线。</w:t>
      </w:r>
      <w:r>
        <w:rPr>
          <w:rFonts w:hint="eastAsia" w:ascii="Times New Roman" w:hAnsi="Times New Roman" w:eastAsia="仿宋_GB2312" w:cs="仿宋_GB2312"/>
          <w:snapToGrid w:val="0"/>
          <w:color w:val="auto"/>
          <w:spacing w:val="0"/>
          <w:kern w:val="2"/>
          <w:sz w:val="32"/>
          <w:szCs w:val="32"/>
          <w:lang w:val="en-US" w:eastAsia="zh-CN" w:bidi="ar-SA"/>
        </w:rPr>
        <w:t>创新服务模式，推行“民事诉讼+法律援助”联动机制，打通了民事诉讼案件“绿色通道”。深化案件质量管理，开展法律援助案卷质量专题培训会，推动法律援助案件质量工作向更高水平迈进。2025年，共受理法律援助案件1895件。</w:t>
      </w:r>
      <w:r>
        <w:rPr>
          <w:rFonts w:hint="eastAsia" w:ascii="仿宋_GB2312" w:hAnsi="仿宋_GB2312" w:eastAsia="仿宋_GB2312" w:cs="仿宋_GB2312"/>
          <w:b/>
          <w:bCs/>
          <w:color w:val="auto"/>
          <w:spacing w:val="0"/>
          <w:kern w:val="2"/>
          <w:sz w:val="32"/>
          <w:szCs w:val="32"/>
          <w:lang w:val="en-US" w:eastAsia="zh-CN" w:bidi="ar-SA"/>
        </w:rPr>
        <w:t>三是公证升级，赋能经济发展。</w:t>
      </w:r>
      <w:r>
        <w:rPr>
          <w:rFonts w:hint="eastAsia" w:ascii="Times New Roman" w:hAnsi="Times New Roman" w:eastAsia="仿宋_GB2312" w:cs="仿宋_GB2312"/>
          <w:snapToGrid w:val="0"/>
          <w:color w:val="auto"/>
          <w:spacing w:val="0"/>
          <w:kern w:val="2"/>
          <w:sz w:val="32"/>
          <w:szCs w:val="32"/>
          <w:lang w:val="en-US" w:eastAsia="zh-CN" w:bidi="ar-SA"/>
        </w:rPr>
        <w:t>持续推进“公证+司法辅助”“公证+金融”“公证+不动产登记”等一系列“公证+”创新服务举措。细化公证涉企服务项目，架设涉企服务“绿色通道”，推行涉企事项“一对一”公证跟踪服务，不断优化法治化营商环境。</w:t>
      </w:r>
      <w:bookmarkStart w:id="0" w:name="OLE_LINK96"/>
      <w:bookmarkStart w:id="1" w:name="OLE_LINK95"/>
      <w:bookmarkStart w:id="2" w:name="OLE_LINK99"/>
      <w:r>
        <w:rPr>
          <w:rFonts w:hint="eastAsia" w:ascii="Times New Roman" w:hAnsi="Times New Roman" w:eastAsia="仿宋_GB2312" w:cs="仿宋_GB2312"/>
          <w:snapToGrid w:val="0"/>
          <w:color w:val="auto"/>
          <w:spacing w:val="0"/>
          <w:kern w:val="2"/>
          <w:sz w:val="32"/>
          <w:szCs w:val="32"/>
          <w:lang w:val="en-US" w:eastAsia="zh-CN" w:bidi="ar-SA"/>
        </w:rPr>
        <w:t>2025年，全市共办理公证事项9041件，同比增长1.7%。</w:t>
      </w:r>
      <w:bookmarkEnd w:id="0"/>
      <w:bookmarkEnd w:id="1"/>
      <w:bookmarkEnd w:id="2"/>
    </w:p>
    <w:p w14:paraId="6A7DA74C">
      <w:pPr>
        <w:keepNext w:val="0"/>
        <w:keepLines w:val="0"/>
        <w:pageBreakBefore w:val="0"/>
        <w:widowControl w:val="0"/>
        <w:kinsoku/>
        <w:wordWrap/>
        <w:overflowPunct/>
        <w:topLinePunct w:val="0"/>
        <w:autoSpaceDE/>
        <w:autoSpaceDN/>
        <w:bidi w:val="0"/>
        <w:adjustRightInd/>
        <w:snapToGrid/>
        <w:spacing w:line="600" w:lineRule="exact"/>
        <w:ind w:firstLine="618" w:firstLineChars="200"/>
        <w:jc w:val="both"/>
        <w:textAlignment w:val="auto"/>
        <w:rPr>
          <w:rFonts w:hint="default" w:ascii="Times New Roman" w:hAnsi="Times New Roman" w:eastAsia="仿宋_GB2312" w:cs="仿宋_GB2312"/>
          <w:snapToGrid w:val="0"/>
          <w:color w:val="auto"/>
          <w:spacing w:val="0"/>
          <w:kern w:val="2"/>
          <w:sz w:val="32"/>
          <w:szCs w:val="32"/>
          <w:lang w:val="en-US" w:eastAsia="zh-CN" w:bidi="ar-SA"/>
        </w:rPr>
      </w:pPr>
      <w:r>
        <w:rPr>
          <w:rFonts w:hint="eastAsia" w:ascii="楷体_GB2312" w:hAnsi="楷体_GB2312" w:eastAsia="楷体_GB2312" w:cs="楷体_GB2312"/>
          <w:b w:val="0"/>
          <w:bCs/>
          <w:spacing w:val="0"/>
          <w:sz w:val="32"/>
          <w:szCs w:val="32"/>
          <w:lang w:val="en-US" w:eastAsia="zh-CN"/>
        </w:rPr>
        <w:t>（三）深化法治宣传教育，营造全民尊法学法氛围。</w:t>
      </w:r>
      <w:r>
        <w:rPr>
          <w:rFonts w:hint="eastAsia" w:ascii="仿宋_GB2312" w:hAnsi="仿宋_GB2312" w:eastAsia="仿宋_GB2312" w:cs="仿宋_GB2312"/>
          <w:b/>
          <w:bCs w:val="0"/>
          <w:spacing w:val="0"/>
          <w:sz w:val="32"/>
          <w:szCs w:val="32"/>
          <w:lang w:val="en-US" w:eastAsia="zh-CN"/>
        </w:rPr>
        <w:t>一是扎实做好“八五”普法验收。</w:t>
      </w:r>
      <w:r>
        <w:rPr>
          <w:rFonts w:hint="eastAsia" w:ascii="Times New Roman" w:hAnsi="Times New Roman" w:eastAsia="仿宋_GB2312" w:cs="仿宋_GB2312"/>
          <w:snapToGrid w:val="0"/>
          <w:color w:val="auto"/>
          <w:spacing w:val="0"/>
          <w:kern w:val="2"/>
          <w:sz w:val="32"/>
          <w:szCs w:val="32"/>
          <w:lang w:val="en-US" w:eastAsia="zh-CN" w:bidi="ar-SA"/>
        </w:rPr>
        <w:t>印发《全市“八五”普法规划总结验收工作方案》，组织各部门按照总结验收实地评查要点自查自评。将各部门普法工作列入年度法治建设督察、“八五”普法终期评估重要内容，对部分部门、镇</w:t>
      </w:r>
      <w:r>
        <w:rPr>
          <w:rFonts w:hint="eastAsia" w:ascii="仿宋_GB2312" w:hAnsi="仿宋_GB2312" w:eastAsia="仿宋_GB2312" w:cs="仿宋_GB2312"/>
          <w:spacing w:val="0"/>
          <w:kern w:val="2"/>
          <w:sz w:val="32"/>
          <w:szCs w:val="32"/>
          <w:lang w:val="en-US" w:eastAsia="zh-CN" w:bidi="ar-SA"/>
        </w:rPr>
        <w:t>（街）</w:t>
      </w:r>
      <w:r>
        <w:rPr>
          <w:rFonts w:hint="eastAsia" w:ascii="Times New Roman" w:hAnsi="Times New Roman" w:eastAsia="仿宋_GB2312" w:cs="仿宋_GB2312"/>
          <w:snapToGrid w:val="0"/>
          <w:color w:val="auto"/>
          <w:spacing w:val="0"/>
          <w:kern w:val="2"/>
          <w:sz w:val="32"/>
          <w:szCs w:val="32"/>
          <w:lang w:val="en-US" w:eastAsia="zh-CN" w:bidi="ar-SA"/>
        </w:rPr>
        <w:t>进行“八五”普法规划终期实地评估，推动普法责任落地落实。</w:t>
      </w:r>
      <w:r>
        <w:rPr>
          <w:rFonts w:hint="eastAsia" w:ascii="仿宋_GB2312" w:hAnsi="仿宋_GB2312" w:eastAsia="仿宋_GB2312" w:cs="仿宋_GB2312"/>
          <w:b/>
          <w:bCs/>
          <w:spacing w:val="0"/>
          <w:kern w:val="2"/>
          <w:sz w:val="32"/>
          <w:szCs w:val="32"/>
          <w:lang w:val="en-US" w:eastAsia="zh-CN" w:bidi="ar-SA"/>
        </w:rPr>
        <w:t>二是重点内容精准滴灌。</w:t>
      </w:r>
      <w:r>
        <w:rPr>
          <w:rFonts w:hint="eastAsia" w:ascii="Times New Roman" w:hAnsi="Times New Roman" w:eastAsia="仿宋_GB2312" w:cs="仿宋_GB2312"/>
          <w:snapToGrid w:val="0"/>
          <w:color w:val="auto"/>
          <w:spacing w:val="0"/>
          <w:kern w:val="2"/>
          <w:sz w:val="32"/>
          <w:szCs w:val="32"/>
          <w:lang w:val="en-US" w:eastAsia="zh-CN" w:bidi="ar-SA"/>
        </w:rPr>
        <w:t>围绕宪法、民法典等重点法律法规，结合重要节点开展普法活动，探索“非遗传承+普法宣传”相融合新路径，提升普法宣传的覆盖面和影响力。2025年，共开展法治宣传490余场，发放宣传资料1.2万余份，推出《普法小课堂》微视频32期，观看人数4.3万余人次。</w:t>
      </w:r>
      <w:r>
        <w:rPr>
          <w:rFonts w:hint="eastAsia" w:ascii="仿宋_GB2312" w:hAnsi="仿宋_GB2312" w:eastAsia="仿宋_GB2312" w:cs="仿宋_GB2312"/>
          <w:b/>
          <w:bCs/>
          <w:spacing w:val="0"/>
          <w:kern w:val="2"/>
          <w:sz w:val="32"/>
          <w:szCs w:val="32"/>
          <w:lang w:val="en-US" w:eastAsia="zh-CN" w:bidi="ar-SA"/>
        </w:rPr>
        <w:t>三是智慧宣传提档升级。</w:t>
      </w:r>
      <w:r>
        <w:rPr>
          <w:rFonts w:hint="eastAsia" w:ascii="Times New Roman" w:hAnsi="Times New Roman" w:eastAsia="仿宋_GB2312" w:cs="仿宋_GB2312"/>
          <w:snapToGrid w:val="0"/>
          <w:color w:val="auto"/>
          <w:spacing w:val="0"/>
          <w:kern w:val="2"/>
          <w:sz w:val="32"/>
          <w:szCs w:val="32"/>
          <w:lang w:val="en-US" w:eastAsia="zh-CN" w:bidi="ar-SA"/>
        </w:rPr>
        <w:t>2025年，利用“法治滕州”微信公众号推送信息732条，在政府网站等平台发布信息227条，被各类主流媒体采用信息481篇，其中省级246篇，枣庄市级62篇，滕州市级173篇。</w:t>
      </w:r>
    </w:p>
    <w:p w14:paraId="516E6661">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18" w:firstLineChars="200"/>
        <w:jc w:val="both"/>
        <w:textAlignment w:val="auto"/>
        <w:rPr>
          <w:rFonts w:hint="eastAsia" w:ascii="黑体" w:hAnsi="黑体" w:eastAsia="黑体" w:cs="黑体"/>
          <w:snapToGrid w:val="0"/>
          <w:color w:val="auto"/>
          <w:spacing w:val="0"/>
          <w:kern w:val="2"/>
          <w:sz w:val="32"/>
          <w:szCs w:val="32"/>
        </w:rPr>
      </w:pPr>
      <w:r>
        <w:rPr>
          <w:rFonts w:hint="eastAsia" w:ascii="黑体" w:hAnsi="黑体" w:eastAsia="黑体" w:cs="黑体"/>
          <w:snapToGrid w:val="0"/>
          <w:color w:val="auto"/>
          <w:spacing w:val="0"/>
          <w:kern w:val="2"/>
          <w:sz w:val="32"/>
          <w:szCs w:val="32"/>
          <w:lang w:val="en-US" w:eastAsia="zh-CN"/>
        </w:rPr>
        <w:t>三</w:t>
      </w:r>
      <w:r>
        <w:rPr>
          <w:rFonts w:hint="eastAsia" w:ascii="黑体" w:hAnsi="黑体" w:eastAsia="黑体" w:cs="黑体"/>
          <w:snapToGrid w:val="0"/>
          <w:color w:val="auto"/>
          <w:spacing w:val="0"/>
          <w:kern w:val="2"/>
          <w:sz w:val="32"/>
          <w:szCs w:val="32"/>
        </w:rPr>
        <w:t>、</w:t>
      </w:r>
      <w:r>
        <w:rPr>
          <w:rFonts w:hint="eastAsia" w:ascii="Times New Roman" w:hAnsi="Times New Roman" w:eastAsia="仿宋_GB2312" w:cs="Times New Roman"/>
          <w:snapToGrid w:val="0"/>
          <w:color w:val="auto"/>
          <w:spacing w:val="0"/>
          <w:kern w:val="2"/>
          <w:sz w:val="32"/>
          <w:szCs w:val="32"/>
          <w:lang w:val="en-US" w:eastAsia="zh-CN" w:bidi="ar-SA"/>
        </w:rPr>
        <w:t>2025</w:t>
      </w:r>
      <w:r>
        <w:rPr>
          <w:rFonts w:hint="eastAsia" w:ascii="黑体" w:hAnsi="黑体" w:eastAsia="黑体" w:cs="黑体"/>
          <w:snapToGrid w:val="0"/>
          <w:color w:val="auto"/>
          <w:spacing w:val="0"/>
          <w:kern w:val="2"/>
          <w:sz w:val="32"/>
          <w:szCs w:val="32"/>
        </w:rPr>
        <w:t>年度推进法治政府建设存在的不足和原因</w:t>
      </w:r>
    </w:p>
    <w:p w14:paraId="5AE71C10">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18" w:firstLineChars="200"/>
        <w:jc w:val="both"/>
        <w:textAlignment w:val="auto"/>
        <w:rPr>
          <w:rFonts w:hint="eastAsia" w:ascii="仿宋_GB2312" w:hAnsi="仿宋_GB2312" w:eastAsia="仿宋_GB2312" w:cs="仿宋_GB2312"/>
          <w:snapToGrid w:val="0"/>
          <w:color w:val="auto"/>
          <w:spacing w:val="0"/>
          <w:kern w:val="2"/>
          <w:sz w:val="32"/>
          <w:szCs w:val="32"/>
          <w:lang w:val="en-US" w:eastAsia="zh-CN" w:bidi="ar-SA"/>
        </w:rPr>
      </w:pPr>
      <w:r>
        <w:rPr>
          <w:rFonts w:hint="eastAsia" w:ascii="楷体_GB2312" w:hAnsi="Times New Roman" w:eastAsia="楷体_GB2312" w:cs="Times New Roman"/>
          <w:b w:val="0"/>
          <w:bCs w:val="0"/>
          <w:color w:val="000000"/>
          <w:spacing w:val="0"/>
          <w:kern w:val="0"/>
          <w:sz w:val="32"/>
          <w:szCs w:val="32"/>
          <w:rtl w:val="0"/>
          <w:lang w:val="en-US" w:eastAsia="zh-CN" w:bidi="ar"/>
        </w:rPr>
        <w:t>一是学习习近平法治思想还需要加强。</w:t>
      </w:r>
      <w:r>
        <w:rPr>
          <w:rFonts w:hint="eastAsia" w:ascii="仿宋_GB2312" w:hAnsi="仿宋_GB2312" w:eastAsia="仿宋_GB2312" w:cs="仿宋_GB2312"/>
          <w:snapToGrid w:val="0"/>
          <w:color w:val="auto"/>
          <w:spacing w:val="0"/>
          <w:kern w:val="2"/>
          <w:sz w:val="32"/>
          <w:szCs w:val="32"/>
          <w:lang w:val="en-US" w:eastAsia="zh-CN" w:bidi="ar-SA"/>
        </w:rPr>
        <w:t>对习近平法治思想创新理论学习不够系统、理解不够深入、领悟不够透彻，在读原著、学原文、悟原理上还需要下功夫。</w:t>
      </w:r>
      <w:r>
        <w:rPr>
          <w:rFonts w:hint="eastAsia" w:ascii="楷体_GB2312" w:hAnsi="Times New Roman" w:eastAsia="楷体_GB2312" w:cs="Times New Roman"/>
          <w:b w:val="0"/>
          <w:bCs w:val="0"/>
          <w:color w:val="000000"/>
          <w:spacing w:val="0"/>
          <w:kern w:val="0"/>
          <w:sz w:val="32"/>
          <w:szCs w:val="32"/>
          <w:rtl w:val="0"/>
          <w:lang w:val="en-US" w:eastAsia="zh-CN" w:bidi="ar"/>
        </w:rPr>
        <w:t>二是推进严格规范公正文明执法上还有短板。</w:t>
      </w:r>
      <w:r>
        <w:rPr>
          <w:rFonts w:hint="eastAsia" w:ascii="仿宋_GB2312" w:hAnsi="仿宋_GB2312" w:eastAsia="仿宋_GB2312" w:cs="仿宋_GB2312"/>
          <w:snapToGrid w:val="0"/>
          <w:color w:val="auto"/>
          <w:spacing w:val="0"/>
          <w:kern w:val="2"/>
          <w:sz w:val="32"/>
          <w:szCs w:val="32"/>
          <w:lang w:val="en-US" w:eastAsia="zh-CN" w:bidi="ar-SA"/>
        </w:rPr>
        <w:t>有的单位执法过程中履行法定职责不到位，有的执法人员对本部门相关法律规定和法定程序不熟悉不掌握，学习研究不足，指导实践不够，行政执法程序存在瑕疵、错误。</w:t>
      </w:r>
      <w:r>
        <w:rPr>
          <w:rFonts w:hint="eastAsia" w:ascii="楷体_GB2312" w:hAnsi="Times New Roman" w:eastAsia="楷体_GB2312" w:cs="Times New Roman"/>
          <w:b w:val="0"/>
          <w:bCs w:val="0"/>
          <w:color w:val="000000"/>
          <w:spacing w:val="0"/>
          <w:kern w:val="0"/>
          <w:sz w:val="32"/>
          <w:szCs w:val="32"/>
          <w:rtl w:val="0"/>
          <w:lang w:val="en-US" w:eastAsia="zh-CN" w:bidi="ar"/>
        </w:rPr>
        <w:t>三是普法责任制落实还不够到位。</w:t>
      </w:r>
      <w:r>
        <w:rPr>
          <w:rFonts w:hint="eastAsia" w:ascii="仿宋_GB2312" w:hAnsi="仿宋_GB2312" w:eastAsia="仿宋_GB2312" w:cs="仿宋_GB2312"/>
          <w:snapToGrid w:val="0"/>
          <w:color w:val="auto"/>
          <w:spacing w:val="0"/>
          <w:kern w:val="2"/>
          <w:sz w:val="32"/>
          <w:szCs w:val="32"/>
          <w:lang w:val="en-US" w:eastAsia="zh-CN" w:bidi="ar-SA"/>
        </w:rPr>
        <w:t>在落实“谁执法谁普法”普法责任制上还需要加强，有的部门单位对普法工作的重要性认识不到位，宣传方式简单生硬，普法对象的参与度、互动性不高。</w:t>
      </w:r>
    </w:p>
    <w:p w14:paraId="774B503C">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18" w:firstLineChars="200"/>
        <w:jc w:val="both"/>
        <w:textAlignment w:val="auto"/>
        <w:rPr>
          <w:rFonts w:ascii="Times New Roman" w:hAnsi="Times New Roman" w:eastAsia="黑体" w:cs="Times New Roman"/>
          <w:snapToGrid w:val="0"/>
          <w:color w:val="auto"/>
          <w:spacing w:val="0"/>
          <w:kern w:val="2"/>
          <w:sz w:val="32"/>
          <w:szCs w:val="32"/>
        </w:rPr>
      </w:pPr>
      <w:r>
        <w:rPr>
          <w:rFonts w:hint="eastAsia" w:ascii="Times New Roman" w:hAnsi="Times New Roman" w:eastAsia="黑体" w:cs="黑体"/>
          <w:snapToGrid w:val="0"/>
          <w:color w:val="auto"/>
          <w:spacing w:val="0"/>
          <w:kern w:val="2"/>
          <w:sz w:val="32"/>
          <w:szCs w:val="32"/>
        </w:rPr>
        <w:t>四、</w:t>
      </w:r>
      <w:r>
        <w:rPr>
          <w:rFonts w:hint="eastAsia" w:ascii="Times New Roman" w:hAnsi="Times New Roman" w:eastAsia="仿宋_GB2312" w:cs="Times New Roman"/>
          <w:snapToGrid w:val="0"/>
          <w:color w:val="auto"/>
          <w:spacing w:val="0"/>
          <w:kern w:val="2"/>
          <w:sz w:val="32"/>
          <w:szCs w:val="32"/>
          <w:lang w:val="en-US" w:eastAsia="zh-CN" w:bidi="ar-SA"/>
        </w:rPr>
        <w:t>202</w:t>
      </w:r>
      <w:r>
        <w:rPr>
          <w:rFonts w:hint="eastAsia" w:ascii="Times New Roman" w:hAnsi="Times New Roman" w:cs="Times New Roman"/>
          <w:snapToGrid w:val="0"/>
          <w:color w:val="auto"/>
          <w:spacing w:val="0"/>
          <w:kern w:val="2"/>
          <w:sz w:val="32"/>
          <w:szCs w:val="32"/>
          <w:lang w:val="en-US" w:eastAsia="zh-CN" w:bidi="ar-SA"/>
        </w:rPr>
        <w:t>6</w:t>
      </w:r>
      <w:r>
        <w:rPr>
          <w:rFonts w:hint="eastAsia" w:ascii="Times New Roman" w:hAnsi="Times New Roman" w:eastAsia="黑体" w:cs="黑体"/>
          <w:snapToGrid w:val="0"/>
          <w:color w:val="auto"/>
          <w:spacing w:val="0"/>
          <w:kern w:val="2"/>
          <w:sz w:val="32"/>
          <w:szCs w:val="32"/>
        </w:rPr>
        <w:t>年度推进法治政府建设的主要安排</w:t>
      </w:r>
    </w:p>
    <w:p w14:paraId="09181125">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8" w:firstLineChars="200"/>
        <w:jc w:val="both"/>
        <w:textAlignment w:val="auto"/>
        <w:rPr>
          <w:rFonts w:hint="eastAsia" w:ascii="Times New Roman" w:hAnsi="Times New Roman" w:eastAsia="仿宋_GB2312" w:cs="Times New Roman"/>
          <w:snapToGrid w:val="0"/>
          <w:color w:val="auto"/>
          <w:spacing w:val="0"/>
          <w:kern w:val="2"/>
          <w:sz w:val="32"/>
          <w:szCs w:val="32"/>
          <w:lang w:val="en-US" w:eastAsia="zh-CN" w:bidi="ar-SA"/>
        </w:rPr>
      </w:pPr>
      <w:r>
        <w:rPr>
          <w:rFonts w:hint="eastAsia" w:ascii="楷体_GB2312" w:hAnsi="Times New Roman" w:eastAsia="楷体_GB2312" w:cs="Times New Roman"/>
          <w:b w:val="0"/>
          <w:bCs w:val="0"/>
          <w:spacing w:val="0"/>
          <w:kern w:val="0"/>
          <w:sz w:val="32"/>
          <w:szCs w:val="32"/>
          <w:lang w:eastAsia="zh-CN" w:bidi="ar"/>
        </w:rPr>
        <w:t>（</w:t>
      </w:r>
      <w:r>
        <w:rPr>
          <w:rFonts w:hint="eastAsia" w:ascii="楷体_GB2312" w:hAnsi="Times New Roman" w:eastAsia="楷体_GB2312" w:cs="Times New Roman"/>
          <w:b w:val="0"/>
          <w:bCs w:val="0"/>
          <w:spacing w:val="0"/>
          <w:kern w:val="0"/>
          <w:sz w:val="32"/>
          <w:szCs w:val="32"/>
          <w:lang w:val="en-US" w:eastAsia="zh-CN" w:bidi="ar"/>
        </w:rPr>
        <w:t>一</w:t>
      </w:r>
      <w:r>
        <w:rPr>
          <w:rFonts w:hint="eastAsia" w:ascii="楷体_GB2312" w:hAnsi="Times New Roman" w:eastAsia="楷体_GB2312" w:cs="Times New Roman"/>
          <w:b w:val="0"/>
          <w:bCs w:val="0"/>
          <w:spacing w:val="0"/>
          <w:kern w:val="0"/>
          <w:sz w:val="32"/>
          <w:szCs w:val="32"/>
          <w:lang w:eastAsia="zh-CN" w:bidi="ar"/>
        </w:rPr>
        <w:t>）</w:t>
      </w:r>
      <w:r>
        <w:rPr>
          <w:rFonts w:hint="eastAsia" w:ascii="楷体_GB2312" w:hAnsi="Times New Roman" w:eastAsia="楷体_GB2312" w:cs="Times New Roman"/>
          <w:b w:val="0"/>
          <w:bCs w:val="0"/>
          <w:spacing w:val="0"/>
          <w:kern w:val="0"/>
          <w:sz w:val="32"/>
          <w:szCs w:val="32"/>
          <w:lang w:val="en-US" w:eastAsia="zh-CN" w:bidi="ar"/>
        </w:rPr>
        <w:t>持续强化理论学习。</w:t>
      </w:r>
      <w:r>
        <w:rPr>
          <w:rFonts w:hint="eastAsia" w:ascii="Times New Roman" w:hAnsi="Times New Roman" w:eastAsia="仿宋_GB2312" w:cs="Times New Roman"/>
          <w:snapToGrid w:val="0"/>
          <w:color w:val="auto"/>
          <w:spacing w:val="0"/>
          <w:kern w:val="2"/>
          <w:sz w:val="32"/>
          <w:szCs w:val="32"/>
          <w:lang w:val="en-US" w:eastAsia="zh-CN" w:bidi="ar-SA"/>
        </w:rPr>
        <w:t>坚持以习近平法治思想为指导，深入贯彻落实党的二十大和二十届历次会议精神，认真履行党政主要负责人推进法治建设第一责任人职责，制定并落实学法清单和学法计划，充分运用述职述法、法治督察、考核等措施，加强对推进法治建设情况的动态跟踪和过程评价，切实当好法治建设的组织者、推动者、实践者。</w:t>
      </w:r>
    </w:p>
    <w:p w14:paraId="30A87A54">
      <w:pPr>
        <w:keepNext w:val="0"/>
        <w:keepLines w:val="0"/>
        <w:pageBreakBefore w:val="0"/>
        <w:widowControl w:val="0"/>
        <w:kinsoku/>
        <w:wordWrap/>
        <w:overflowPunct/>
        <w:topLinePunct w:val="0"/>
        <w:autoSpaceDE/>
        <w:autoSpaceDN/>
        <w:bidi w:val="0"/>
        <w:adjustRightInd w:val="0"/>
        <w:snapToGrid w:val="0"/>
        <w:spacing w:line="600" w:lineRule="exact"/>
        <w:ind w:firstLine="618" w:firstLineChars="200"/>
        <w:textAlignment w:val="auto"/>
        <w:rPr>
          <w:rFonts w:hint="eastAsia" w:ascii="Times New Roman" w:hAnsi="Times New Roman" w:eastAsia="仿宋_GB2312" w:cs="Times New Roman"/>
          <w:snapToGrid w:val="0"/>
          <w:color w:val="auto"/>
          <w:spacing w:val="0"/>
          <w:kern w:val="2"/>
          <w:sz w:val="32"/>
          <w:szCs w:val="32"/>
          <w:rtl w:val="0"/>
          <w:lang w:val="en-US" w:eastAsia="zh-CN" w:bidi="ar-SA"/>
        </w:rPr>
      </w:pPr>
      <w:r>
        <w:rPr>
          <w:rFonts w:hint="eastAsia" w:ascii="楷体_GB2312" w:hAnsi="Times New Roman" w:eastAsia="楷体_GB2312" w:cs="Times New Roman"/>
          <w:b w:val="0"/>
          <w:bCs w:val="0"/>
          <w:color w:val="000000"/>
          <w:spacing w:val="0"/>
          <w:kern w:val="0"/>
          <w:sz w:val="32"/>
          <w:szCs w:val="32"/>
          <w:lang w:val="en-US" w:eastAsia="zh-CN" w:bidi="ar"/>
        </w:rPr>
        <w:t>（二）有效规范执法行为。</w:t>
      </w:r>
      <w:r>
        <w:rPr>
          <w:rFonts w:hint="eastAsia" w:ascii="Times New Roman" w:hAnsi="Times New Roman" w:eastAsia="仿宋_GB2312" w:cs="Times New Roman"/>
          <w:snapToGrid w:val="0"/>
          <w:color w:val="auto"/>
          <w:spacing w:val="0"/>
          <w:kern w:val="2"/>
          <w:sz w:val="32"/>
          <w:szCs w:val="32"/>
          <w:lang w:val="en-US" w:eastAsia="zh-CN" w:bidi="ar-SA"/>
        </w:rPr>
        <w:t>深入实施行政执法“三项制度”，突出执法培训重点对象和重点内容，持续抓好行政诉讼庭审观摩，结合具体案件开展以案学法、以案释法。聚焦执法文书中的“顽瘴痼疾”，常态化开展行政执法案卷评查，以评查促规范促提升，提高执法人员依法行政、规范执法的能力和水平。加强和规范涉企执法，</w:t>
      </w:r>
      <w:r>
        <w:rPr>
          <w:rFonts w:hint="eastAsia" w:ascii="Times New Roman" w:hAnsi="Times New Roman" w:eastAsia="仿宋_GB2312" w:cs="Times New Roman"/>
          <w:snapToGrid w:val="0"/>
          <w:color w:val="auto"/>
          <w:spacing w:val="0"/>
          <w:kern w:val="2"/>
          <w:sz w:val="32"/>
          <w:szCs w:val="32"/>
          <w:rtl w:val="0"/>
          <w:lang w:val="en-US" w:eastAsia="zh-CN" w:bidi="ar-SA"/>
        </w:rPr>
        <w:t>充分用好“鲁执法”平台，推动行政执法全过程留痕和可回溯管理。</w:t>
      </w:r>
    </w:p>
    <w:p w14:paraId="6E33E7A9">
      <w:pPr>
        <w:keepNext w:val="0"/>
        <w:keepLines w:val="0"/>
        <w:pageBreakBefore w:val="0"/>
        <w:widowControl w:val="0"/>
        <w:kinsoku/>
        <w:wordWrap/>
        <w:overflowPunct/>
        <w:topLinePunct w:val="0"/>
        <w:autoSpaceDE/>
        <w:autoSpaceDN/>
        <w:bidi w:val="0"/>
        <w:adjustRightInd w:val="0"/>
        <w:snapToGrid w:val="0"/>
        <w:spacing w:line="600" w:lineRule="exact"/>
        <w:ind w:firstLine="618" w:firstLineChars="200"/>
        <w:textAlignment w:val="auto"/>
        <w:rPr>
          <w:rFonts w:hint="eastAsia" w:ascii="Times New Roman" w:hAnsi="Times New Roman" w:eastAsia="仿宋_GB2312" w:cs="Times New Roman"/>
          <w:snapToGrid w:val="0"/>
          <w:color w:val="auto"/>
          <w:spacing w:val="0"/>
          <w:kern w:val="2"/>
          <w:sz w:val="32"/>
          <w:szCs w:val="32"/>
          <w:rtl w:val="0"/>
          <w:lang w:val="en-US" w:eastAsia="zh-CN" w:bidi="ar-SA"/>
        </w:rPr>
      </w:pPr>
      <w:r>
        <w:rPr>
          <w:rFonts w:hint="eastAsia" w:ascii="楷体_GB2312" w:hAnsi="Times New Roman" w:eastAsia="楷体_GB2312" w:cs="Times New Roman"/>
          <w:b w:val="0"/>
          <w:bCs w:val="0"/>
          <w:color w:val="000000"/>
          <w:spacing w:val="0"/>
          <w:kern w:val="0"/>
          <w:sz w:val="32"/>
          <w:szCs w:val="32"/>
          <w:rtl w:val="0"/>
          <w:lang w:val="en-US" w:eastAsia="zh-CN" w:bidi="ar"/>
        </w:rPr>
        <w:t>（三）扎实做好普法宣传。</w:t>
      </w:r>
      <w:r>
        <w:rPr>
          <w:rFonts w:hint="eastAsia" w:ascii="Times New Roman" w:hAnsi="Times New Roman" w:eastAsia="仿宋_GB2312" w:cs="Times New Roman"/>
          <w:snapToGrid w:val="0"/>
          <w:color w:val="auto"/>
          <w:spacing w:val="0"/>
          <w:kern w:val="2"/>
          <w:sz w:val="32"/>
          <w:szCs w:val="32"/>
          <w:rtl w:val="0"/>
          <w:lang w:val="en-US" w:eastAsia="zh-CN" w:bidi="ar-SA"/>
        </w:rPr>
        <w:t>坚持深度发力、持续用力，认真谋划“九五”普法，推进“谁执法谁普法”普法责任制有效落实。深入学习贯彻《法治宣传教育法》，切实增强普法的针对性和实效性。注重法治文化的挖掘和打造，通过升级改造法治文化广场等法治宣传阵地，让居民在轻松愉快的环境中接受法治熏陶，全面营造全民学法尊法守法的法治氛围。</w:t>
      </w:r>
    </w:p>
    <w:p w14:paraId="75BB0C25">
      <w:pPr>
        <w:rPr>
          <w:rFonts w:hint="eastAsia" w:ascii="Times New Roman" w:hAnsi="Times New Roman" w:eastAsia="仿宋_GB2312" w:cs="Times New Roman"/>
          <w:snapToGrid w:val="0"/>
          <w:color w:val="auto"/>
          <w:spacing w:val="0"/>
          <w:kern w:val="2"/>
          <w:sz w:val="32"/>
          <w:szCs w:val="32"/>
          <w:rtl w:val="0"/>
          <w:lang w:val="en-US" w:eastAsia="zh-CN" w:bidi="ar-SA"/>
        </w:rPr>
      </w:pPr>
    </w:p>
    <w:p w14:paraId="54AF9853">
      <w:pPr>
        <w:pStyle w:val="2"/>
        <w:rPr>
          <w:rFonts w:hint="default" w:ascii="Times New Roman" w:hAnsi="Times New Roman" w:eastAsia="仿宋_GB2312" w:cs="Times New Roman"/>
          <w:snapToGrid w:val="0"/>
          <w:color w:val="auto"/>
          <w:spacing w:val="0"/>
          <w:kern w:val="2"/>
          <w:sz w:val="32"/>
          <w:szCs w:val="32"/>
          <w:rtl w:val="0"/>
          <w:lang w:val="en-US" w:eastAsia="zh-CN" w:bidi="ar-SA"/>
        </w:rPr>
      </w:pPr>
      <w:bookmarkStart w:id="3" w:name="_GoBack"/>
      <w:bookmarkEnd w:id="3"/>
    </w:p>
    <w:sectPr>
      <w:headerReference r:id="rId3" w:type="default"/>
      <w:footerReference r:id="rId4" w:type="default"/>
      <w:pgSz w:w="11906" w:h="16838"/>
      <w:pgMar w:top="1701" w:right="1587" w:bottom="1701" w:left="1587" w:header="851" w:footer="1134" w:gutter="0"/>
      <w:pgNumType w:fmt="numberInDash"/>
      <w:cols w:space="0" w:num="1"/>
      <w:rtlGutter w:val="0"/>
      <w:docGrid w:type="linesAndChars" w:linePitch="584"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49B6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A5855">
                          <w:pPr>
                            <w:pStyle w:val="5"/>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AA5855">
                    <w:pPr>
                      <w:pStyle w:val="5"/>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226DA">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99"/>
  <w:drawingGridVerticalSpacing w:val="29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3NWFkMGFhNTQ3NzIzOTc1NDk5OTBlMTllODNjYjYifQ=="/>
  </w:docVars>
  <w:rsids>
    <w:rsidRoot w:val="00000000"/>
    <w:rsid w:val="039D57BB"/>
    <w:rsid w:val="047C20F3"/>
    <w:rsid w:val="05243941"/>
    <w:rsid w:val="063D412C"/>
    <w:rsid w:val="063F03DC"/>
    <w:rsid w:val="07632E46"/>
    <w:rsid w:val="09EC40BA"/>
    <w:rsid w:val="0A8C1129"/>
    <w:rsid w:val="0A9C4FA6"/>
    <w:rsid w:val="0AA324A5"/>
    <w:rsid w:val="0AED566B"/>
    <w:rsid w:val="0F56271E"/>
    <w:rsid w:val="0F7A347F"/>
    <w:rsid w:val="12D06F48"/>
    <w:rsid w:val="136E0BA9"/>
    <w:rsid w:val="140F180B"/>
    <w:rsid w:val="15075A95"/>
    <w:rsid w:val="16A9607D"/>
    <w:rsid w:val="17164A5B"/>
    <w:rsid w:val="172B1987"/>
    <w:rsid w:val="198B0E37"/>
    <w:rsid w:val="19902273"/>
    <w:rsid w:val="19F47C7B"/>
    <w:rsid w:val="1A7176E9"/>
    <w:rsid w:val="1A9E5C6C"/>
    <w:rsid w:val="1C0A6005"/>
    <w:rsid w:val="1D5F39E3"/>
    <w:rsid w:val="1E0C793C"/>
    <w:rsid w:val="1E357878"/>
    <w:rsid w:val="1E393F97"/>
    <w:rsid w:val="23760918"/>
    <w:rsid w:val="246413D6"/>
    <w:rsid w:val="24687A6B"/>
    <w:rsid w:val="27212F17"/>
    <w:rsid w:val="28D61BB8"/>
    <w:rsid w:val="29017971"/>
    <w:rsid w:val="29107FEB"/>
    <w:rsid w:val="2ADF3FEF"/>
    <w:rsid w:val="2B193698"/>
    <w:rsid w:val="2B603075"/>
    <w:rsid w:val="2B9744F9"/>
    <w:rsid w:val="2DC83522"/>
    <w:rsid w:val="2EBD0F3C"/>
    <w:rsid w:val="30B71989"/>
    <w:rsid w:val="319549A4"/>
    <w:rsid w:val="31AF7827"/>
    <w:rsid w:val="32177D99"/>
    <w:rsid w:val="36BC3336"/>
    <w:rsid w:val="36E032BC"/>
    <w:rsid w:val="387C0200"/>
    <w:rsid w:val="38E946AA"/>
    <w:rsid w:val="399F120C"/>
    <w:rsid w:val="39B22CBB"/>
    <w:rsid w:val="3AE710BD"/>
    <w:rsid w:val="3C103A96"/>
    <w:rsid w:val="3E66096F"/>
    <w:rsid w:val="3F6741A8"/>
    <w:rsid w:val="3FBD4CBC"/>
    <w:rsid w:val="409444EC"/>
    <w:rsid w:val="42A21CFF"/>
    <w:rsid w:val="45036AF3"/>
    <w:rsid w:val="4972523D"/>
    <w:rsid w:val="49FF7D34"/>
    <w:rsid w:val="4ABA7D8A"/>
    <w:rsid w:val="4BBB4DDF"/>
    <w:rsid w:val="4D7F5185"/>
    <w:rsid w:val="4DF8760E"/>
    <w:rsid w:val="4EF83441"/>
    <w:rsid w:val="4F1D6801"/>
    <w:rsid w:val="4F7072F9"/>
    <w:rsid w:val="4FE6773D"/>
    <w:rsid w:val="521A1920"/>
    <w:rsid w:val="52930CE0"/>
    <w:rsid w:val="530323B4"/>
    <w:rsid w:val="54EF0E42"/>
    <w:rsid w:val="55A16125"/>
    <w:rsid w:val="55BD21C9"/>
    <w:rsid w:val="574511ED"/>
    <w:rsid w:val="58D5708E"/>
    <w:rsid w:val="5A2D4597"/>
    <w:rsid w:val="5A364E1D"/>
    <w:rsid w:val="5E1B7D5B"/>
    <w:rsid w:val="61007F33"/>
    <w:rsid w:val="61093AC4"/>
    <w:rsid w:val="61482108"/>
    <w:rsid w:val="64ED156C"/>
    <w:rsid w:val="66295FE9"/>
    <w:rsid w:val="67393306"/>
    <w:rsid w:val="683551A5"/>
    <w:rsid w:val="68490412"/>
    <w:rsid w:val="68B73897"/>
    <w:rsid w:val="68CD2DF1"/>
    <w:rsid w:val="6DB07852"/>
    <w:rsid w:val="6EED018C"/>
    <w:rsid w:val="6F064AC7"/>
    <w:rsid w:val="71EF4FC8"/>
    <w:rsid w:val="722D7335"/>
    <w:rsid w:val="72564DFA"/>
    <w:rsid w:val="72A42E14"/>
    <w:rsid w:val="74296EB9"/>
    <w:rsid w:val="762D62F4"/>
    <w:rsid w:val="79A6656A"/>
    <w:rsid w:val="7A186180"/>
    <w:rsid w:val="7A2A3BFC"/>
    <w:rsid w:val="7DA912DF"/>
    <w:rsid w:val="7DB70A60"/>
    <w:rsid w:val="7E50042E"/>
    <w:rsid w:val="AFF39440"/>
    <w:rsid w:val="CAB79BEA"/>
    <w:rsid w:val="EFFE0FED"/>
    <w:rsid w:val="F77F1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4">
    <w:name w:val="Body Text Indent 2"/>
    <w:basedOn w:val="1"/>
    <w:autoRedefine/>
    <w:qFormat/>
    <w:uiPriority w:val="99"/>
    <w:pPr>
      <w:spacing w:line="480" w:lineRule="auto"/>
      <w:ind w:left="420" w:leftChars="200"/>
    </w:p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pPr>
      <w:widowControl w:val="0"/>
      <w:spacing w:line="660" w:lineRule="exact"/>
      <w:ind w:firstLine="705"/>
      <w:jc w:val="both"/>
    </w:pPr>
    <w:rPr>
      <w:rFonts w:ascii="仿宋_GB2312" w:hAnsi="Calibri" w:eastAsia="仿宋_GB2312" w:cs="Times New Roman"/>
      <w:color w:val="000000"/>
      <w:kern w:val="2"/>
      <w:sz w:val="36"/>
      <w:szCs w:val="36"/>
      <w:lang w:val="en-US" w:eastAsia="zh-CN" w:bidi="ar-SA"/>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autoRedefine/>
    <w:qFormat/>
    <w:uiPriority w:val="0"/>
    <w:rPr>
      <w:b/>
    </w:rPr>
  </w:style>
  <w:style w:type="character" w:customStyle="1" w:styleId="12">
    <w:name w:val="NormalCharacter"/>
    <w:autoRedefine/>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2819</Words>
  <Characters>2944</Characters>
  <Lines>0</Lines>
  <Paragraphs>0</Paragraphs>
  <TotalTime>37</TotalTime>
  <ScaleCrop>false</ScaleCrop>
  <LinksUpToDate>false</LinksUpToDate>
  <CharactersWithSpaces>2944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2024-01-09T12:50:00Z</dcterms:created>
  <dc:creator>Administrator</dc:creator>
  <cp:lastModifiedBy>杨明</cp:lastModifiedBy>
  <cp:lastPrinted>2026-02-26T03:44:00Z</cp:lastPrinted>
  <dcterms:modified xsi:type="dcterms:W3CDTF">2026-02-26T03:45:47Z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8E394B8A687E4FDBAA04A5594E8AE4ED_13</vt:lpwstr>
  </property>
  <property fmtid="{D5CDD505-2E9C-101B-9397-08002B2CF9AE}" pid="4" name="KSOTemplateDocerSaveRecord">
    <vt:lpwstr>eyJoZGlkIjoiM2M1YWVkOTkyNDQ0OTUwN2ZmOGVkMzliM2U5MjAyZWYiLCJ1c2VySWQiOiIzOTQzNzkxMTEifQ==</vt:lpwstr>
  </property>
</Properties>
</file>